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659" w:rsidRDefault="000E33C4">
      <w:pPr>
        <w:spacing w:beforeLines="50" w:before="120" w:afterLines="50" w:after="120"/>
        <w:rPr>
          <w:bCs/>
          <w:color w:val="000000" w:themeColor="text1"/>
        </w:rPr>
      </w:pPr>
      <w:bookmarkStart w:id="0" w:name="_GoBack"/>
      <w:bookmarkEnd w:id="0"/>
      <w:r>
        <w:rPr>
          <w:rFonts w:hint="eastAsia"/>
          <w:color w:val="000000" w:themeColor="text1"/>
        </w:rPr>
        <w:t>公司代码：</w:t>
      </w:r>
      <w:sdt>
        <w:sdtPr>
          <w:rPr>
            <w:rFonts w:hint="eastAsia"/>
            <w:bCs/>
          </w:rPr>
          <w:alias w:val="公司代码"/>
          <w:tag w:val="_GBC_704b7b03ea3f4a93b8d4655a09b2ff61"/>
          <w:id w:val="1417898555"/>
          <w:placeholder>
            <w:docPart w:val="GBC22222222222222222222222222222"/>
          </w:placeholder>
        </w:sdtPr>
        <w:sdtEndPr/>
        <w:sdtContent>
          <w:r>
            <w:rPr>
              <w:rFonts w:hint="eastAsia"/>
              <w:bCs/>
            </w:rPr>
            <w:t>603059</w:t>
          </w:r>
        </w:sdtContent>
      </w:sdt>
      <w:r>
        <w:rPr>
          <w:rFonts w:hint="eastAsia"/>
          <w:color w:val="000000" w:themeColor="text1"/>
        </w:rPr>
        <w:t xml:space="preserve">                      　　　　　　　　　　公司简称：</w:t>
      </w:r>
      <w:sdt>
        <w:sdtPr>
          <w:rPr>
            <w:rFonts w:hint="eastAsia"/>
            <w:bCs/>
          </w:rPr>
          <w:alias w:val="公司简称"/>
          <w:tag w:val="_GBC_0384ae715a1e4b4894a29e4d27f5bef4"/>
          <w:id w:val="-1019460545"/>
          <w:placeholder>
            <w:docPart w:val="GBC22222222222222222222222222222"/>
          </w:placeholder>
        </w:sdtPr>
        <w:sdtEndPr/>
        <w:sdtContent>
          <w:r>
            <w:rPr>
              <w:rFonts w:hint="eastAsia"/>
              <w:bCs/>
            </w:rPr>
            <w:t>倍加洁</w:t>
          </w:r>
        </w:sdtContent>
      </w:sdt>
    </w:p>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pPr>
    </w:p>
    <w:p w:rsidR="000C5659" w:rsidRDefault="000C5659">
      <w:pPr>
        <w:rPr>
          <w:color w:val="FF0000"/>
        </w:rPr>
      </w:pPr>
    </w:p>
    <w:p w:rsidR="000C5659" w:rsidRDefault="000C5659">
      <w:pPr>
        <w:rPr>
          <w:color w:val="FF0000"/>
        </w:rPr>
      </w:pPr>
    </w:p>
    <w:p w:rsidR="000C5659" w:rsidRDefault="00220B84">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062155052"/>
          <w:placeholder>
            <w:docPart w:val="GBC22222222222222222222222222222"/>
          </w:placeholder>
          <w:dataBinding w:prefixMappings="xmlns:clcid-cgi='clcid-cgi'" w:xpath="/*/clcid-cgi:GongSiFaDingZhongWenMingCheng" w:storeItemID="{89EBAB94-44A0-46A2-B712-30D997D04A6D}"/>
          <w:text/>
        </w:sdtPr>
        <w:sdtEndPr/>
        <w:sdtContent>
          <w:r w:rsidR="00B708C8">
            <w:rPr>
              <w:rFonts w:ascii="黑体" w:eastAsia="黑体" w:hAnsi="黑体" w:hint="eastAsia"/>
              <w:b/>
              <w:bCs/>
              <w:color w:val="FF0000"/>
              <w:sz w:val="44"/>
              <w:szCs w:val="44"/>
            </w:rPr>
            <w:t>倍加洁集团股份有限公司</w:t>
          </w:r>
        </w:sdtContent>
      </w:sdt>
    </w:p>
    <w:p w:rsidR="000C5659" w:rsidRDefault="000E33C4">
      <w:pPr>
        <w:jc w:val="center"/>
        <w:rPr>
          <w:rFonts w:ascii="黑体" w:eastAsia="黑体" w:hAnsi="黑体"/>
          <w:b/>
          <w:bCs/>
          <w:color w:val="FF0000"/>
          <w:sz w:val="44"/>
          <w:szCs w:val="44"/>
        </w:rPr>
      </w:pPr>
      <w:r>
        <w:rPr>
          <w:rFonts w:ascii="黑体" w:eastAsia="黑体" w:hAnsi="黑体"/>
          <w:b/>
          <w:color w:val="FF0000"/>
          <w:sz w:val="44"/>
          <w:szCs w:val="44"/>
        </w:rPr>
        <w:t>2024年</w:t>
      </w:r>
      <w:r>
        <w:rPr>
          <w:rFonts w:ascii="黑体" w:eastAsia="黑体" w:hAnsi="黑体" w:hint="eastAsia"/>
          <w:b/>
          <w:color w:val="FF0000"/>
          <w:sz w:val="44"/>
          <w:szCs w:val="44"/>
        </w:rPr>
        <w:t>半年度报告</w:t>
      </w:r>
    </w:p>
    <w:p w:rsidR="000C5659" w:rsidRDefault="000C5659">
      <w:pPr>
        <w:rPr>
          <w:color w:val="FF0000"/>
        </w:rPr>
      </w:pPr>
    </w:p>
    <w:p w:rsidR="000C5659" w:rsidRDefault="000C5659">
      <w:pPr>
        <w:rPr>
          <w:color w:val="FF0000"/>
        </w:rPr>
      </w:pPr>
    </w:p>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pPr>
    </w:p>
    <w:p w:rsidR="000C5659" w:rsidRDefault="000E33C4">
      <w:pPr>
        <w:jc w:val="center"/>
        <w:rPr>
          <w:color w:val="000000" w:themeColor="text1"/>
        </w:rPr>
      </w:pPr>
      <w:r>
        <w:rPr>
          <w:noProof/>
        </w:rPr>
        <w:drawing>
          <wp:inline distT="0" distB="0" distL="0" distR="0" wp14:anchorId="3941E7D3" wp14:editId="306757CE">
            <wp:extent cx="5199380" cy="636905"/>
            <wp:effectExtent l="0" t="0" r="127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9380" cy="636905"/>
                    </a:xfrm>
                    <a:prstGeom prst="rect">
                      <a:avLst/>
                    </a:prstGeom>
                  </pic:spPr>
                </pic:pic>
              </a:graphicData>
            </a:graphic>
          </wp:inline>
        </w:drawing>
      </w:r>
    </w:p>
    <w:p w:rsidR="000C5659" w:rsidRDefault="000E33C4">
      <w:pPr>
        <w:rPr>
          <w:color w:val="000000" w:themeColor="text1"/>
        </w:rPr>
      </w:pPr>
      <w:r>
        <w:rPr>
          <w:color w:val="000000" w:themeColor="text1"/>
        </w:rPr>
        <w:br w:type="page"/>
      </w:r>
    </w:p>
    <w:p w:rsidR="000C5659" w:rsidRDefault="000E33C4">
      <w:pPr>
        <w:pStyle w:val="afd"/>
        <w:spacing w:after="280" w:afterAutospacing="0"/>
        <w:jc w:val="center"/>
        <w:rPr>
          <w:b/>
          <w:bCs/>
          <w:color w:val="000000" w:themeColor="text1"/>
          <w:sz w:val="28"/>
          <w:szCs w:val="28"/>
        </w:rPr>
      </w:pPr>
      <w:bookmarkStart w:id="1" w:name="_Toc387656034"/>
      <w:r>
        <w:rPr>
          <w:rFonts w:hint="eastAsia"/>
          <w:b/>
          <w:color w:val="000000" w:themeColor="text1"/>
          <w:sz w:val="28"/>
          <w:szCs w:val="28"/>
        </w:rPr>
        <w:lastRenderedPageBreak/>
        <w:t>重要提示</w:t>
      </w:r>
      <w:bookmarkEnd w:id="1"/>
    </w:p>
    <w:p w:rsidR="000C5659" w:rsidRDefault="00220B84">
      <w:pPr>
        <w:pStyle w:val="2"/>
        <w:numPr>
          <w:ilvl w:val="0"/>
          <w:numId w:val="2"/>
        </w:numPr>
        <w:tabs>
          <w:tab w:val="left" w:pos="434"/>
        </w:tabs>
        <w:spacing w:before="0" w:after="0" w:line="360" w:lineRule="auto"/>
        <w:ind w:left="369" w:hangingChars="175" w:hanging="369"/>
        <w:rPr>
          <w:rFonts w:ascii="宋体" w:hAnsi="宋体"/>
          <w:color w:val="000000" w:themeColor="text1"/>
        </w:rPr>
      </w:pPr>
      <w:sdt>
        <w:sdtPr>
          <w:rPr>
            <w:rFonts w:ascii="宋体" w:hAnsi="宋体" w:hint="eastAsia"/>
            <w:color w:val="000000" w:themeColor="text1"/>
          </w:rPr>
          <w:alias w:val="董事会及董事声明"/>
          <w:tag w:val="_GBC_6c6da163383e4e4c92758ff24076a138"/>
          <w:id w:val="-917475833"/>
          <w:placeholder>
            <w:docPart w:val="GBC22222222222222222222222222222"/>
          </w:placeholder>
        </w:sdtPr>
        <w:sdtEndPr/>
        <w:sdtContent>
          <w:r w:rsidR="000E33C4">
            <w:rPr>
              <w:rFonts w:ascii="宋体" w:hAnsi="宋体" w:cs="宋体"/>
              <w:color w:val="000000" w:themeColor="text1"/>
            </w:rPr>
            <w:t>本公司董事会、监事会及董事、监事、高级管理人员保证</w:t>
          </w:r>
          <w:r w:rsidR="000E33C4">
            <w:rPr>
              <w:rFonts w:ascii="宋体" w:hAnsi="宋体" w:cs="宋体" w:hint="eastAsia"/>
              <w:color w:val="000000" w:themeColor="text1"/>
            </w:rPr>
            <w:t>半</w:t>
          </w:r>
          <w:r w:rsidR="000E33C4">
            <w:rPr>
              <w:rFonts w:ascii="宋体" w:hAnsi="宋体" w:cs="宋体"/>
              <w:color w:val="000000" w:themeColor="text1"/>
            </w:rPr>
            <w:t>年度报告内容的真实</w:t>
          </w:r>
          <w:r w:rsidR="000E33C4">
            <w:rPr>
              <w:rFonts w:ascii="宋体" w:hAnsi="宋体" w:cs="宋体" w:hint="eastAsia"/>
              <w:color w:val="000000" w:themeColor="text1"/>
            </w:rPr>
            <w:t>性</w:t>
          </w:r>
          <w:r w:rsidR="000E33C4">
            <w:rPr>
              <w:rFonts w:ascii="宋体" w:hAnsi="宋体" w:cs="宋体"/>
              <w:color w:val="000000" w:themeColor="text1"/>
            </w:rPr>
            <w:t>、准确</w:t>
          </w:r>
          <w:r w:rsidR="000E33C4">
            <w:rPr>
              <w:rFonts w:ascii="宋体" w:hAnsi="宋体" w:cs="宋体" w:hint="eastAsia"/>
              <w:color w:val="000000" w:themeColor="text1"/>
            </w:rPr>
            <w:t>性</w:t>
          </w:r>
          <w:r w:rsidR="000E33C4">
            <w:rPr>
              <w:rFonts w:ascii="宋体" w:hAnsi="宋体" w:cs="宋体"/>
              <w:color w:val="000000" w:themeColor="text1"/>
            </w:rPr>
            <w:t>、完整</w:t>
          </w:r>
          <w:r w:rsidR="000E33C4">
            <w:rPr>
              <w:rFonts w:ascii="宋体" w:hAnsi="宋体" w:cs="宋体" w:hint="eastAsia"/>
              <w:color w:val="000000" w:themeColor="text1"/>
            </w:rPr>
            <w:t>性</w:t>
          </w:r>
          <w:r w:rsidR="000E33C4">
            <w:rPr>
              <w:rFonts w:ascii="宋体" w:hAnsi="宋体" w:cs="宋体"/>
              <w:color w:val="000000" w:themeColor="text1"/>
            </w:rPr>
            <w:t>，不存在虚假记载、误导性陈述或重大遗漏，并承担个别和连带的法律责任。</w:t>
          </w:r>
        </w:sdtContent>
      </w:sdt>
    </w:p>
    <w:p w:rsidR="000C5659" w:rsidRDefault="000E33C4">
      <w:pPr>
        <w:pStyle w:val="2"/>
        <w:numPr>
          <w:ilvl w:val="0"/>
          <w:numId w:val="2"/>
        </w:numPr>
        <w:tabs>
          <w:tab w:val="left" w:pos="448"/>
        </w:tabs>
        <w:spacing w:before="0" w:after="0" w:line="360" w:lineRule="auto"/>
        <w:ind w:left="369" w:hangingChars="175" w:hanging="369"/>
        <w:rPr>
          <w:rFonts w:ascii="宋体" w:hAnsi="宋体"/>
          <w:color w:val="000000" w:themeColor="text1"/>
        </w:rPr>
      </w:pPr>
      <w:bookmarkStart w:id="2" w:name="_Hlk106871957"/>
      <w:bookmarkEnd w:id="2"/>
      <w:r>
        <w:rPr>
          <w:rFonts w:ascii="宋体" w:hAnsi="宋体" w:hint="eastAsia"/>
          <w:color w:val="000000" w:themeColor="text1"/>
        </w:rPr>
        <w:t>公司</w:t>
      </w:r>
      <w:sdt>
        <w:sdtPr>
          <w:rPr>
            <w:rFonts w:ascii="宋体" w:hAnsi="宋体" w:hint="eastAsia"/>
            <w:color w:val="000000" w:themeColor="text1"/>
          </w:rPr>
          <w:tag w:val="_GBC_2e0ee33ebae04a83b92e8b1aa6754169"/>
          <w:id w:val="1855465622"/>
          <w:placeholder>
            <w:docPart w:val="GBC22222222222222222222222222222"/>
          </w:placeholder>
        </w:sdtPr>
        <w:sdtEndPr/>
        <w:sdtContent>
          <w:r>
            <w:rPr>
              <w:rFonts w:ascii="宋体" w:hAnsi="宋体" w:hint="eastAsia"/>
              <w:color w:val="000000" w:themeColor="text1"/>
            </w:rPr>
            <w:t>全体董事出席</w:t>
          </w:r>
        </w:sdtContent>
      </w:sdt>
      <w:r>
        <w:rPr>
          <w:rFonts w:ascii="宋体" w:hAnsi="宋体" w:hint="eastAsia"/>
          <w:color w:val="000000" w:themeColor="text1"/>
        </w:rPr>
        <w:t>董事会会议。</w:t>
      </w:r>
    </w:p>
    <w:p w:rsidR="000C5659" w:rsidRDefault="000C5659">
      <w:pPr>
        <w:rPr>
          <w:color w:val="000000" w:themeColor="text1"/>
        </w:rPr>
      </w:pPr>
    </w:p>
    <w:p w:rsidR="000C5659" w:rsidRDefault="000C5659">
      <w:pPr>
        <w:rPr>
          <w:color w:val="000000" w:themeColor="text1"/>
        </w:rPr>
      </w:pPr>
    </w:p>
    <w:p w:rsidR="000C5659" w:rsidRDefault="000E33C4">
      <w:pPr>
        <w:pStyle w:val="2"/>
        <w:numPr>
          <w:ilvl w:val="0"/>
          <w:numId w:val="2"/>
        </w:numPr>
        <w:tabs>
          <w:tab w:val="left" w:pos="490"/>
        </w:tabs>
        <w:spacing w:before="0" w:after="0" w:line="360" w:lineRule="auto"/>
        <w:ind w:left="369" w:hangingChars="175" w:hanging="369"/>
        <w:rPr>
          <w:rFonts w:ascii="宋体" w:hAnsi="宋体"/>
          <w:color w:val="000000" w:themeColor="text1"/>
        </w:rPr>
      </w:pPr>
      <w:r>
        <w:rPr>
          <w:rFonts w:ascii="宋体" w:hAnsi="宋体" w:hint="eastAsia"/>
          <w:color w:val="000000" w:themeColor="text1"/>
        </w:rPr>
        <w:t>本半年度报告</w:t>
      </w:r>
      <w:sdt>
        <w:sdtPr>
          <w:rPr>
            <w:rFonts w:ascii="宋体" w:hAnsi="宋体" w:hint="eastAsia"/>
            <w:color w:val="000000" w:themeColor="text1"/>
          </w:rPr>
          <w:tag w:val="_GBC_be15b7a71d95430e82193d4cab461623"/>
          <w:id w:val="1179854073"/>
          <w:placeholder>
            <w:docPart w:val="GBC22222222222222222222222222222"/>
          </w:placeholder>
        </w:sdtPr>
        <w:sdtEndPr/>
        <w:sdtContent>
          <w:r>
            <w:rPr>
              <w:rFonts w:ascii="宋体" w:hAnsi="宋体" w:hint="eastAsia"/>
              <w:color w:val="000000" w:themeColor="text1"/>
            </w:rPr>
            <w:t>未经审计</w:t>
          </w:r>
        </w:sdtContent>
      </w:sdt>
      <w:r>
        <w:rPr>
          <w:rFonts w:ascii="宋体" w:hAnsi="宋体" w:hint="eastAsia"/>
          <w:color w:val="000000" w:themeColor="text1"/>
        </w:rPr>
        <w:t>。</w:t>
      </w:r>
    </w:p>
    <w:p w:rsidR="000C5659" w:rsidRDefault="000C5659">
      <w:pPr>
        <w:rPr>
          <w:color w:val="000000" w:themeColor="text1"/>
        </w:rPr>
      </w:pPr>
    </w:p>
    <w:p w:rsidR="000C5659" w:rsidRDefault="000E33C4">
      <w:pPr>
        <w:pStyle w:val="2"/>
        <w:numPr>
          <w:ilvl w:val="0"/>
          <w:numId w:val="2"/>
        </w:numPr>
        <w:tabs>
          <w:tab w:val="left" w:pos="434"/>
        </w:tabs>
        <w:spacing w:before="0" w:after="0" w:line="360" w:lineRule="auto"/>
        <w:ind w:left="369" w:hangingChars="175" w:hanging="369"/>
        <w:rPr>
          <w:rFonts w:ascii="宋体" w:hAnsi="宋体"/>
          <w:color w:val="000000" w:themeColor="text1"/>
        </w:rPr>
      </w:pPr>
      <w:r>
        <w:rPr>
          <w:rFonts w:ascii="宋体" w:hAnsi="宋体" w:hint="eastAsia"/>
          <w:color w:val="000000" w:themeColor="text1"/>
        </w:rPr>
        <w:t>公司负责人</w:t>
      </w:r>
      <w:sdt>
        <w:sdtPr>
          <w:rPr>
            <w:rFonts w:ascii="宋体" w:hAnsi="宋体"/>
            <w:color w:val="000000" w:themeColor="text1"/>
          </w:rPr>
          <w:alias w:val="公司负责人姓名"/>
          <w:tag w:val="_GBC_ee6b72f666bb497bbe8fc037096654d2"/>
          <w:id w:val="-1476676987"/>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ascii="宋体" w:hAnsi="宋体" w:hint="eastAsia"/>
              <w:color w:val="000000" w:themeColor="text1"/>
            </w:rPr>
            <w:t>张文生</w:t>
          </w:r>
        </w:sdtContent>
      </w:sdt>
      <w:r>
        <w:rPr>
          <w:rFonts w:ascii="宋体" w:hAnsi="宋体" w:hint="eastAsia"/>
          <w:color w:val="000000" w:themeColor="text1"/>
        </w:rPr>
        <w:t>、主管会计工作负责人</w:t>
      </w:r>
      <w:sdt>
        <w:sdtPr>
          <w:rPr>
            <w:rFonts w:ascii="宋体" w:hAnsi="宋体"/>
            <w:color w:val="000000" w:themeColor="text1"/>
          </w:rPr>
          <w:alias w:val="主管会计工作负责人姓名"/>
          <w:tag w:val="_GBC_51ed55c6ff134dadaa6756998c964cdf"/>
          <w:id w:val="201458455"/>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ascii="宋体" w:hAnsi="宋体" w:hint="eastAsia"/>
              <w:color w:val="000000" w:themeColor="text1"/>
            </w:rPr>
            <w:t>嵇玉芳</w:t>
          </w:r>
        </w:sdtContent>
      </w:sdt>
      <w:r>
        <w:rPr>
          <w:rFonts w:ascii="宋体" w:hAnsi="宋体" w:hint="eastAsia"/>
          <w:color w:val="000000" w:themeColor="text1"/>
        </w:rPr>
        <w:t>及会计机构负责人（会计主管人员）</w:t>
      </w:r>
      <w:sdt>
        <w:sdtPr>
          <w:rPr>
            <w:rFonts w:ascii="宋体" w:hAnsi="宋体"/>
            <w:color w:val="000000" w:themeColor="text1"/>
          </w:rPr>
          <w:alias w:val="会计机构负责人姓名"/>
          <w:tag w:val="_GBC_aa7d9e44d6e64b9abdcdefb4a3968427"/>
          <w:id w:val="-712114682"/>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ascii="宋体" w:hAnsi="宋体" w:hint="eastAsia"/>
              <w:color w:val="000000" w:themeColor="text1"/>
            </w:rPr>
            <w:t>嵇玉芳</w:t>
          </w:r>
        </w:sdtContent>
      </w:sdt>
      <w:r>
        <w:rPr>
          <w:rFonts w:ascii="宋体" w:hAnsi="宋体" w:hint="eastAsia"/>
          <w:color w:val="000000" w:themeColor="text1"/>
        </w:rPr>
        <w:t>声明：保证半年度报告中财务报告的真实、准确、完整。</w:t>
      </w:r>
    </w:p>
    <w:p w:rsidR="000C5659" w:rsidRDefault="000C5659">
      <w:pPr>
        <w:rPr>
          <w:color w:val="000000" w:themeColor="text1"/>
        </w:rPr>
      </w:pPr>
    </w:p>
    <w:p w:rsidR="000C5659" w:rsidRDefault="000E33C4">
      <w:pPr>
        <w:pStyle w:val="2"/>
        <w:numPr>
          <w:ilvl w:val="0"/>
          <w:numId w:val="2"/>
        </w:numPr>
        <w:tabs>
          <w:tab w:val="left" w:pos="490"/>
        </w:tabs>
        <w:spacing w:before="0" w:after="0" w:line="360" w:lineRule="auto"/>
        <w:ind w:left="369" w:hangingChars="175" w:hanging="369"/>
        <w:rPr>
          <w:rFonts w:ascii="宋体" w:hAnsi="宋体"/>
          <w:color w:val="000000" w:themeColor="text1"/>
          <w:sz w:val="24"/>
          <w:szCs w:val="24"/>
        </w:rPr>
      </w:pPr>
      <w:r>
        <w:rPr>
          <w:rFonts w:ascii="宋体" w:hAnsi="宋体"/>
          <w:color w:val="000000" w:themeColor="text1"/>
        </w:rPr>
        <w:t>董事会</w:t>
      </w:r>
      <w:r>
        <w:rPr>
          <w:color w:val="000000" w:themeColor="text1"/>
        </w:rPr>
        <w:t>决议通过的本报告期利润分配预案或公积金转增股本预案</w:t>
      </w:r>
    </w:p>
    <w:sdt>
      <w:sdtPr>
        <w:rPr>
          <w:rFonts w:hint="eastAsia"/>
          <w:color w:val="000000" w:themeColor="text1"/>
        </w:rPr>
        <w:alias w:val="经董事会审议的报告期利润分配预案或公积金转增股本预案"/>
        <w:tag w:val="_GBC_7676626d447143468bebcc8d267ec746"/>
        <w:id w:val="1553653862"/>
        <w:placeholder>
          <w:docPart w:val="GBC22222222222222222222222222222"/>
        </w:placeholder>
      </w:sdtPr>
      <w:sdtEndPr>
        <w:rPr>
          <w:shd w:val="pct15" w:color="auto" w:fill="FFFFFF"/>
        </w:rPr>
      </w:sdtEndPr>
      <w:sdtContent>
        <w:sdt>
          <w:sdtPr>
            <w:rPr>
              <w:rFonts w:hint="eastAsia"/>
              <w:color w:val="000000" w:themeColor="text1"/>
            </w:rPr>
            <w:alias w:val="经董事会审议的报告期利润分配预案或公积金转增股本预案"/>
            <w:tag w:val="_GBC_7676626d447143468bebcc8d267ec746"/>
            <w:id w:val="-1931501015"/>
            <w:placeholder>
              <w:docPart w:val="423BC4DF14E946DCAECB21B331FD0E9E"/>
            </w:placeholder>
          </w:sdtPr>
          <w:sdtEndPr/>
          <w:sdtContent>
            <w:p w:rsidR="000C5659" w:rsidRDefault="000E33C4">
              <w:pPr>
                <w:kinsoku w:val="0"/>
                <w:overflowPunct w:val="0"/>
                <w:autoSpaceDE w:val="0"/>
                <w:autoSpaceDN w:val="0"/>
                <w:adjustRightInd w:val="0"/>
                <w:snapToGrid w:val="0"/>
                <w:spacing w:line="360" w:lineRule="exact"/>
                <w:rPr>
                  <w:color w:val="000000" w:themeColor="text1"/>
                </w:rPr>
              </w:pPr>
              <w:r>
                <w:rPr>
                  <w:rFonts w:hint="eastAsia"/>
                  <w:color w:val="000000" w:themeColor="text1"/>
                </w:rPr>
                <w:t>无</w:t>
              </w:r>
            </w:p>
          </w:sdtContent>
        </w:sdt>
      </w:sdtContent>
    </w:sdt>
    <w:p w:rsidR="000C5659" w:rsidRDefault="000C5659">
      <w:pPr>
        <w:kinsoku w:val="0"/>
        <w:overflowPunct w:val="0"/>
        <w:autoSpaceDE w:val="0"/>
        <w:autoSpaceDN w:val="0"/>
        <w:adjustRightInd w:val="0"/>
        <w:snapToGrid w:val="0"/>
        <w:spacing w:line="360" w:lineRule="exact"/>
        <w:rPr>
          <w:color w:val="000000" w:themeColor="text1"/>
          <w:shd w:val="pct15" w:color="auto" w:fill="FFFFFF"/>
        </w:rPr>
      </w:pPr>
    </w:p>
    <w:p w:rsidR="000C5659" w:rsidRDefault="000E33C4">
      <w:pPr>
        <w:pStyle w:val="2"/>
        <w:numPr>
          <w:ilvl w:val="0"/>
          <w:numId w:val="2"/>
        </w:numPr>
        <w:tabs>
          <w:tab w:val="left" w:pos="504"/>
        </w:tabs>
        <w:spacing w:before="0" w:after="0" w:line="360" w:lineRule="auto"/>
        <w:ind w:left="369" w:hangingChars="175" w:hanging="369"/>
        <w:rPr>
          <w:rFonts w:ascii="宋体" w:hAnsi="宋体"/>
          <w:color w:val="000000" w:themeColor="text1"/>
        </w:rPr>
      </w:pPr>
      <w:r>
        <w:rPr>
          <w:rFonts w:ascii="宋体" w:hAnsi="宋体"/>
          <w:color w:val="000000" w:themeColor="text1"/>
        </w:rPr>
        <w:t>前瞻性陈述的风险声明</w:t>
      </w:r>
    </w:p>
    <w:sdt>
      <w:sdtPr>
        <w:rPr>
          <w:color w:val="000000" w:themeColor="text1"/>
        </w:rPr>
        <w:alias w:val="是否适用：前瞻性陈述的风险声明[双击切换]"/>
        <w:tag w:val="_GBC_6a28949332914149bda7cc0225d614b7"/>
        <w:id w:val="5454167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公司对报告涉及未来计划等前瞻性陈述的声明"/>
        <w:tag w:val="_GBC_6511b5aecc604062ad93b5fbd25fd19b"/>
        <w:id w:val="1880898270"/>
        <w:placeholder>
          <w:docPart w:val="GBC22222222222222222222222222222"/>
        </w:placeholder>
      </w:sdtPr>
      <w:sdtEndPr>
        <w:rPr>
          <w:shd w:val="pct15" w:color="auto" w:fill="FFFFFF"/>
        </w:rPr>
      </w:sdtEndPr>
      <w:sdtContent>
        <w:p w:rsidR="000C5659" w:rsidRDefault="00220B84">
          <w:pPr>
            <w:kinsoku w:val="0"/>
            <w:overflowPunct w:val="0"/>
            <w:autoSpaceDE w:val="0"/>
            <w:autoSpaceDN w:val="0"/>
            <w:adjustRightInd w:val="0"/>
            <w:snapToGrid w:val="0"/>
            <w:spacing w:line="360" w:lineRule="exact"/>
            <w:rPr>
              <w:color w:val="000000" w:themeColor="text1"/>
            </w:rPr>
          </w:pPr>
          <w:sdt>
            <w:sdtPr>
              <w:rPr>
                <w:rFonts w:hint="eastAsia"/>
                <w:color w:val="000000" w:themeColor="text1"/>
              </w:rPr>
              <w:alias w:val="公司对报告涉及未来计划等前瞻性陈述的声明"/>
              <w:tag w:val="_GBC_6511b5aecc604062ad93b5fbd25fd19b"/>
              <w:id w:val="981889487"/>
              <w:placeholder>
                <w:docPart w:val="A61D047E9E7349BD98DF9D28355456A2"/>
              </w:placeholder>
            </w:sdtPr>
            <w:sdtEndPr/>
            <w:sdtContent>
              <w:r w:rsidR="000E33C4">
                <w:rPr>
                  <w:rFonts w:hint="eastAsia"/>
                  <w:color w:val="000000" w:themeColor="text1"/>
                </w:rPr>
                <w:t>本报告中所涉及的发展战略、经营计划等前瞻性陈述不构成公司对投资者的实质承诺，敬请投资者注意投资风险。</w:t>
              </w:r>
            </w:sdtContent>
          </w:sdt>
        </w:p>
      </w:sdtContent>
    </w:sdt>
    <w:p w:rsidR="000C5659" w:rsidRDefault="000C5659">
      <w:pPr>
        <w:kinsoku w:val="0"/>
        <w:overflowPunct w:val="0"/>
        <w:autoSpaceDE w:val="0"/>
        <w:autoSpaceDN w:val="0"/>
        <w:adjustRightInd w:val="0"/>
        <w:snapToGrid w:val="0"/>
        <w:spacing w:line="360" w:lineRule="exact"/>
        <w:rPr>
          <w:color w:val="000000" w:themeColor="text1"/>
          <w:shd w:val="pct15" w:color="auto" w:fill="FFFFFF"/>
        </w:rPr>
      </w:pPr>
    </w:p>
    <w:p w:rsidR="000C5659" w:rsidRDefault="000E33C4">
      <w:pPr>
        <w:pStyle w:val="2"/>
        <w:numPr>
          <w:ilvl w:val="0"/>
          <w:numId w:val="2"/>
        </w:numPr>
        <w:tabs>
          <w:tab w:val="left" w:pos="434"/>
          <w:tab w:val="left" w:pos="644"/>
        </w:tabs>
        <w:spacing w:before="0" w:after="0" w:line="360" w:lineRule="auto"/>
        <w:ind w:left="369" w:hangingChars="175" w:hanging="369"/>
        <w:rPr>
          <w:rFonts w:ascii="宋体" w:hAnsi="宋体"/>
          <w:color w:val="000000" w:themeColor="text1"/>
        </w:rPr>
      </w:pPr>
      <w:r>
        <w:rPr>
          <w:rFonts w:ascii="宋体" w:hAnsi="宋体"/>
          <w:color w:val="000000" w:themeColor="text1"/>
        </w:rPr>
        <w:t>是否存在被控股股东及其</w:t>
      </w:r>
      <w:r>
        <w:rPr>
          <w:rFonts w:ascii="宋体" w:hAnsi="宋体" w:hint="eastAsia"/>
          <w:color w:val="000000" w:themeColor="text1"/>
        </w:rPr>
        <w:t>他</w:t>
      </w:r>
      <w:r>
        <w:rPr>
          <w:rFonts w:ascii="宋体" w:hAnsi="宋体"/>
          <w:color w:val="000000" w:themeColor="text1"/>
        </w:rPr>
        <w:t>关联方非经营性占用资金情况</w:t>
      </w:r>
    </w:p>
    <w:sdt>
      <w:sdtPr>
        <w:rPr>
          <w:rFonts w:hint="eastAsia"/>
          <w:bCs/>
          <w:color w:val="000000" w:themeColor="text1"/>
        </w:rPr>
        <w:alias w:val="本公司是否存在大股东占用资金情况"/>
        <w:tag w:val="_GBC_a32400ff33ee44d89632e0d79a7f2c42"/>
        <w:id w:val="-1418088994"/>
        <w:placeholder>
          <w:docPart w:val="GBC22222222222222222222222222222"/>
        </w:placeholder>
        <w:comboBox>
          <w:listItem w:displayText="是" w:value="true"/>
          <w:listItem w:displayText="否" w:value="false"/>
        </w:comboBox>
      </w:sdtPr>
      <w:sdtEndPr/>
      <w:sdtContent>
        <w:p w:rsidR="000C5659" w:rsidRDefault="00B708C8">
          <w:pPr>
            <w:kinsoku w:val="0"/>
            <w:overflowPunct w:val="0"/>
            <w:autoSpaceDE w:val="0"/>
            <w:autoSpaceDN w:val="0"/>
            <w:adjustRightInd w:val="0"/>
            <w:snapToGrid w:val="0"/>
            <w:spacing w:line="360" w:lineRule="exact"/>
            <w:rPr>
              <w:bCs/>
              <w:color w:val="000000" w:themeColor="text1"/>
            </w:rPr>
          </w:pPr>
          <w:r>
            <w:rPr>
              <w:rFonts w:hint="eastAsia"/>
              <w:bCs/>
              <w:color w:val="000000" w:themeColor="text1"/>
            </w:rPr>
            <w:t>否</w:t>
          </w:r>
        </w:p>
      </w:sdtContent>
    </w:sdt>
    <w:p w:rsidR="000C5659" w:rsidRDefault="000C5659">
      <w:pPr>
        <w:kinsoku w:val="0"/>
        <w:overflowPunct w:val="0"/>
        <w:autoSpaceDE w:val="0"/>
        <w:autoSpaceDN w:val="0"/>
        <w:adjustRightInd w:val="0"/>
        <w:snapToGrid w:val="0"/>
        <w:spacing w:line="360" w:lineRule="exact"/>
        <w:rPr>
          <w:color w:val="000000" w:themeColor="text1"/>
          <w:shd w:val="pct15" w:color="auto" w:fill="FFFFFF"/>
        </w:rPr>
      </w:pPr>
    </w:p>
    <w:p w:rsidR="000C5659" w:rsidRDefault="000E33C4">
      <w:pPr>
        <w:pStyle w:val="2"/>
        <w:numPr>
          <w:ilvl w:val="0"/>
          <w:numId w:val="2"/>
        </w:numPr>
        <w:tabs>
          <w:tab w:val="left" w:pos="644"/>
        </w:tabs>
        <w:spacing w:before="0" w:after="0" w:line="360" w:lineRule="auto"/>
        <w:ind w:left="369" w:hangingChars="175" w:hanging="369"/>
        <w:rPr>
          <w:rFonts w:ascii="宋体" w:hAnsi="宋体"/>
          <w:color w:val="000000" w:themeColor="text1"/>
        </w:rPr>
      </w:pPr>
      <w:r>
        <w:rPr>
          <w:rFonts w:ascii="宋体" w:hAnsi="宋体"/>
          <w:color w:val="000000" w:themeColor="text1"/>
        </w:rPr>
        <w:t>是否存在违反规定决策程序对外提供担保的情况</w:t>
      </w:r>
    </w:p>
    <w:sdt>
      <w:sdtPr>
        <w:rPr>
          <w:rFonts w:hint="eastAsia"/>
          <w:color w:val="000000" w:themeColor="text1"/>
        </w:rPr>
        <w:alias w:val="本公司是否存在违反规定决策程序对外提供担保的情况"/>
        <w:tag w:val="_GBC_3bc3f02bd342494aa2858bb9a39d8458"/>
        <w:id w:val="2085035514"/>
        <w:placeholder>
          <w:docPart w:val="GBC22222222222222222222222222222"/>
        </w:placeholder>
        <w:comboBox>
          <w:listItem w:displayText="是" w:value="true"/>
          <w:listItem w:displayText="否" w:value="false"/>
        </w:comboBox>
      </w:sdtPr>
      <w:sdtEndPr/>
      <w:sdtContent>
        <w:p w:rsidR="000C5659" w:rsidRDefault="00B708C8">
          <w:pPr>
            <w:rPr>
              <w:color w:val="000000" w:themeColor="text1"/>
            </w:rPr>
          </w:pPr>
          <w:r>
            <w:rPr>
              <w:rFonts w:hint="eastAsia"/>
              <w:color w:val="000000" w:themeColor="text1"/>
            </w:rPr>
            <w:t>否</w:t>
          </w:r>
        </w:p>
      </w:sdtContent>
    </w:sdt>
    <w:p w:rsidR="000C5659" w:rsidRDefault="000C5659">
      <w:pPr>
        <w:rPr>
          <w:color w:val="000000" w:themeColor="text1"/>
        </w:rPr>
      </w:pPr>
    </w:p>
    <w:p w:rsidR="000C5659" w:rsidRDefault="000E33C4">
      <w:pPr>
        <w:pStyle w:val="2"/>
        <w:numPr>
          <w:ilvl w:val="0"/>
          <w:numId w:val="2"/>
        </w:numPr>
        <w:tabs>
          <w:tab w:val="left" w:pos="644"/>
        </w:tabs>
        <w:spacing w:before="0" w:after="0" w:line="360" w:lineRule="auto"/>
        <w:ind w:left="369" w:hangingChars="175" w:hanging="369"/>
        <w:rPr>
          <w:rFonts w:ascii="宋体" w:hAnsi="宋体" w:cs="宋体"/>
          <w:color w:val="000000" w:themeColor="text1"/>
          <w:kern w:val="0"/>
        </w:rPr>
      </w:pPr>
      <w:bookmarkStart w:id="3" w:name="_Hlk61881950"/>
      <w:bookmarkStart w:id="4" w:name="_Hlk72769553"/>
      <w:r>
        <w:rPr>
          <w:rFonts w:ascii="宋体" w:hAnsi="宋体" w:cs="宋体"/>
          <w:color w:val="000000" w:themeColor="text1"/>
          <w:kern w:val="0"/>
        </w:rPr>
        <w:t>是否存在半数</w:t>
      </w:r>
      <w:r>
        <w:rPr>
          <w:rFonts w:ascii="宋体" w:hAnsi="宋体" w:cs="宋体" w:hint="eastAsia"/>
          <w:color w:val="000000" w:themeColor="text1"/>
          <w:kern w:val="0"/>
        </w:rPr>
        <w:t>以上</w:t>
      </w:r>
      <w:r>
        <w:rPr>
          <w:rFonts w:ascii="宋体" w:hAnsi="宋体" w:cs="宋体"/>
          <w:color w:val="000000" w:themeColor="text1"/>
          <w:kern w:val="0"/>
        </w:rPr>
        <w:t>董事无法保证公司所披露</w:t>
      </w:r>
      <w:r>
        <w:rPr>
          <w:rFonts w:ascii="宋体" w:hAnsi="宋体" w:cs="宋体" w:hint="eastAsia"/>
          <w:color w:val="000000" w:themeColor="text1"/>
          <w:kern w:val="0"/>
        </w:rPr>
        <w:t>半</w:t>
      </w:r>
      <w:r>
        <w:rPr>
          <w:rFonts w:ascii="宋体" w:hAnsi="宋体" w:cs="宋体"/>
          <w:color w:val="000000" w:themeColor="text1"/>
          <w:kern w:val="0"/>
        </w:rPr>
        <w:t>年度报告的真实性、准确性和完整性</w:t>
      </w:r>
      <w:bookmarkEnd w:id="3"/>
    </w:p>
    <w:sdt>
      <w:sdtPr>
        <w:rPr>
          <w:rFonts w:hint="eastAsia"/>
          <w:color w:val="000000" w:themeColor="text1"/>
        </w:rPr>
        <w:alias w:val="是否存在半数以上董事无法保证公司所披露年度报告的真实性、准确性和完整性"/>
        <w:tag w:val="_GBC_016ca2a0d8c2429a89679ee7fdc015c2"/>
        <w:id w:val="1066302125"/>
        <w:placeholder>
          <w:docPart w:val="GBC22222222222222222222222222222"/>
        </w:placeholder>
        <w:comboBox>
          <w:listItem w:displayText="是" w:value="是"/>
          <w:listItem w:displayText="否" w:value="否"/>
        </w:comboBox>
      </w:sdtPr>
      <w:sdtEndPr/>
      <w:sdtContent>
        <w:p w:rsidR="000C5659" w:rsidRDefault="00B708C8">
          <w:pPr>
            <w:rPr>
              <w:color w:val="000000" w:themeColor="text1"/>
            </w:rPr>
          </w:pPr>
          <w:r>
            <w:rPr>
              <w:rFonts w:hint="eastAsia"/>
              <w:color w:val="000000" w:themeColor="text1"/>
            </w:rPr>
            <w:t>否</w:t>
          </w:r>
        </w:p>
      </w:sdtContent>
    </w:sdt>
    <w:p w:rsidR="000C5659" w:rsidRDefault="000C5659">
      <w:pPr>
        <w:rPr>
          <w:color w:val="000000" w:themeColor="text1"/>
        </w:rPr>
      </w:pPr>
    </w:p>
    <w:bookmarkEnd w:id="4"/>
    <w:p w:rsidR="000C5659" w:rsidRDefault="000E33C4">
      <w:pPr>
        <w:pStyle w:val="2"/>
        <w:numPr>
          <w:ilvl w:val="0"/>
          <w:numId w:val="2"/>
        </w:numPr>
        <w:tabs>
          <w:tab w:val="left" w:pos="644"/>
        </w:tabs>
        <w:spacing w:before="0" w:after="0" w:line="360" w:lineRule="auto"/>
        <w:ind w:left="369" w:hangingChars="175" w:hanging="369"/>
        <w:rPr>
          <w:rFonts w:ascii="宋体" w:hAnsi="宋体"/>
          <w:color w:val="000000" w:themeColor="text1"/>
        </w:rPr>
      </w:pPr>
      <w:r>
        <w:rPr>
          <w:rFonts w:ascii="宋体" w:hAnsi="宋体"/>
          <w:color w:val="000000" w:themeColor="text1"/>
        </w:rPr>
        <w:t>重大风险提示</w:t>
      </w:r>
    </w:p>
    <w:sdt>
      <w:sdtPr>
        <w:rPr>
          <w:rFonts w:hint="eastAsia"/>
          <w:color w:val="000000" w:themeColor="text1"/>
        </w:rPr>
        <w:alias w:val="重大风险提示"/>
        <w:tag w:val="_GBC_d0220f8592e64dd1b898937e183da1e3"/>
        <w:id w:val="-1688053471"/>
        <w:placeholder>
          <w:docPart w:val="GBC22222222222222222222222222222"/>
        </w:placeholder>
      </w:sdtPr>
      <w:sdtEndPr/>
      <w:sdtContent>
        <w:p w:rsidR="000C5659" w:rsidRDefault="000E33C4">
          <w:pPr>
            <w:ind w:firstLineChars="200" w:firstLine="420"/>
            <w:rPr>
              <w:color w:val="000000" w:themeColor="text1"/>
            </w:rPr>
          </w:pPr>
          <w:r>
            <w:rPr>
              <w:rFonts w:hint="eastAsia"/>
              <w:color w:val="000000" w:themeColor="text1"/>
            </w:rPr>
            <w:t>公司已在本报告中详细描述可能存在的相关风险，敬请查阅本报告第三节“管理层讨论与分析”中“五、其他披露事项（一）可能面对的风险”部分的内容。</w:t>
          </w:r>
        </w:p>
      </w:sdtContent>
    </w:sdt>
    <w:p w:rsidR="000C5659" w:rsidRDefault="000C5659">
      <w:pPr>
        <w:rPr>
          <w:color w:val="000000" w:themeColor="text1"/>
        </w:rPr>
      </w:pPr>
    </w:p>
    <w:p w:rsidR="000C5659" w:rsidRDefault="000E33C4">
      <w:pPr>
        <w:pStyle w:val="2"/>
        <w:numPr>
          <w:ilvl w:val="0"/>
          <w:numId w:val="2"/>
        </w:numPr>
        <w:tabs>
          <w:tab w:val="left" w:pos="588"/>
          <w:tab w:val="left" w:pos="644"/>
          <w:tab w:val="left" w:pos="672"/>
        </w:tabs>
        <w:spacing w:before="0" w:after="0" w:line="360" w:lineRule="auto"/>
        <w:ind w:left="422" w:hangingChars="175" w:hanging="422"/>
        <w:rPr>
          <w:rFonts w:ascii="宋体" w:hAnsi="宋体"/>
          <w:color w:val="000000" w:themeColor="text1"/>
          <w:sz w:val="24"/>
          <w:szCs w:val="24"/>
        </w:rPr>
      </w:pPr>
      <w:r>
        <w:rPr>
          <w:rFonts w:ascii="宋体" w:hAnsi="宋体" w:hint="eastAsia"/>
          <w:color w:val="000000" w:themeColor="text1"/>
          <w:sz w:val="24"/>
          <w:szCs w:val="24"/>
        </w:rPr>
        <w:t>其他</w:t>
      </w:r>
    </w:p>
    <w:sdt>
      <w:sdtPr>
        <w:rPr>
          <w:color w:val="000000" w:themeColor="text1"/>
        </w:rPr>
        <w:alias w:val="是否适用：其他重要提示[双击切换]"/>
        <w:tag w:val="_GBC_3a91363d913942688077b069148debc5"/>
        <w:id w:val="-137969989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sectPr w:rsidR="000C5659">
          <w:headerReference w:type="default" r:id="rId14"/>
          <w:footerReference w:type="default" r:id="rId15"/>
          <w:pgSz w:w="11906" w:h="16838"/>
          <w:pgMar w:top="1525" w:right="1276" w:bottom="1440" w:left="1797" w:header="855" w:footer="992" w:gutter="0"/>
          <w:cols w:space="425"/>
          <w:docGrid w:linePitch="312"/>
        </w:sectPr>
      </w:pPr>
    </w:p>
    <w:p w:rsidR="000C5659" w:rsidRDefault="000C5659">
      <w:pPr>
        <w:rPr>
          <w:color w:val="000000" w:themeColor="text1"/>
        </w:rPr>
      </w:pPr>
    </w:p>
    <w:p w:rsidR="000C5659" w:rsidRDefault="000E33C4">
      <w:pPr>
        <w:kinsoku w:val="0"/>
        <w:overflowPunct w:val="0"/>
        <w:autoSpaceDE w:val="0"/>
        <w:autoSpaceDN w:val="0"/>
        <w:adjustRightInd w:val="0"/>
        <w:snapToGrid w:val="0"/>
        <w:spacing w:line="360" w:lineRule="auto"/>
        <w:jc w:val="center"/>
        <w:rPr>
          <w:noProof/>
          <w:color w:val="000000" w:themeColor="text1"/>
        </w:rPr>
      </w:pPr>
      <w:r>
        <w:rPr>
          <w:rFonts w:hint="eastAsia"/>
          <w:b/>
          <w:color w:val="000000" w:themeColor="text1"/>
          <w:sz w:val="32"/>
          <w:szCs w:val="32"/>
        </w:rPr>
        <w:t>目录</w:t>
      </w:r>
      <w:r>
        <w:rPr>
          <w:color w:val="000000" w:themeColor="text1"/>
          <w:shd w:val="pct15" w:color="auto" w:fill="FFFFFF"/>
        </w:rPr>
        <w:fldChar w:fldCharType="begin"/>
      </w:r>
      <w:r>
        <w:rPr>
          <w:color w:val="000000" w:themeColor="text1"/>
          <w:shd w:val="pct15" w:color="auto" w:fill="FFFFFF"/>
        </w:rPr>
        <w:instrText xml:space="preserve"> TOC \o "1-1" \h \z \u </w:instrText>
      </w:r>
      <w:r>
        <w:rPr>
          <w:color w:val="000000" w:themeColor="text1"/>
          <w:shd w:val="pct15" w:color="auto" w:fill="FFFFFF"/>
        </w:rPr>
        <w:fldChar w:fldCharType="separate"/>
      </w:r>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55" w:history="1">
        <w:r w:rsidR="000E33C4">
          <w:rPr>
            <w:rStyle w:val="aff4"/>
            <w:rFonts w:ascii="黑体" w:hAnsi="黑体"/>
            <w:noProof/>
            <w:color w:val="000000" w:themeColor="text1"/>
          </w:rPr>
          <w:t>第一节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释义</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_Toc142578255 \h </w:instrText>
        </w:r>
        <w:r w:rsidR="000E33C4">
          <w:rPr>
            <w:noProof/>
            <w:color w:val="000000" w:themeColor="text1"/>
          </w:rPr>
        </w:r>
        <w:r w:rsidR="000E33C4">
          <w:rPr>
            <w:noProof/>
            <w:color w:val="000000" w:themeColor="text1"/>
          </w:rPr>
          <w:fldChar w:fldCharType="separate"/>
        </w:r>
        <w:r w:rsidR="00241718">
          <w:rPr>
            <w:noProof/>
            <w:color w:val="000000" w:themeColor="text1"/>
          </w:rPr>
          <w:t>4</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56" w:history="1">
        <w:r w:rsidR="000E33C4">
          <w:rPr>
            <w:rStyle w:val="aff4"/>
            <w:rFonts w:ascii="黑体" w:hAnsi="黑体"/>
            <w:noProof/>
            <w:color w:val="000000" w:themeColor="text1"/>
          </w:rPr>
          <w:t>第二节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公司简介和主要财务指标</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_Toc142578256 \h </w:instrText>
        </w:r>
        <w:r w:rsidR="000E33C4">
          <w:rPr>
            <w:noProof/>
            <w:color w:val="000000" w:themeColor="text1"/>
          </w:rPr>
        </w:r>
        <w:r w:rsidR="000E33C4">
          <w:rPr>
            <w:noProof/>
            <w:color w:val="000000" w:themeColor="text1"/>
          </w:rPr>
          <w:fldChar w:fldCharType="separate"/>
        </w:r>
        <w:r w:rsidR="00241718">
          <w:rPr>
            <w:noProof/>
            <w:color w:val="000000" w:themeColor="text1"/>
          </w:rPr>
          <w:t>4</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57" w:history="1">
        <w:r w:rsidR="000E33C4">
          <w:rPr>
            <w:rStyle w:val="aff4"/>
            <w:rFonts w:ascii="黑体" w:hAnsi="黑体"/>
            <w:noProof/>
            <w:color w:val="000000" w:themeColor="text1"/>
          </w:rPr>
          <w:t>第三节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管理层讨论与分析</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_Toc142578257 \h </w:instrText>
        </w:r>
        <w:r w:rsidR="000E33C4">
          <w:rPr>
            <w:noProof/>
            <w:color w:val="000000" w:themeColor="text1"/>
          </w:rPr>
        </w:r>
        <w:r w:rsidR="000E33C4">
          <w:rPr>
            <w:noProof/>
            <w:color w:val="000000" w:themeColor="text1"/>
          </w:rPr>
          <w:fldChar w:fldCharType="separate"/>
        </w:r>
        <w:r w:rsidR="00241718">
          <w:rPr>
            <w:noProof/>
            <w:color w:val="000000" w:themeColor="text1"/>
          </w:rPr>
          <w:t>7</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58" w:history="1">
        <w:r w:rsidR="000E33C4">
          <w:rPr>
            <w:rStyle w:val="aff4"/>
            <w:rFonts w:ascii="黑体" w:hAnsi="黑体"/>
            <w:noProof/>
            <w:color w:val="000000" w:themeColor="text1"/>
          </w:rPr>
          <w:t>第四节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公司治理</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_Toc142578258 \h </w:instrText>
        </w:r>
        <w:r w:rsidR="000E33C4">
          <w:rPr>
            <w:noProof/>
            <w:color w:val="000000" w:themeColor="text1"/>
          </w:rPr>
        </w:r>
        <w:r w:rsidR="000E33C4">
          <w:rPr>
            <w:noProof/>
            <w:color w:val="000000" w:themeColor="text1"/>
          </w:rPr>
          <w:fldChar w:fldCharType="separate"/>
        </w:r>
        <w:r w:rsidR="00241718">
          <w:rPr>
            <w:noProof/>
            <w:color w:val="000000" w:themeColor="text1"/>
          </w:rPr>
          <w:t>28</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59" w:history="1">
        <w:r w:rsidR="000E33C4">
          <w:rPr>
            <w:rStyle w:val="aff4"/>
            <w:rFonts w:ascii="黑体" w:hAnsi="黑体"/>
            <w:noProof/>
            <w:color w:val="000000" w:themeColor="text1"/>
          </w:rPr>
          <w:t>第五节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环境与社会责任</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_Toc142578259 \h </w:instrText>
        </w:r>
        <w:r w:rsidR="000E33C4">
          <w:rPr>
            <w:noProof/>
            <w:color w:val="000000" w:themeColor="text1"/>
          </w:rPr>
        </w:r>
        <w:r w:rsidR="000E33C4">
          <w:rPr>
            <w:noProof/>
            <w:color w:val="000000" w:themeColor="text1"/>
          </w:rPr>
          <w:fldChar w:fldCharType="separate"/>
        </w:r>
        <w:r w:rsidR="00241718">
          <w:rPr>
            <w:noProof/>
            <w:color w:val="000000" w:themeColor="text1"/>
          </w:rPr>
          <w:t>29</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60" w:history="1">
        <w:r w:rsidR="000E33C4">
          <w:rPr>
            <w:rStyle w:val="aff4"/>
            <w:rFonts w:ascii="黑体" w:hAnsi="黑体"/>
            <w:noProof/>
            <w:color w:val="000000" w:themeColor="text1"/>
          </w:rPr>
          <w:t>第六节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重要事项</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_Toc142578260 \h </w:instrText>
        </w:r>
        <w:r w:rsidR="000E33C4">
          <w:rPr>
            <w:noProof/>
            <w:color w:val="000000" w:themeColor="text1"/>
          </w:rPr>
        </w:r>
        <w:r w:rsidR="000E33C4">
          <w:rPr>
            <w:noProof/>
            <w:color w:val="000000" w:themeColor="text1"/>
          </w:rPr>
          <w:fldChar w:fldCharType="separate"/>
        </w:r>
        <w:r w:rsidR="00241718">
          <w:rPr>
            <w:noProof/>
            <w:color w:val="000000" w:themeColor="text1"/>
          </w:rPr>
          <w:t>31</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61" w:history="1">
        <w:r w:rsidR="000E33C4">
          <w:rPr>
            <w:rStyle w:val="aff4"/>
            <w:rFonts w:ascii="黑体" w:hAnsi="黑体"/>
            <w:noProof/>
            <w:color w:val="000000" w:themeColor="text1"/>
          </w:rPr>
          <w:t>第七节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股份变动及股东情况</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_Toc142578261 \h </w:instrText>
        </w:r>
        <w:r w:rsidR="000E33C4">
          <w:rPr>
            <w:noProof/>
            <w:color w:val="000000" w:themeColor="text1"/>
          </w:rPr>
        </w:r>
        <w:r w:rsidR="000E33C4">
          <w:rPr>
            <w:noProof/>
            <w:color w:val="000000" w:themeColor="text1"/>
          </w:rPr>
          <w:fldChar w:fldCharType="separate"/>
        </w:r>
        <w:r w:rsidR="00241718">
          <w:rPr>
            <w:noProof/>
            <w:color w:val="000000" w:themeColor="text1"/>
          </w:rPr>
          <w:t>40</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62" w:history="1">
        <w:r w:rsidR="000E33C4">
          <w:rPr>
            <w:rStyle w:val="aff4"/>
            <w:rFonts w:ascii="黑体" w:hAnsi="黑体"/>
            <w:noProof/>
            <w:color w:val="000000" w:themeColor="text1"/>
          </w:rPr>
          <w:t>第八节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优先股相关情况</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_Toc142578262 \h </w:instrText>
        </w:r>
        <w:r w:rsidR="000E33C4">
          <w:rPr>
            <w:noProof/>
            <w:color w:val="000000" w:themeColor="text1"/>
          </w:rPr>
        </w:r>
        <w:r w:rsidR="000E33C4">
          <w:rPr>
            <w:noProof/>
            <w:color w:val="000000" w:themeColor="text1"/>
          </w:rPr>
          <w:fldChar w:fldCharType="separate"/>
        </w:r>
        <w:r w:rsidR="00241718">
          <w:rPr>
            <w:noProof/>
            <w:color w:val="000000" w:themeColor="text1"/>
          </w:rPr>
          <w:t>43</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63" w:history="1">
        <w:r w:rsidR="000E33C4">
          <w:rPr>
            <w:rStyle w:val="aff4"/>
            <w:rFonts w:ascii="黑体" w:hAnsi="黑体"/>
            <w:noProof/>
            <w:color w:val="000000" w:themeColor="text1"/>
          </w:rPr>
          <w:t>第九节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债券相关情况</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_Toc142578263 \h </w:instrText>
        </w:r>
        <w:r w:rsidR="000E33C4">
          <w:rPr>
            <w:noProof/>
            <w:color w:val="000000" w:themeColor="text1"/>
          </w:rPr>
        </w:r>
        <w:r w:rsidR="000E33C4">
          <w:rPr>
            <w:noProof/>
            <w:color w:val="000000" w:themeColor="text1"/>
          </w:rPr>
          <w:fldChar w:fldCharType="separate"/>
        </w:r>
        <w:r w:rsidR="00241718">
          <w:rPr>
            <w:noProof/>
            <w:color w:val="000000" w:themeColor="text1"/>
          </w:rPr>
          <w:t>44</w:t>
        </w:r>
        <w:r w:rsidR="000E33C4">
          <w:rPr>
            <w:noProof/>
            <w:color w:val="000000" w:themeColor="text1"/>
          </w:rPr>
          <w:fldChar w:fldCharType="end"/>
        </w:r>
      </w:hyperlink>
    </w:p>
    <w:p w:rsidR="000C5659" w:rsidRDefault="00220B84">
      <w:pPr>
        <w:pStyle w:val="11"/>
        <w:tabs>
          <w:tab w:val="left" w:pos="1050"/>
          <w:tab w:val="right" w:leader="dot" w:pos="8823"/>
        </w:tabs>
        <w:ind w:left="422" w:hanging="422"/>
        <w:rPr>
          <w:rFonts w:asciiTheme="minorHAnsi" w:eastAsiaTheme="minorEastAsia" w:hAnsiTheme="minorHAnsi" w:cstheme="minorBidi"/>
          <w:b w:val="0"/>
          <w:bCs/>
          <w:caps w:val="0"/>
          <w:noProof/>
          <w:color w:val="000000" w:themeColor="text1"/>
          <w:kern w:val="2"/>
          <w:szCs w:val="22"/>
          <w14:ligatures w14:val="standardContextual"/>
        </w:rPr>
      </w:pPr>
      <w:hyperlink w:anchor="_Toc142578264" w:history="1">
        <w:r w:rsidR="000E33C4">
          <w:rPr>
            <w:rStyle w:val="aff4"/>
            <w:rFonts w:ascii="黑体" w:hAnsi="黑体"/>
            <w:noProof/>
            <w:color w:val="000000" w:themeColor="text1"/>
          </w:rPr>
          <w:t>第十节</w:t>
        </w:r>
        <w:r w:rsidR="000E33C4">
          <w:rPr>
            <w:rFonts w:asciiTheme="minorHAnsi" w:eastAsiaTheme="minorEastAsia" w:hAnsiTheme="minorHAnsi" w:cstheme="minorBidi"/>
            <w:b w:val="0"/>
            <w:bCs/>
            <w:caps w:val="0"/>
            <w:noProof/>
            <w:color w:val="000000" w:themeColor="text1"/>
            <w:kern w:val="2"/>
            <w:szCs w:val="22"/>
            <w14:ligatures w14:val="standardContextual"/>
          </w:rPr>
          <w:tab/>
        </w:r>
        <w:r w:rsidR="000E33C4">
          <w:rPr>
            <w:rStyle w:val="aff4"/>
            <w:rFonts w:ascii="黑体" w:hAnsi="黑体"/>
            <w:noProof/>
            <w:color w:val="000000" w:themeColor="text1"/>
          </w:rPr>
          <w:t>财务报告</w:t>
        </w:r>
        <w:r w:rsidR="000E33C4">
          <w:rPr>
            <w:noProof/>
            <w:color w:val="000000" w:themeColor="text1"/>
          </w:rPr>
          <w:tab/>
        </w:r>
        <w:r w:rsidR="000E33C4">
          <w:rPr>
            <w:noProof/>
            <w:color w:val="000000" w:themeColor="text1"/>
          </w:rPr>
          <w:fldChar w:fldCharType="begin"/>
        </w:r>
        <w:r w:rsidR="000E33C4">
          <w:rPr>
            <w:noProof/>
            <w:color w:val="000000" w:themeColor="text1"/>
          </w:rPr>
          <w:instrText xml:space="preserve"> PAGEREF _Toc142578264 \h </w:instrText>
        </w:r>
        <w:r w:rsidR="000E33C4">
          <w:rPr>
            <w:noProof/>
            <w:color w:val="000000" w:themeColor="text1"/>
          </w:rPr>
        </w:r>
        <w:r w:rsidR="000E33C4">
          <w:rPr>
            <w:noProof/>
            <w:color w:val="000000" w:themeColor="text1"/>
          </w:rPr>
          <w:fldChar w:fldCharType="separate"/>
        </w:r>
        <w:r w:rsidR="00241718">
          <w:rPr>
            <w:noProof/>
            <w:color w:val="000000" w:themeColor="text1"/>
          </w:rPr>
          <w:t>45</w:t>
        </w:r>
        <w:r w:rsidR="000E33C4">
          <w:rPr>
            <w:noProof/>
            <w:color w:val="000000" w:themeColor="text1"/>
          </w:rPr>
          <w:fldChar w:fldCharType="end"/>
        </w:r>
      </w:hyperlink>
    </w:p>
    <w:p w:rsidR="000C5659" w:rsidRDefault="000E33C4">
      <w:pPr>
        <w:kinsoku w:val="0"/>
        <w:overflowPunct w:val="0"/>
        <w:autoSpaceDE w:val="0"/>
        <w:autoSpaceDN w:val="0"/>
        <w:adjustRightInd w:val="0"/>
        <w:snapToGrid w:val="0"/>
        <w:spacing w:line="360" w:lineRule="auto"/>
        <w:jc w:val="center"/>
        <w:rPr>
          <w:color w:val="000000" w:themeColor="text1"/>
          <w:shd w:val="pct15" w:color="auto" w:fill="FFFFFF"/>
        </w:rPr>
      </w:pPr>
      <w:r>
        <w:rPr>
          <w:color w:val="000000" w:themeColor="text1"/>
          <w:shd w:val="pct15" w:color="auto" w:fill="FFFFFF"/>
        </w:rPr>
        <w:fldChar w:fldCharType="end"/>
      </w:r>
    </w:p>
    <w:p w:rsidR="000C5659" w:rsidRDefault="000C5659">
      <w:pPr>
        <w:spacing w:line="360" w:lineRule="exact"/>
        <w:ind w:right="5"/>
        <w:rPr>
          <w:b/>
          <w:bCs/>
          <w:color w:val="000000" w:themeColor="text1"/>
          <w:sz w:val="24"/>
        </w:rPr>
      </w:pPr>
      <w:bookmarkStart w:id="5" w:name="_Hlk76111741"/>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547"/>
      </w:tblGrid>
      <w:sdt>
        <w:sdtPr>
          <w:rPr>
            <w:color w:val="000000" w:themeColor="text1"/>
          </w:rPr>
          <w:alias w:val="备查文件情况"/>
          <w:tag w:val="_TUP_d1defbbd2758417a8ea21948dd35feef"/>
          <w:id w:val="439038076"/>
          <w:placeholder>
            <w:docPart w:val="GBC11111111111111111111111111111"/>
          </w:placeholder>
        </w:sdtPr>
        <w:sdtEndPr/>
        <w:sdtContent>
          <w:tr w:rsidR="000C5659">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rPr>
                    <w:color w:val="000000" w:themeColor="text1"/>
                  </w:rPr>
                  <w:tag w:val="_PLD_4dedc5664132424db8ffece735208815"/>
                  <w:id w:val="1814136551"/>
                </w:sdtPr>
                <w:sdtEndPr/>
                <w:sdtContent>
                  <w:p w:rsidR="000C5659" w:rsidRDefault="000E33C4">
                    <w:pPr>
                      <w:autoSpaceDE w:val="0"/>
                      <w:autoSpaceDN w:val="0"/>
                      <w:adjustRightInd w:val="0"/>
                      <w:jc w:val="center"/>
                      <w:rPr>
                        <w:color w:val="000000" w:themeColor="text1"/>
                      </w:rPr>
                    </w:pPr>
                    <w:r>
                      <w:rPr>
                        <w:color w:val="000000" w:themeColor="text1"/>
                      </w:rPr>
                      <w:t>备查文件目录</w:t>
                    </w:r>
                  </w:p>
                </w:sdtContent>
              </w:sdt>
            </w:tc>
            <w:sdt>
              <w:sdtPr>
                <w:rPr>
                  <w:color w:val="000000" w:themeColor="text1"/>
                </w:rPr>
                <w:alias w:val="备查文件目录"/>
                <w:tag w:val="_GBC_b75b724a20654c669c9ce009a20dc247"/>
                <w:id w:val="-1172557228"/>
              </w:sdtPr>
              <w:sdtEndPr/>
              <w:sdtContent>
                <w:sdt>
                  <w:sdtPr>
                    <w:rPr>
                      <w:color w:val="000000" w:themeColor="text1"/>
                    </w:rPr>
                    <w:alias w:val="备查文件目录"/>
                    <w:tag w:val="_GBC_b75b724a20654c669c9ce009a20dc247"/>
                    <w:id w:val="-1370837089"/>
                  </w:sdtPr>
                  <w:sdtEndPr/>
                  <w:sdtContent>
                    <w:tc>
                      <w:tcPr>
                        <w:tcW w:w="371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载有公司法定代表人签名的</w:t>
                        </w:r>
                        <w:r>
                          <w:rPr>
                            <w:color w:val="000000" w:themeColor="text1"/>
                          </w:rPr>
                          <w:t>2024年半年度报告</w:t>
                        </w:r>
                      </w:p>
                    </w:tc>
                  </w:sdtContent>
                </w:sdt>
              </w:sdtContent>
            </w:sdt>
          </w:tr>
        </w:sdtContent>
      </w:sdt>
      <w:tr w:rsidR="000C565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0C5659" w:rsidRDefault="000C5659">
            <w:pPr>
              <w:pStyle w:val="Style116"/>
            </w:pPr>
          </w:p>
        </w:tc>
        <w:sdt>
          <w:sdtPr>
            <w:rPr>
              <w:color w:val="000000" w:themeColor="text1"/>
            </w:rPr>
            <w:alias w:val="备查文件目录"/>
            <w:tag w:val="_GBC_b75b724a20654c669c9ce009a20dc247"/>
            <w:id w:val="1744145232"/>
          </w:sdtPr>
          <w:sdtEndPr/>
          <w:sdtContent>
            <w:tc>
              <w:tcPr>
                <w:tcW w:w="371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载有公司法定代表人、主管会计工作负责人、会计机构负责人签名并盖章的财务报告文本</w:t>
                </w:r>
              </w:p>
            </w:tc>
          </w:sdtContent>
        </w:sdt>
      </w:tr>
      <w:tr w:rsidR="000C565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0C5659" w:rsidRDefault="000C5659">
            <w:pPr>
              <w:pStyle w:val="Style116"/>
            </w:pPr>
          </w:p>
        </w:tc>
        <w:sdt>
          <w:sdtPr>
            <w:rPr>
              <w:color w:val="000000" w:themeColor="text1"/>
            </w:rPr>
            <w:alias w:val="备查文件目录"/>
            <w:tag w:val="_GBC_b75b724a20654c669c9ce009a20dc247"/>
            <w:id w:val="-159932994"/>
          </w:sdtPr>
          <w:sdtEndPr/>
          <w:sdtContent>
            <w:tc>
              <w:tcPr>
                <w:tcW w:w="371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报告期内在中国证监会指定报刊上公开披露过的所有公司文本及公告原件</w:t>
                </w:r>
              </w:p>
            </w:tc>
          </w:sdtContent>
        </w:sdt>
      </w:tr>
    </w:tbl>
    <w:p w:rsidR="000C5659" w:rsidRDefault="000C5659">
      <w:pPr>
        <w:spacing w:line="360" w:lineRule="exact"/>
        <w:jc w:val="right"/>
        <w:rPr>
          <w:color w:val="000000" w:themeColor="text1"/>
        </w:rPr>
      </w:pPr>
    </w:p>
    <w:bookmarkEnd w:id="5"/>
    <w:p w:rsidR="000C5659" w:rsidRDefault="000C5659">
      <w:pPr>
        <w:kinsoku w:val="0"/>
        <w:overflowPunct w:val="0"/>
        <w:autoSpaceDE w:val="0"/>
        <w:autoSpaceDN w:val="0"/>
        <w:adjustRightInd w:val="0"/>
        <w:snapToGrid w:val="0"/>
        <w:spacing w:line="360" w:lineRule="exact"/>
        <w:rPr>
          <w:color w:val="000000" w:themeColor="text1"/>
          <w:shd w:val="pct15" w:color="auto" w:fill="FFFFFF"/>
        </w:rPr>
      </w:pPr>
    </w:p>
    <w:p w:rsidR="000C5659" w:rsidRDefault="000E33C4">
      <w:pPr>
        <w:rPr>
          <w:color w:val="000000" w:themeColor="text1"/>
        </w:rPr>
      </w:pPr>
      <w:r>
        <w:rPr>
          <w:color w:val="000000" w:themeColor="text1"/>
        </w:rPr>
        <w:br w:type="page"/>
      </w:r>
    </w:p>
    <w:p w:rsidR="000C5659" w:rsidRDefault="000E33C4">
      <w:pPr>
        <w:pStyle w:val="1"/>
        <w:numPr>
          <w:ilvl w:val="0"/>
          <w:numId w:val="3"/>
        </w:numPr>
        <w:rPr>
          <w:rFonts w:ascii="黑体" w:hAnsi="黑体"/>
          <w:color w:val="000000" w:themeColor="text1"/>
        </w:rPr>
      </w:pPr>
      <w:bookmarkStart w:id="6" w:name="_Toc142578255"/>
      <w:bookmarkStart w:id="7" w:name="_Toc76114272"/>
      <w:bookmarkStart w:id="8" w:name="_Toc342565880"/>
      <w:r>
        <w:rPr>
          <w:rFonts w:ascii="黑体" w:hAnsi="黑体" w:hint="eastAsia"/>
          <w:color w:val="000000" w:themeColor="text1"/>
        </w:rPr>
        <w:lastRenderedPageBreak/>
        <w:t>释义</w:t>
      </w:r>
      <w:bookmarkEnd w:id="6"/>
      <w:bookmarkEnd w:id="7"/>
    </w:p>
    <w:p w:rsidR="000C5659" w:rsidRDefault="000E33C4">
      <w:pPr>
        <w:rPr>
          <w:color w:val="000000" w:themeColor="text1"/>
        </w:rPr>
      </w:pPr>
      <w:r>
        <w:rPr>
          <w:color w:val="000000" w:themeColor="text1"/>
        </w:rPr>
        <w:t>在本报告书中，除非文义另有所指，下列词语具有如下含义：</w:t>
      </w:r>
    </w:p>
    <w:tbl>
      <w:tblPr>
        <w:tblStyle w:val="aff2"/>
        <w:tblW w:w="0" w:type="auto"/>
        <w:tblLook w:val="04A0" w:firstRow="1" w:lastRow="0" w:firstColumn="1" w:lastColumn="0" w:noHBand="0" w:noVBand="1"/>
      </w:tblPr>
      <w:tblGrid>
        <w:gridCol w:w="2606"/>
        <w:gridCol w:w="426"/>
        <w:gridCol w:w="5791"/>
      </w:tblGrid>
      <w:tr w:rsidR="000C5659">
        <w:sdt>
          <w:sdtPr>
            <w:rPr>
              <w:rFonts w:ascii="Times New Roman" w:hAnsi="Times New Roman"/>
              <w:color w:val="000000" w:themeColor="text1"/>
            </w:rPr>
            <w:tag w:val="_PLD_d73bff14187b49a1b1c86b56316c5e47"/>
            <w:id w:val="-789126165"/>
          </w:sdtPr>
          <w:sdtEndPr/>
          <w:sdtContent>
            <w:tc>
              <w:tcPr>
                <w:tcW w:w="9049" w:type="dxa"/>
                <w:gridSpan w:val="3"/>
              </w:tcPr>
              <w:p w:rsidR="000C5659" w:rsidRDefault="000E33C4">
                <w:pPr>
                  <w:rPr>
                    <w:rFonts w:ascii="Times New Roman" w:hAnsi="Times New Roman"/>
                    <w:color w:val="000000" w:themeColor="text1"/>
                  </w:rPr>
                </w:pPr>
                <w:r>
                  <w:rPr>
                    <w:rFonts w:ascii="Times New Roman" w:hAnsi="Times New Roman"/>
                    <w:color w:val="000000" w:themeColor="text1"/>
                  </w:rPr>
                  <w:t>常用词语释义</w:t>
                </w:r>
              </w:p>
            </w:tc>
          </w:sdtContent>
        </w:sdt>
      </w:tr>
      <w:tr w:rsidR="000C5659">
        <w:tc>
          <w:tcPr>
            <w:tcW w:w="2660" w:type="dxa"/>
          </w:tcPr>
          <w:p w:rsidR="000C5659" w:rsidRDefault="000E33C4">
            <w:pPr>
              <w:pStyle w:val="Style116"/>
              <w:rPr>
                <w:rFonts w:ascii="Times New Roman" w:hAnsi="Times New Roman"/>
              </w:rPr>
            </w:pPr>
            <w:r>
              <w:rPr>
                <w:rFonts w:ascii="Times New Roman" w:hAnsi="Times New Roman" w:hint="eastAsia"/>
              </w:rPr>
              <w:t>报告期</w:t>
            </w:r>
          </w:p>
        </w:tc>
        <w:tc>
          <w:tcPr>
            <w:tcW w:w="426" w:type="dxa"/>
          </w:tcPr>
          <w:p w:rsidR="000C5659" w:rsidRDefault="000E33C4">
            <w:pPr>
              <w:jc w:val="center"/>
              <w:rPr>
                <w:rFonts w:ascii="Times New Roman" w:hAnsi="Times New Roman"/>
                <w:color w:val="000000" w:themeColor="text1"/>
                <w:highlight w:val="lightGray"/>
              </w:rPr>
            </w:pPr>
            <w:r>
              <w:rPr>
                <w:rFonts w:ascii="Times New Roman" w:hAnsi="Times New Roman" w:hint="eastAsia"/>
                <w:color w:val="000000" w:themeColor="text1"/>
              </w:rPr>
              <w:t>指</w:t>
            </w:r>
          </w:p>
        </w:tc>
        <w:sdt>
          <w:sdtPr>
            <w:rPr>
              <w:rFonts w:ascii="Times New Roman" w:hAnsi="Times New Roman" w:hint="eastAsia"/>
              <w:color w:val="000000" w:themeColor="text1"/>
            </w:rPr>
            <w:alias w:val="常用词语释义"/>
            <w:tag w:val="_GBC_b625dd71b03542c3b074c2ce59de70ad"/>
            <w:id w:val="469945539"/>
          </w:sdtPr>
          <w:sdtEndPr/>
          <w:sdtContent>
            <w:tc>
              <w:tcPr>
                <w:tcW w:w="5963" w:type="dxa"/>
              </w:tcPr>
              <w:p w:rsidR="000C5659" w:rsidRDefault="000E33C4">
                <w:pPr>
                  <w:rPr>
                    <w:rFonts w:ascii="Times New Roman" w:hAnsi="Times New Roman"/>
                    <w:color w:val="000000" w:themeColor="text1"/>
                  </w:rPr>
                </w:pPr>
                <w:r>
                  <w:rPr>
                    <w:rFonts w:ascii="Times New Roman" w:hAnsi="Times New Roman"/>
                    <w:color w:val="000000" w:themeColor="text1"/>
                  </w:rPr>
                  <w:t>2024</w:t>
                </w:r>
                <w:r>
                  <w:rPr>
                    <w:rFonts w:ascii="Times New Roman" w:hAnsi="Times New Roman"/>
                    <w:color w:val="000000" w:themeColor="text1"/>
                  </w:rPr>
                  <w:t>年</w:t>
                </w:r>
                <w:r>
                  <w:rPr>
                    <w:rFonts w:ascii="Times New Roman" w:hAnsi="Times New Roman"/>
                    <w:color w:val="000000" w:themeColor="text1"/>
                  </w:rPr>
                  <w:t>1</w:t>
                </w:r>
                <w:r>
                  <w:rPr>
                    <w:rFonts w:ascii="Times New Roman" w:hAnsi="Times New Roman"/>
                    <w:color w:val="000000" w:themeColor="text1"/>
                  </w:rPr>
                  <w:t>月</w:t>
                </w:r>
                <w:r>
                  <w:rPr>
                    <w:rFonts w:ascii="Times New Roman" w:hAnsi="Times New Roman"/>
                    <w:color w:val="000000" w:themeColor="text1"/>
                  </w:rPr>
                  <w:t>1</w:t>
                </w:r>
                <w:r>
                  <w:rPr>
                    <w:rFonts w:ascii="Times New Roman" w:hAnsi="Times New Roman"/>
                    <w:color w:val="000000" w:themeColor="text1"/>
                  </w:rPr>
                  <w:t>日至</w:t>
                </w:r>
                <w:r>
                  <w:rPr>
                    <w:rFonts w:ascii="Times New Roman" w:hAnsi="Times New Roman"/>
                    <w:color w:val="000000" w:themeColor="text1"/>
                  </w:rPr>
                  <w:t>2024</w:t>
                </w:r>
                <w:r>
                  <w:rPr>
                    <w:rFonts w:ascii="Times New Roman" w:hAnsi="Times New Roman"/>
                    <w:color w:val="000000" w:themeColor="text1"/>
                  </w:rPr>
                  <w:t>年</w:t>
                </w:r>
                <w:r>
                  <w:rPr>
                    <w:rFonts w:ascii="Times New Roman" w:hAnsi="Times New Roman"/>
                    <w:color w:val="000000" w:themeColor="text1"/>
                  </w:rPr>
                  <w:t>6</w:t>
                </w:r>
                <w:r>
                  <w:rPr>
                    <w:rFonts w:ascii="Times New Roman" w:hAnsi="Times New Roman"/>
                    <w:color w:val="000000" w:themeColor="text1"/>
                  </w:rPr>
                  <w:t>月</w:t>
                </w:r>
                <w:r>
                  <w:rPr>
                    <w:rFonts w:ascii="Times New Roman" w:hAnsi="Times New Roman"/>
                    <w:color w:val="000000" w:themeColor="text1"/>
                  </w:rPr>
                  <w:t>30</w:t>
                </w:r>
                <w:r>
                  <w:rPr>
                    <w:rFonts w:ascii="Times New Roman" w:hAnsi="Times New Roman"/>
                    <w:color w:val="000000" w:themeColor="text1"/>
                  </w:rPr>
                  <w:t>日</w:t>
                </w:r>
              </w:p>
            </w:tc>
          </w:sdtContent>
        </w:sdt>
      </w:tr>
      <w:tr w:rsidR="000C5659">
        <w:tc>
          <w:tcPr>
            <w:tcW w:w="2660" w:type="dxa"/>
          </w:tcPr>
          <w:p w:rsidR="000C5659" w:rsidRDefault="000E33C4">
            <w:pPr>
              <w:pStyle w:val="Style116"/>
              <w:rPr>
                <w:rFonts w:ascii="Times New Roman" w:hAnsi="Times New Roman"/>
              </w:rPr>
            </w:pPr>
            <w:r>
              <w:rPr>
                <w:rFonts w:ascii="Times New Roman" w:hAnsi="Times New Roman" w:hint="eastAsia"/>
              </w:rPr>
              <w:t>公司、本公司、倍加洁、股份公司、上市公司、发行人</w:t>
            </w:r>
          </w:p>
        </w:tc>
        <w:tc>
          <w:tcPr>
            <w:tcW w:w="426" w:type="dxa"/>
          </w:tcPr>
          <w:p w:rsidR="000C5659" w:rsidRDefault="000E33C4">
            <w:pPr>
              <w:jc w:val="center"/>
              <w:rPr>
                <w:rFonts w:ascii="Times New Roman" w:hAnsi="Times New Roman"/>
                <w:color w:val="000000" w:themeColor="text1"/>
                <w:highlight w:val="lightGray"/>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倍加洁集团股份有限公司</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扬州农商行</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江苏扬州农村商业银行股份有限公司</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股东大会</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倍加洁集团股份有限公司股东大会</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董事会</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倍加洁集团股份有限公司董事会</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监事会</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倍加洁集团股份有限公司监事会</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O</w:t>
            </w:r>
            <w:r>
              <w:rPr>
                <w:rFonts w:ascii="Times New Roman" w:hAnsi="Times New Roman"/>
              </w:rPr>
              <w:t>DM</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英文</w:t>
            </w:r>
            <w:r>
              <w:rPr>
                <w:rFonts w:ascii="Times New Roman" w:hAnsi="Times New Roman"/>
                <w:color w:val="000000" w:themeColor="text1"/>
              </w:rPr>
              <w:t>Original Design Manufacturer(</w:t>
            </w:r>
            <w:r>
              <w:rPr>
                <w:rFonts w:ascii="Times New Roman" w:hAnsi="Times New Roman"/>
                <w:color w:val="000000" w:themeColor="text1"/>
              </w:rPr>
              <w:t>原始设计商</w:t>
            </w:r>
            <w:r>
              <w:rPr>
                <w:rFonts w:ascii="Times New Roman" w:hAnsi="Times New Roman"/>
                <w:color w:val="000000" w:themeColor="text1"/>
              </w:rPr>
              <w:t>)</w:t>
            </w:r>
            <w:r>
              <w:rPr>
                <w:rFonts w:ascii="Times New Roman" w:hAnsi="Times New Roman"/>
                <w:color w:val="000000" w:themeColor="text1"/>
              </w:rPr>
              <w:t>的缩写，是一家厂商根据另一家厂商的规格和要求，设计和生产产品</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O</w:t>
            </w:r>
            <w:r>
              <w:rPr>
                <w:rFonts w:ascii="Times New Roman" w:hAnsi="Times New Roman"/>
              </w:rPr>
              <w:t>EM</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英文</w:t>
            </w:r>
            <w:r>
              <w:rPr>
                <w:rFonts w:ascii="Times New Roman" w:hAnsi="Times New Roman"/>
                <w:color w:val="000000" w:themeColor="text1"/>
              </w:rPr>
              <w:t>Original Equipment Manufacturer(</w:t>
            </w:r>
            <w:r>
              <w:rPr>
                <w:rFonts w:ascii="Times New Roman" w:hAnsi="Times New Roman"/>
                <w:color w:val="000000" w:themeColor="text1"/>
              </w:rPr>
              <w:t>原始设备制造商</w:t>
            </w:r>
            <w:r>
              <w:rPr>
                <w:rFonts w:ascii="Times New Roman" w:hAnsi="Times New Roman"/>
                <w:color w:val="000000" w:themeColor="text1"/>
              </w:rPr>
              <w:t>)</w:t>
            </w:r>
            <w:r>
              <w:rPr>
                <w:rFonts w:ascii="Times New Roman" w:hAnsi="Times New Roman"/>
                <w:color w:val="000000" w:themeColor="text1"/>
              </w:rPr>
              <w:t>的缩写，是指</w:t>
            </w:r>
            <w:r>
              <w:rPr>
                <w:rFonts w:ascii="Times New Roman" w:hAnsi="Times New Roman" w:hint="eastAsia"/>
                <w:color w:val="000000" w:themeColor="text1"/>
              </w:rPr>
              <w:t>一种代工生产方式，制造厂商依据品牌商提供的产品样式生产制造产品</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O</w:t>
            </w:r>
            <w:r>
              <w:rPr>
                <w:rFonts w:ascii="Times New Roman" w:hAnsi="Times New Roman"/>
              </w:rPr>
              <w:t>BM</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英文</w:t>
            </w:r>
            <w:r>
              <w:rPr>
                <w:rFonts w:ascii="Times New Roman" w:hAnsi="Times New Roman"/>
                <w:color w:val="000000" w:themeColor="text1"/>
              </w:rPr>
              <w:t>Original Brand Manufacturer</w:t>
            </w:r>
            <w:r>
              <w:rPr>
                <w:rFonts w:ascii="Times New Roman" w:hAnsi="Times New Roman" w:hint="eastAsia"/>
                <w:color w:val="000000" w:themeColor="text1"/>
              </w:rPr>
              <w:t>（</w:t>
            </w:r>
            <w:r>
              <w:rPr>
                <w:rFonts w:ascii="Times New Roman" w:hAnsi="Times New Roman"/>
                <w:color w:val="000000" w:themeColor="text1"/>
              </w:rPr>
              <w:t>原始品牌制造商</w:t>
            </w:r>
            <w:r>
              <w:rPr>
                <w:rFonts w:ascii="Times New Roman" w:hAnsi="Times New Roman" w:hint="eastAsia"/>
                <w:color w:val="000000" w:themeColor="text1"/>
              </w:rPr>
              <w:t>）的缩写，是生产商自行创立产品品牌，生产、销售拥有自主品牌的产品</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倍加洁日化</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扬州倍加洁日化有限公司，为公司全资子公司</w:t>
            </w:r>
          </w:p>
        </w:tc>
      </w:tr>
      <w:tr w:rsidR="000C5659">
        <w:trPr>
          <w:trHeight w:val="178"/>
        </w:trPr>
        <w:tc>
          <w:tcPr>
            <w:tcW w:w="2660" w:type="dxa"/>
          </w:tcPr>
          <w:p w:rsidR="000C5659" w:rsidRDefault="000E33C4">
            <w:pPr>
              <w:pStyle w:val="Style116"/>
              <w:rPr>
                <w:rFonts w:ascii="Times New Roman" w:hAnsi="Times New Roman"/>
              </w:rPr>
            </w:pPr>
            <w:r>
              <w:rPr>
                <w:rFonts w:ascii="Times New Roman" w:hAnsi="Times New Roman" w:hint="eastAsia"/>
              </w:rPr>
              <w:t>美星口腔</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扬州美星口腔护理用品有限公司，为公司全资子公司</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扬州竟成</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扬州竟成企业管理咨询合伙企业（有限合伙）</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扬州和成</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pStyle w:val="Style116"/>
              <w:rPr>
                <w:rFonts w:ascii="Times New Roman" w:hAnsi="Times New Roman"/>
              </w:rPr>
            </w:pPr>
            <w:r>
              <w:rPr>
                <w:rFonts w:ascii="Times New Roman" w:hAnsi="Times New Roman" w:hint="eastAsia"/>
                <w:color w:val="000000" w:themeColor="text1"/>
              </w:rPr>
              <w:t>扬州和成企业管理咨询合伙企业（有限合伙）</w:t>
            </w:r>
          </w:p>
        </w:tc>
      </w:tr>
      <w:tr w:rsidR="000C5659">
        <w:tc>
          <w:tcPr>
            <w:tcW w:w="2660"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江苏明星牙刷</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江苏明星牙刷有限公司，为公司全资子公司</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恒生模具</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pStyle w:val="Style116"/>
              <w:rPr>
                <w:rFonts w:ascii="Times New Roman" w:hAnsi="Times New Roman"/>
              </w:rPr>
            </w:pPr>
            <w:r>
              <w:rPr>
                <w:rFonts w:ascii="Times New Roman" w:hAnsi="Times New Roman" w:hint="eastAsia"/>
                <w:color w:val="000000" w:themeColor="text1"/>
              </w:rPr>
              <w:t>扬州恒生精密模具有限公司，为公司全资子公司</w:t>
            </w:r>
          </w:p>
        </w:tc>
      </w:tr>
      <w:tr w:rsidR="000C5659">
        <w:tc>
          <w:tcPr>
            <w:tcW w:w="2660"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杭州益倍</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杭州益倍电子商务有限公司</w:t>
            </w:r>
          </w:p>
        </w:tc>
      </w:tr>
      <w:tr w:rsidR="000C5659">
        <w:tc>
          <w:tcPr>
            <w:tcW w:w="2660"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杭州益亲</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杭州</w:t>
            </w:r>
            <w:r>
              <w:rPr>
                <w:rFonts w:ascii="Times New Roman" w:hAnsi="Times New Roman"/>
                <w:color w:val="000000" w:themeColor="text1"/>
              </w:rPr>
              <w:t>益亲电子商务有限公司</w:t>
            </w:r>
          </w:p>
        </w:tc>
      </w:tr>
      <w:tr w:rsidR="000C5659">
        <w:tc>
          <w:tcPr>
            <w:tcW w:w="2660" w:type="dxa"/>
          </w:tcPr>
          <w:p w:rsidR="000C5659" w:rsidRDefault="000E33C4">
            <w:pPr>
              <w:rPr>
                <w:rFonts w:ascii="Times New Roman" w:hAnsi="Times New Roman"/>
                <w:color w:val="000000" w:themeColor="text1"/>
              </w:rPr>
            </w:pPr>
            <w:r>
              <w:rPr>
                <w:rFonts w:ascii="Times New Roman" w:hAnsi="Times New Roman" w:hint="eastAsia"/>
                <w:color w:val="000000" w:themeColor="text1"/>
              </w:rPr>
              <w:t>云舒壹号</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珠海云舒壹号企业管理合伙企业（有限合伙）</w:t>
            </w:r>
          </w:p>
        </w:tc>
      </w:tr>
      <w:tr w:rsidR="000C5659">
        <w:tc>
          <w:tcPr>
            <w:tcW w:w="2660" w:type="dxa"/>
          </w:tcPr>
          <w:p w:rsidR="000C5659" w:rsidRDefault="000E33C4">
            <w:pPr>
              <w:rPr>
                <w:rFonts w:ascii="Times New Roman" w:hAnsi="Times New Roman"/>
                <w:color w:val="000000" w:themeColor="text1"/>
              </w:rPr>
            </w:pPr>
            <w:r>
              <w:rPr>
                <w:rFonts w:ascii="Times New Roman" w:hAnsi="Times New Roman" w:hint="eastAsia"/>
                <w:color w:val="000000" w:themeColor="text1"/>
              </w:rPr>
              <w:t>云舒贰号</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珠海云舒贰号企业管理合伙企业（有限合伙）</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南京沄洁</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pStyle w:val="Style116"/>
              <w:rPr>
                <w:rFonts w:ascii="Times New Roman" w:hAnsi="Times New Roman"/>
              </w:rPr>
            </w:pPr>
            <w:r>
              <w:rPr>
                <w:rFonts w:ascii="Times New Roman" w:hAnsi="Times New Roman" w:hint="eastAsia"/>
                <w:color w:val="000000" w:themeColor="text1"/>
              </w:rPr>
              <w:t>南京沄洁科技有限公司</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薇美姿</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pStyle w:val="Style116"/>
              <w:rPr>
                <w:rFonts w:ascii="Times New Roman" w:hAnsi="Times New Roman"/>
              </w:rPr>
            </w:pPr>
            <w:r>
              <w:rPr>
                <w:rFonts w:ascii="Times New Roman" w:hAnsi="Times New Roman" w:hint="eastAsia"/>
                <w:color w:val="000000" w:themeColor="text1"/>
              </w:rPr>
              <w:t>薇美姿实业（广东）股份有限公司</w:t>
            </w:r>
          </w:p>
        </w:tc>
      </w:tr>
      <w:tr w:rsidR="000C5659">
        <w:tc>
          <w:tcPr>
            <w:tcW w:w="2660" w:type="dxa"/>
          </w:tcPr>
          <w:p w:rsidR="000C5659" w:rsidRDefault="000E33C4">
            <w:pPr>
              <w:rPr>
                <w:rFonts w:ascii="Times New Roman" w:hAnsi="Times New Roman"/>
                <w:color w:val="000000" w:themeColor="text1"/>
              </w:rPr>
            </w:pPr>
            <w:r>
              <w:rPr>
                <w:rFonts w:ascii="Times New Roman" w:hAnsi="Times New Roman" w:hint="eastAsia"/>
                <w:color w:val="000000" w:themeColor="text1"/>
              </w:rPr>
              <w:t>善恩康</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rPr>
                <w:rFonts w:ascii="Times New Roman" w:hAnsi="Times New Roman"/>
                <w:color w:val="000000" w:themeColor="text1"/>
              </w:rPr>
            </w:pPr>
            <w:r>
              <w:rPr>
                <w:rFonts w:ascii="Times New Roman" w:hAnsi="Times New Roman" w:hint="eastAsia"/>
                <w:color w:val="000000" w:themeColor="text1"/>
              </w:rPr>
              <w:t>善恩康生物科技（苏州）有限公司</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重庆登康</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tcPr>
          <w:p w:rsidR="000C5659" w:rsidRDefault="000E33C4">
            <w:pPr>
              <w:pStyle w:val="Style116"/>
              <w:rPr>
                <w:rFonts w:ascii="Times New Roman" w:hAnsi="Times New Roman"/>
              </w:rPr>
            </w:pPr>
            <w:r>
              <w:rPr>
                <w:rFonts w:ascii="Times New Roman" w:hAnsi="Times New Roman" w:hint="eastAsia"/>
                <w:color w:val="000000" w:themeColor="text1"/>
              </w:rPr>
              <w:t>重庆登康口腔护理用品股份有限公司</w:t>
            </w:r>
          </w:p>
        </w:tc>
      </w:tr>
      <w:tr w:rsidR="000C5659">
        <w:tc>
          <w:tcPr>
            <w:tcW w:w="2660" w:type="dxa"/>
          </w:tcPr>
          <w:p w:rsidR="000C5659" w:rsidRDefault="000E33C4">
            <w:pPr>
              <w:pStyle w:val="Style116"/>
              <w:rPr>
                <w:rFonts w:ascii="Times New Roman" w:hAnsi="Times New Roman"/>
              </w:rPr>
            </w:pPr>
            <w:r>
              <w:rPr>
                <w:rFonts w:ascii="Times New Roman" w:hAnsi="Times New Roman" w:hint="eastAsia"/>
              </w:rPr>
              <w:t>云南白药</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vAlign w:val="center"/>
          </w:tcPr>
          <w:p w:rsidR="000C5659" w:rsidRDefault="000E33C4">
            <w:pPr>
              <w:pStyle w:val="Style116"/>
              <w:rPr>
                <w:rFonts w:ascii="Times New Roman" w:hAnsi="Times New Roman"/>
              </w:rPr>
            </w:pPr>
            <w:r>
              <w:rPr>
                <w:rFonts w:ascii="Times New Roman" w:hAnsi="Times New Roman"/>
                <w:color w:val="000000" w:themeColor="text1"/>
              </w:rPr>
              <w:t>云南白药集团健康产品有限公司</w:t>
            </w:r>
          </w:p>
        </w:tc>
      </w:tr>
      <w:tr w:rsidR="000C5659">
        <w:tc>
          <w:tcPr>
            <w:tcW w:w="2660" w:type="dxa"/>
          </w:tcPr>
          <w:p w:rsidR="000C5659" w:rsidRDefault="000E33C4">
            <w:pPr>
              <w:pStyle w:val="Style116"/>
              <w:rPr>
                <w:rFonts w:ascii="Times New Roman" w:hAnsi="Times New Roman"/>
              </w:rPr>
            </w:pPr>
            <w:r>
              <w:rPr>
                <w:rFonts w:ascii="Times New Roman" w:hAnsi="Times New Roman"/>
              </w:rPr>
              <w:t>Medline</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vAlign w:val="center"/>
          </w:tcPr>
          <w:p w:rsidR="000C5659" w:rsidRDefault="000E33C4">
            <w:pPr>
              <w:pStyle w:val="Style116"/>
              <w:rPr>
                <w:rFonts w:ascii="Times New Roman" w:hAnsi="Times New Roman"/>
              </w:rPr>
            </w:pPr>
            <w:r>
              <w:rPr>
                <w:rFonts w:ascii="Times New Roman" w:hAnsi="Times New Roman"/>
                <w:color w:val="000000" w:themeColor="text1"/>
              </w:rPr>
              <w:t>Medline Industries, LP</w:t>
            </w:r>
          </w:p>
        </w:tc>
      </w:tr>
      <w:tr w:rsidR="000C5659">
        <w:tc>
          <w:tcPr>
            <w:tcW w:w="2660" w:type="dxa"/>
          </w:tcPr>
          <w:p w:rsidR="000C5659" w:rsidRDefault="000E33C4">
            <w:pPr>
              <w:pStyle w:val="Style116"/>
              <w:rPr>
                <w:rFonts w:ascii="Times New Roman" w:hAnsi="Times New Roman"/>
              </w:rPr>
            </w:pPr>
            <w:r>
              <w:rPr>
                <w:rFonts w:ascii="Times New Roman" w:hAnsi="Times New Roman"/>
              </w:rPr>
              <w:t>CARDINAL HEALTH</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vAlign w:val="center"/>
          </w:tcPr>
          <w:p w:rsidR="000C5659" w:rsidRDefault="000E33C4">
            <w:pPr>
              <w:pStyle w:val="Style116"/>
              <w:rPr>
                <w:rFonts w:ascii="Times New Roman" w:hAnsi="Times New Roman"/>
              </w:rPr>
            </w:pPr>
            <w:r>
              <w:rPr>
                <w:rFonts w:ascii="Times New Roman" w:hAnsi="Times New Roman"/>
                <w:color w:val="000000" w:themeColor="text1"/>
              </w:rPr>
              <w:t>CARDINAL HEALTH SINGAPORE 225 P L</w:t>
            </w:r>
          </w:p>
        </w:tc>
      </w:tr>
      <w:tr w:rsidR="000C5659">
        <w:tc>
          <w:tcPr>
            <w:tcW w:w="2660" w:type="dxa"/>
          </w:tcPr>
          <w:p w:rsidR="000C5659" w:rsidRDefault="000E33C4">
            <w:pPr>
              <w:pStyle w:val="115"/>
            </w:pPr>
            <w:r>
              <w:rPr>
                <w:rFonts w:hint="eastAsia"/>
                <w:bCs w:val="0"/>
                <w:color w:val="auto"/>
                <w:szCs w:val="21"/>
              </w:rPr>
              <w:t>欧睿国际</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vAlign w:val="center"/>
          </w:tcPr>
          <w:p w:rsidR="000C5659" w:rsidRDefault="000E33C4">
            <w:pPr>
              <w:pStyle w:val="Style116"/>
              <w:rPr>
                <w:rFonts w:ascii="Times New Roman" w:hAnsi="Times New Roman"/>
              </w:rPr>
            </w:pPr>
            <w:r>
              <w:rPr>
                <w:rFonts w:ascii="Times New Roman" w:hAnsi="Times New Roman" w:hint="eastAsia"/>
                <w:color w:val="000000" w:themeColor="text1"/>
              </w:rPr>
              <w:t>一家独立的市场研究咨询公司，提供当今日益国际化的商业环境中所需的全球、国家和本地商业信息的深度数据等。</w:t>
            </w:r>
          </w:p>
        </w:tc>
      </w:tr>
      <w:tr w:rsidR="000C5659">
        <w:tc>
          <w:tcPr>
            <w:tcW w:w="2660" w:type="dxa"/>
          </w:tcPr>
          <w:p w:rsidR="000C5659" w:rsidRDefault="000E33C4">
            <w:pPr>
              <w:pStyle w:val="115"/>
              <w:rPr>
                <w:bCs w:val="0"/>
                <w:color w:val="auto"/>
                <w:szCs w:val="21"/>
              </w:rPr>
            </w:pPr>
            <w:r>
              <w:rPr>
                <w:rFonts w:hint="eastAsia"/>
                <w:bCs w:val="0"/>
                <w:color w:val="auto"/>
                <w:szCs w:val="21"/>
              </w:rPr>
              <w:t>欧特欧咨询</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欧特欧咨询专注于电商大数据监测与研究，是国内率先实现网络零售全平台、全品类监测的权威机构。</w:t>
            </w:r>
          </w:p>
        </w:tc>
      </w:tr>
      <w:tr w:rsidR="000C5659">
        <w:tc>
          <w:tcPr>
            <w:tcW w:w="2660" w:type="dxa"/>
          </w:tcPr>
          <w:p w:rsidR="000C5659" w:rsidRDefault="000E33C4">
            <w:pPr>
              <w:pStyle w:val="115"/>
            </w:pPr>
            <w:r>
              <w:rPr>
                <w:rFonts w:hint="eastAsia"/>
                <w:bCs w:val="0"/>
                <w:color w:val="auto"/>
                <w:szCs w:val="21"/>
              </w:rPr>
              <w:t>智研瞻</w:t>
            </w:r>
          </w:p>
        </w:tc>
        <w:tc>
          <w:tcPr>
            <w:tcW w:w="42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指</w:t>
            </w:r>
          </w:p>
        </w:tc>
        <w:tc>
          <w:tcPr>
            <w:tcW w:w="5963" w:type="dxa"/>
            <w:vAlign w:val="center"/>
          </w:tcPr>
          <w:p w:rsidR="000C5659" w:rsidRDefault="000E33C4">
            <w:pPr>
              <w:pStyle w:val="Style116"/>
              <w:rPr>
                <w:rFonts w:ascii="Times New Roman" w:hAnsi="Times New Roman"/>
              </w:rPr>
            </w:pPr>
            <w:r>
              <w:rPr>
                <w:rFonts w:ascii="Times New Roman" w:hAnsi="Times New Roman" w:hint="eastAsia"/>
              </w:rPr>
              <w:t>智研瞻产业研究院是国内权威的市场调查、行业分析专家，主要服务有市场调查报告、行业分析报告、投资发展报告、市场研究报告、</w:t>
            </w:r>
            <w:r>
              <w:rPr>
                <w:rFonts w:ascii="Times New Roman" w:hAnsi="Times New Roman"/>
              </w:rPr>
              <w:t>市场分析报告</w:t>
            </w:r>
            <w:r>
              <w:rPr>
                <w:rFonts w:ascii="Times New Roman" w:hAnsi="Times New Roman" w:hint="eastAsia"/>
              </w:rPr>
              <w:t>、</w:t>
            </w:r>
            <w:r>
              <w:rPr>
                <w:rFonts w:ascii="Times New Roman" w:hAnsi="Times New Roman"/>
              </w:rPr>
              <w:t>行业研究报告</w:t>
            </w:r>
            <w:r>
              <w:rPr>
                <w:rFonts w:ascii="Times New Roman" w:hAnsi="Times New Roman" w:hint="eastAsia"/>
              </w:rPr>
              <w:t>、</w:t>
            </w:r>
            <w:r>
              <w:rPr>
                <w:rFonts w:ascii="Times New Roman" w:hAnsi="Times New Roman"/>
              </w:rPr>
              <w:t>行业调查报告</w:t>
            </w:r>
            <w:r>
              <w:rPr>
                <w:rFonts w:ascii="Times New Roman" w:hAnsi="Times New Roman" w:hint="eastAsia"/>
              </w:rPr>
              <w:t>、</w:t>
            </w:r>
            <w:r>
              <w:rPr>
                <w:rFonts w:ascii="Times New Roman" w:hAnsi="Times New Roman"/>
              </w:rPr>
              <w:t>投资咨询报告</w:t>
            </w:r>
            <w:r>
              <w:rPr>
                <w:rFonts w:ascii="Times New Roman" w:hAnsi="Times New Roman" w:hint="eastAsia"/>
              </w:rPr>
              <w:t>、</w:t>
            </w:r>
            <w:r>
              <w:rPr>
                <w:rFonts w:ascii="Times New Roman" w:hAnsi="Times New Roman"/>
              </w:rPr>
              <w:t>投资情报</w:t>
            </w:r>
            <w:r>
              <w:rPr>
                <w:rFonts w:ascii="Times New Roman" w:hAnsi="Times New Roman" w:hint="eastAsia"/>
              </w:rPr>
              <w:t>、</w:t>
            </w:r>
            <w:r>
              <w:rPr>
                <w:rFonts w:ascii="Times New Roman" w:hAnsi="Times New Roman"/>
              </w:rPr>
              <w:t>免费报告</w:t>
            </w:r>
            <w:r>
              <w:rPr>
                <w:rFonts w:ascii="Times New Roman" w:hAnsi="Times New Roman" w:hint="eastAsia"/>
              </w:rPr>
              <w:t>、</w:t>
            </w:r>
            <w:r>
              <w:rPr>
                <w:rFonts w:ascii="Times New Roman" w:hAnsi="Times New Roman"/>
              </w:rPr>
              <w:t>行业咨询</w:t>
            </w:r>
            <w:r>
              <w:rPr>
                <w:rFonts w:ascii="Times New Roman" w:hAnsi="Times New Roman" w:hint="eastAsia"/>
              </w:rPr>
              <w:t>、</w:t>
            </w:r>
            <w:r>
              <w:rPr>
                <w:rFonts w:ascii="Times New Roman" w:hAnsi="Times New Roman"/>
              </w:rPr>
              <w:t>数据等</w:t>
            </w:r>
            <w:r>
              <w:rPr>
                <w:rFonts w:ascii="Times New Roman" w:hAnsi="Times New Roman" w:hint="eastAsia"/>
              </w:rPr>
              <w:t>，</w:t>
            </w:r>
            <w:r>
              <w:rPr>
                <w:rFonts w:ascii="Times New Roman" w:hAnsi="Times New Roman"/>
              </w:rPr>
              <w:t>是中国知名的研究报告提供商</w:t>
            </w:r>
            <w:r>
              <w:rPr>
                <w:rFonts w:ascii="Times New Roman" w:hAnsi="Times New Roman" w:hint="eastAsia"/>
              </w:rPr>
              <w:t>。</w:t>
            </w:r>
          </w:p>
        </w:tc>
      </w:tr>
    </w:tbl>
    <w:p w:rsidR="000C5659" w:rsidRDefault="000E33C4">
      <w:pPr>
        <w:pStyle w:val="1"/>
        <w:numPr>
          <w:ilvl w:val="0"/>
          <w:numId w:val="3"/>
        </w:numPr>
        <w:rPr>
          <w:rFonts w:ascii="黑体" w:hAnsi="黑体"/>
          <w:color w:val="000000" w:themeColor="text1"/>
          <w:u w:val="single"/>
        </w:rPr>
      </w:pPr>
      <w:bookmarkStart w:id="9" w:name="_Toc76114273"/>
      <w:bookmarkStart w:id="10" w:name="_Toc142578256"/>
      <w:r>
        <w:rPr>
          <w:rFonts w:ascii="黑体" w:hAnsi="黑体" w:hint="eastAsia"/>
          <w:color w:val="000000" w:themeColor="text1"/>
        </w:rPr>
        <w:t>公司简介</w:t>
      </w:r>
      <w:bookmarkEnd w:id="8"/>
      <w:r>
        <w:rPr>
          <w:rFonts w:ascii="黑体" w:hAnsi="黑体" w:hint="eastAsia"/>
          <w:color w:val="000000" w:themeColor="text1"/>
        </w:rPr>
        <w:t>和主要财务指标</w:t>
      </w:r>
      <w:bookmarkEnd w:id="9"/>
      <w:bookmarkEnd w:id="10"/>
    </w:p>
    <w:p w:rsidR="000C5659" w:rsidRDefault="000E33C4">
      <w:pPr>
        <w:pStyle w:val="2"/>
        <w:numPr>
          <w:ilvl w:val="0"/>
          <w:numId w:val="4"/>
        </w:numPr>
        <w:ind w:firstLineChars="0"/>
        <w:rPr>
          <w:color w:val="000000" w:themeColor="text1"/>
        </w:rPr>
      </w:pPr>
      <w:bookmarkStart w:id="11" w:name="_Toc342565881"/>
      <w:bookmarkStart w:id="12" w:name="_Toc342051041"/>
      <w:r>
        <w:rPr>
          <w:rFonts w:hint="eastAsia"/>
          <w:color w:val="000000" w:themeColor="text1"/>
        </w:rPr>
        <w:t>公司信息</w:t>
      </w:r>
      <w:bookmarkEnd w:id="11"/>
      <w:bookmarkEnd w:id="12"/>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0C5659">
        <w:trPr>
          <w:trHeight w:val="293"/>
        </w:trPr>
        <w:sdt>
          <w:sdtPr>
            <w:rPr>
              <w:color w:val="000000" w:themeColor="text1"/>
            </w:rPr>
            <w:tag w:val="_PLD_372cd7a5ecc1420488735479d42bf939"/>
            <w:id w:val="-1382087685"/>
          </w:sdtPr>
          <w:sdtEndPr/>
          <w:sdtContent>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t>公司的中文名称</w:t>
                </w:r>
              </w:p>
            </w:tc>
          </w:sdtContent>
        </w:sdt>
        <w:sdt>
          <w:sdtPr>
            <w:rPr>
              <w:rFonts w:hint="eastAsia"/>
              <w:color w:val="000000" w:themeColor="text1"/>
            </w:rPr>
            <w:alias w:val="公司法定中文名称"/>
            <w:tag w:val="_GBC_6f7f4fb261c84402a309f1371502ca4f"/>
            <w:id w:val="-300388938"/>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0C5659" w:rsidRDefault="00B708C8">
                <w:pPr>
                  <w:kinsoku w:val="0"/>
                  <w:overflowPunct w:val="0"/>
                  <w:autoSpaceDE w:val="0"/>
                  <w:autoSpaceDN w:val="0"/>
                  <w:adjustRightInd w:val="0"/>
                  <w:snapToGrid w:val="0"/>
                  <w:rPr>
                    <w:color w:val="000000" w:themeColor="text1"/>
                  </w:rPr>
                </w:pPr>
                <w:r>
                  <w:rPr>
                    <w:rFonts w:hint="eastAsia"/>
                    <w:color w:val="000000" w:themeColor="text1"/>
                  </w:rPr>
                  <w:t>倍加洁集团股份有限公司</w:t>
                </w:r>
              </w:p>
            </w:tc>
          </w:sdtContent>
        </w:sdt>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lastRenderedPageBreak/>
              <w:t>公司的中文简称</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rPr>
                <w:rFonts w:hint="eastAsia"/>
              </w:rPr>
              <w:t>倍加洁</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公司的外文名称</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t>Perfect Group Corp.,Ltd</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公司的外文名称缩写</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t>Perfect</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公司的</w:t>
            </w:r>
            <w:r>
              <w:rPr>
                <w:rFonts w:hint="eastAsia"/>
                <w:color w:val="000000" w:themeColor="text1"/>
              </w:rPr>
              <w:t>法定代表人</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t>张文生</w:t>
            </w:r>
          </w:p>
        </w:tc>
      </w:tr>
    </w:tbl>
    <w:p w:rsidR="000C5659" w:rsidRDefault="000C5659">
      <w:pPr>
        <w:rPr>
          <w:color w:val="000000" w:themeColor="text1"/>
        </w:rPr>
      </w:pPr>
    </w:p>
    <w:p w:rsidR="000C5659" w:rsidRDefault="000E33C4">
      <w:pPr>
        <w:pStyle w:val="2"/>
        <w:numPr>
          <w:ilvl w:val="0"/>
          <w:numId w:val="4"/>
        </w:numPr>
        <w:ind w:firstLineChars="0"/>
        <w:rPr>
          <w:color w:val="000000" w:themeColor="text1"/>
        </w:rPr>
      </w:pPr>
      <w:bookmarkStart w:id="13" w:name="_Toc342565882"/>
      <w:bookmarkStart w:id="14" w:name="_Toc342051042"/>
      <w:r>
        <w:rPr>
          <w:rFonts w:hint="eastAsia"/>
          <w:color w:val="000000" w:themeColor="text1"/>
        </w:rPr>
        <w:t>联系人和联系方式</w:t>
      </w:r>
      <w:bookmarkEnd w:id="13"/>
      <w:bookmarkEnd w:id="14"/>
    </w:p>
    <w:tbl>
      <w:tblPr>
        <w:tblStyle w:val="g1"/>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939"/>
        <w:gridCol w:w="2942"/>
        <w:gridCol w:w="2942"/>
      </w:tblGrid>
      <w:tr w:rsidR="000C5659">
        <w:tc>
          <w:tcPr>
            <w:tcW w:w="1666" w:type="pct"/>
            <w:tcBorders>
              <w:top w:val="single" w:sz="4" w:space="0" w:color="auto"/>
              <w:bottom w:val="single" w:sz="4" w:space="0" w:color="auto"/>
              <w:right w:val="single" w:sz="4" w:space="0" w:color="auto"/>
            </w:tcBorders>
            <w:shd w:val="clear" w:color="auto" w:fill="auto"/>
          </w:tcPr>
          <w:p w:rsidR="000C5659" w:rsidRDefault="000C5659">
            <w:pPr>
              <w:kinsoku w:val="0"/>
              <w:overflowPunct w:val="0"/>
              <w:autoSpaceDE w:val="0"/>
              <w:autoSpaceDN w:val="0"/>
              <w:adjustRightInd w:val="0"/>
              <w:snapToGrid w:val="0"/>
              <w:rPr>
                <w:color w:val="000000" w:themeColor="text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0C5659" w:rsidRDefault="00220B84">
            <w:pPr>
              <w:pStyle w:val="ab"/>
              <w:kinsoku w:val="0"/>
              <w:overflowPunct w:val="0"/>
              <w:autoSpaceDE w:val="0"/>
              <w:autoSpaceDN w:val="0"/>
              <w:adjustRightInd w:val="0"/>
              <w:snapToGrid w:val="0"/>
              <w:jc w:val="center"/>
              <w:rPr>
                <w:rFonts w:ascii="宋体" w:hAnsi="宋体"/>
                <w:color w:val="000000" w:themeColor="text1"/>
              </w:rPr>
            </w:pPr>
            <w:sdt>
              <w:sdtPr>
                <w:rPr>
                  <w:rFonts w:ascii="宋体" w:hAnsi="宋体"/>
                  <w:color w:val="000000" w:themeColor="text1"/>
                </w:rPr>
                <w:tag w:val="_PLD_d0432012a3f249c3b4fdd759ff340e86"/>
                <w:id w:val="864792866"/>
              </w:sdtPr>
              <w:sdtEndPr/>
              <w:sdtContent>
                <w:r w:rsidR="000E33C4">
                  <w:rPr>
                    <w:rFonts w:ascii="宋体" w:hAnsi="宋体" w:cs="宋体" w:hint="eastAsia"/>
                    <w:color w:val="000000" w:themeColor="text1"/>
                  </w:rPr>
                  <w:t>董事会秘书</w:t>
                </w:r>
              </w:sdtContent>
            </w:sdt>
            <w:r w:rsidR="000E33C4">
              <w:rPr>
                <w:rFonts w:ascii="宋体" w:hAnsi="宋体"/>
                <w:color w:val="000000" w:themeColor="text1"/>
              </w:rPr>
              <w:t xml:space="preserve"> </w:t>
            </w:r>
          </w:p>
        </w:tc>
        <w:sdt>
          <w:sdtPr>
            <w:rPr>
              <w:rFonts w:ascii="宋体" w:hAnsi="宋体"/>
              <w:color w:val="000000" w:themeColor="text1"/>
            </w:rPr>
            <w:tag w:val="_PLD_3a25396416c14d2cb0688ae0ac8a1d4d"/>
            <w:id w:val="-1104339196"/>
          </w:sdtPr>
          <w:sdtEndPr/>
          <w:sdtContent>
            <w:tc>
              <w:tcPr>
                <w:tcW w:w="1667" w:type="pct"/>
                <w:tcBorders>
                  <w:top w:val="single" w:sz="4" w:space="0" w:color="auto"/>
                  <w:left w:val="single" w:sz="4" w:space="0" w:color="auto"/>
                  <w:bottom w:val="single" w:sz="4" w:space="0" w:color="auto"/>
                </w:tcBorders>
                <w:shd w:val="clear" w:color="auto" w:fill="auto"/>
              </w:tcPr>
              <w:p w:rsidR="000C5659" w:rsidRDefault="000E33C4">
                <w:pPr>
                  <w:pStyle w:val="ab"/>
                  <w:kinsoku w:val="0"/>
                  <w:overflowPunct w:val="0"/>
                  <w:autoSpaceDE w:val="0"/>
                  <w:autoSpaceDN w:val="0"/>
                  <w:adjustRightInd w:val="0"/>
                  <w:snapToGrid w:val="0"/>
                  <w:jc w:val="center"/>
                  <w:rPr>
                    <w:rFonts w:ascii="宋体" w:hAnsi="宋体" w:cs="宋体"/>
                    <w:color w:val="000000" w:themeColor="text1"/>
                  </w:rPr>
                </w:pPr>
                <w:r>
                  <w:rPr>
                    <w:rFonts w:ascii="宋体" w:hAnsi="宋体" w:cs="宋体" w:hint="eastAsia"/>
                    <w:color w:val="000000" w:themeColor="text1"/>
                  </w:rPr>
                  <w:t>证券事务代表</w:t>
                </w:r>
              </w:p>
            </w:tc>
          </w:sdtContent>
        </w:sdt>
      </w:tr>
      <w:tr w:rsidR="000C5659">
        <w:tc>
          <w:tcPr>
            <w:tcW w:w="1666"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t>姓名</w:t>
            </w:r>
          </w:p>
        </w:tc>
        <w:tc>
          <w:tcPr>
            <w:tcW w:w="1667" w:type="pct"/>
            <w:tcBorders>
              <w:top w:val="single" w:sz="4" w:space="0" w:color="auto"/>
              <w:left w:val="single" w:sz="4" w:space="0" w:color="auto"/>
              <w:bottom w:val="single" w:sz="4" w:space="0" w:color="auto"/>
              <w:right w:val="single" w:sz="4" w:space="0" w:color="auto"/>
            </w:tcBorders>
          </w:tcPr>
          <w:p w:rsidR="000C5659" w:rsidRDefault="000E33C4">
            <w:pPr>
              <w:kinsoku w:val="0"/>
              <w:overflowPunct w:val="0"/>
              <w:autoSpaceDE w:val="0"/>
              <w:autoSpaceDN w:val="0"/>
              <w:adjustRightInd w:val="0"/>
              <w:snapToGrid w:val="0"/>
            </w:pPr>
            <w:r>
              <w:rPr>
                <w:rFonts w:hint="eastAsia"/>
              </w:rPr>
              <w:t>薛运普</w:t>
            </w:r>
          </w:p>
        </w:tc>
        <w:tc>
          <w:tcPr>
            <w:tcW w:w="1667"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rPr>
                <w:rFonts w:hint="eastAsia"/>
              </w:rPr>
              <w:t>孙羽</w:t>
            </w:r>
          </w:p>
        </w:tc>
      </w:tr>
      <w:tr w:rsidR="000C5659">
        <w:tc>
          <w:tcPr>
            <w:tcW w:w="1666"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t>联系地址</w:t>
            </w:r>
          </w:p>
        </w:tc>
        <w:tc>
          <w:tcPr>
            <w:tcW w:w="1667" w:type="pct"/>
            <w:tcBorders>
              <w:top w:val="single" w:sz="4" w:space="0" w:color="auto"/>
              <w:left w:val="single" w:sz="4" w:space="0" w:color="auto"/>
              <w:bottom w:val="single" w:sz="4" w:space="0" w:color="auto"/>
              <w:right w:val="single" w:sz="4" w:space="0" w:color="auto"/>
            </w:tcBorders>
          </w:tcPr>
          <w:p w:rsidR="000C5659" w:rsidRDefault="000E33C4">
            <w:pPr>
              <w:kinsoku w:val="0"/>
              <w:overflowPunct w:val="0"/>
              <w:autoSpaceDE w:val="0"/>
              <w:autoSpaceDN w:val="0"/>
              <w:adjustRightInd w:val="0"/>
              <w:snapToGrid w:val="0"/>
            </w:pPr>
            <w:r>
              <w:rPr>
                <w:rFonts w:hint="eastAsia"/>
              </w:rPr>
              <w:t>江苏省扬州市杭集工业园</w:t>
            </w:r>
          </w:p>
        </w:tc>
        <w:tc>
          <w:tcPr>
            <w:tcW w:w="1667"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rPr>
                <w:rFonts w:hint="eastAsia"/>
              </w:rPr>
              <w:t>江苏省扬州市杭集工业园</w:t>
            </w:r>
          </w:p>
        </w:tc>
      </w:tr>
      <w:tr w:rsidR="000C5659">
        <w:tc>
          <w:tcPr>
            <w:tcW w:w="1666"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电话</w:t>
            </w:r>
          </w:p>
        </w:tc>
        <w:tc>
          <w:tcPr>
            <w:tcW w:w="1667" w:type="pct"/>
            <w:tcBorders>
              <w:top w:val="single" w:sz="4" w:space="0" w:color="auto"/>
              <w:left w:val="single" w:sz="4" w:space="0" w:color="auto"/>
              <w:bottom w:val="single" w:sz="4" w:space="0" w:color="auto"/>
              <w:right w:val="single" w:sz="4" w:space="0" w:color="auto"/>
            </w:tcBorders>
          </w:tcPr>
          <w:p w:rsidR="000C5659" w:rsidRDefault="000E33C4">
            <w:pPr>
              <w:kinsoku w:val="0"/>
              <w:overflowPunct w:val="0"/>
              <w:autoSpaceDE w:val="0"/>
              <w:autoSpaceDN w:val="0"/>
              <w:adjustRightInd w:val="0"/>
              <w:snapToGrid w:val="0"/>
            </w:pPr>
            <w:r>
              <w:t>0514-87497666</w:t>
            </w:r>
          </w:p>
        </w:tc>
        <w:tc>
          <w:tcPr>
            <w:tcW w:w="1667"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t>0514-87497666</w:t>
            </w:r>
          </w:p>
        </w:tc>
      </w:tr>
      <w:tr w:rsidR="000C5659">
        <w:tc>
          <w:tcPr>
            <w:tcW w:w="1666"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传真</w:t>
            </w:r>
          </w:p>
        </w:tc>
        <w:tc>
          <w:tcPr>
            <w:tcW w:w="1667" w:type="pct"/>
            <w:tcBorders>
              <w:top w:val="single" w:sz="4" w:space="0" w:color="auto"/>
              <w:left w:val="single" w:sz="4" w:space="0" w:color="auto"/>
              <w:bottom w:val="single" w:sz="4" w:space="0" w:color="auto"/>
              <w:right w:val="single" w:sz="4" w:space="0" w:color="auto"/>
            </w:tcBorders>
          </w:tcPr>
          <w:p w:rsidR="000C5659" w:rsidRDefault="000E33C4">
            <w:pPr>
              <w:kinsoku w:val="0"/>
              <w:overflowPunct w:val="0"/>
              <w:autoSpaceDE w:val="0"/>
              <w:autoSpaceDN w:val="0"/>
              <w:adjustRightInd w:val="0"/>
              <w:snapToGrid w:val="0"/>
            </w:pPr>
            <w:r>
              <w:t>0514-87276903</w:t>
            </w:r>
          </w:p>
        </w:tc>
        <w:tc>
          <w:tcPr>
            <w:tcW w:w="1667"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t>0514-87276903</w:t>
            </w:r>
          </w:p>
        </w:tc>
      </w:tr>
      <w:tr w:rsidR="000C5659">
        <w:tc>
          <w:tcPr>
            <w:tcW w:w="1666"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电子信箱</w:t>
            </w:r>
          </w:p>
        </w:tc>
        <w:tc>
          <w:tcPr>
            <w:tcW w:w="1667" w:type="pct"/>
            <w:tcBorders>
              <w:top w:val="single" w:sz="4" w:space="0" w:color="auto"/>
              <w:left w:val="single" w:sz="4" w:space="0" w:color="auto"/>
              <w:bottom w:val="single" w:sz="4" w:space="0" w:color="auto"/>
              <w:right w:val="single" w:sz="4" w:space="0" w:color="auto"/>
            </w:tcBorders>
          </w:tcPr>
          <w:p w:rsidR="000C5659" w:rsidRDefault="000E33C4">
            <w:pPr>
              <w:kinsoku w:val="0"/>
              <w:overflowPunct w:val="0"/>
              <w:autoSpaceDE w:val="0"/>
              <w:autoSpaceDN w:val="0"/>
              <w:adjustRightInd w:val="0"/>
              <w:snapToGrid w:val="0"/>
            </w:pPr>
            <w:r>
              <w:t>bjjtg@oralstar.com</w:t>
            </w:r>
          </w:p>
        </w:tc>
        <w:tc>
          <w:tcPr>
            <w:tcW w:w="1667"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t>bjjtg@oralstar.com</w:t>
            </w:r>
          </w:p>
        </w:tc>
      </w:tr>
    </w:tbl>
    <w:p w:rsidR="000C5659" w:rsidRDefault="000C5659">
      <w:pPr>
        <w:rPr>
          <w:color w:val="000000" w:themeColor="text1"/>
        </w:rPr>
      </w:pPr>
    </w:p>
    <w:p w:rsidR="000C5659" w:rsidRDefault="000E33C4">
      <w:pPr>
        <w:pStyle w:val="2"/>
        <w:numPr>
          <w:ilvl w:val="0"/>
          <w:numId w:val="4"/>
        </w:numPr>
        <w:ind w:firstLineChars="0"/>
        <w:rPr>
          <w:color w:val="000000" w:themeColor="text1"/>
        </w:rPr>
      </w:pPr>
      <w:r>
        <w:rPr>
          <w:color w:val="000000" w:themeColor="text1"/>
        </w:rPr>
        <w:t>基本情况变更简介</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0C5659">
        <w:trPr>
          <w:trHeight w:val="293"/>
        </w:trPr>
        <w:sdt>
          <w:sdtPr>
            <w:rPr>
              <w:color w:val="000000" w:themeColor="text1"/>
            </w:rPr>
            <w:tag w:val="_PLD_85d89a4aa7974727a1dc32c53cb7ca26"/>
            <w:id w:val="767049020"/>
          </w:sdtPr>
          <w:sdtEndPr/>
          <w:sdtContent>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公司注册地址</w:t>
                </w:r>
              </w:p>
            </w:tc>
          </w:sdtContent>
        </w:sdt>
        <w:sdt>
          <w:sdtPr>
            <w:rPr>
              <w:color w:val="000000" w:themeColor="text1"/>
            </w:rPr>
            <w:alias w:val="公司注册地址"/>
            <w:tag w:val="_GBC_176149bee7bf41819b29097eb854f331"/>
            <w:id w:val="1833096958"/>
          </w:sdtPr>
          <w:sdtEndPr/>
          <w:sdtContent>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color w:val="000000" w:themeColor="text1"/>
                  </w:rPr>
                  <w:t>扬州市杭集工业园</w:t>
                </w:r>
              </w:p>
            </w:tc>
          </w:sdtContent>
        </w:sdt>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t>公司注册地址的历史变更情况</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color w:val="000000" w:themeColor="text1"/>
              </w:rPr>
              <w:t>2016年6月由杭集镇变更为扬州市杭集工业园</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公司办公地址</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t>江苏省扬州市杭集工业园</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公司办公地址的邮政编码</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color w:val="000000" w:themeColor="text1"/>
              </w:rPr>
              <w:t>225111</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公司网址</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color w:val="000000" w:themeColor="text1"/>
              </w:rPr>
              <w:t>https://www.toothbrush.com.cn/</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电子信箱</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color w:val="000000" w:themeColor="text1"/>
              </w:rPr>
              <w:t>bjjtg@oralstar.com</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报告期内变更情况查询索引</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rFonts w:hint="eastAsia"/>
                <w:color w:val="000000" w:themeColor="text1"/>
              </w:rPr>
              <w:t>不适用</w:t>
            </w:r>
          </w:p>
        </w:tc>
      </w:tr>
    </w:tbl>
    <w:p w:rsidR="000C5659" w:rsidRDefault="000C5659">
      <w:pPr>
        <w:rPr>
          <w:color w:val="000000" w:themeColor="text1"/>
        </w:rPr>
      </w:pPr>
    </w:p>
    <w:p w:rsidR="000C5659" w:rsidRDefault="000C5659">
      <w:pPr>
        <w:kinsoku w:val="0"/>
        <w:overflowPunct w:val="0"/>
        <w:autoSpaceDE w:val="0"/>
        <w:autoSpaceDN w:val="0"/>
        <w:adjustRightInd w:val="0"/>
        <w:snapToGrid w:val="0"/>
        <w:rPr>
          <w:color w:val="000000" w:themeColor="text1"/>
        </w:rPr>
      </w:pPr>
    </w:p>
    <w:p w:rsidR="000C5659" w:rsidRDefault="000E33C4">
      <w:pPr>
        <w:pStyle w:val="2"/>
        <w:numPr>
          <w:ilvl w:val="0"/>
          <w:numId w:val="4"/>
        </w:numPr>
        <w:ind w:firstLineChars="0"/>
        <w:rPr>
          <w:color w:val="000000" w:themeColor="text1"/>
        </w:rPr>
      </w:pPr>
      <w:r>
        <w:rPr>
          <w:color w:val="000000" w:themeColor="text1"/>
        </w:rPr>
        <w:t>信息披露及备置地点变更情况简介</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0C5659">
        <w:trPr>
          <w:trHeight w:val="293"/>
        </w:trPr>
        <w:sdt>
          <w:sdtPr>
            <w:rPr>
              <w:color w:val="000000" w:themeColor="text1"/>
            </w:rPr>
            <w:tag w:val="_PLD_5a9e1277ac2b48eb8d7aa1b69c532d31"/>
            <w:id w:val="1129817042"/>
          </w:sdtPr>
          <w:sdtEndPr/>
          <w:sdtContent>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公司选定的信息披露报纸名称</w:t>
                </w:r>
              </w:p>
            </w:tc>
          </w:sdtContent>
        </w:sdt>
        <w:sdt>
          <w:sdtPr>
            <w:rPr>
              <w:color w:val="000000" w:themeColor="text1"/>
            </w:rPr>
            <w:alias w:val="公司选定的信息披露报纸名称"/>
            <w:tag w:val="_GBC_ea25303a54e24033a0a9a380e9688e98"/>
            <w:id w:val="1554815573"/>
          </w:sdtPr>
          <w:sdtEndPr/>
          <w:sdtContent>
            <w:sdt>
              <w:sdtPr>
                <w:rPr>
                  <w:color w:val="000000" w:themeColor="text1"/>
                </w:rPr>
                <w:alias w:val="公司选定的信息披露报纸名称"/>
                <w:tag w:val="_GBC_ea25303a54e24033a0a9a380e9688e98"/>
                <w:id w:val="401647209"/>
              </w:sdtPr>
              <w:sdtEndPr/>
              <w:sdtContent>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rPr>
                        <w:color w:val="000000" w:themeColor="text1"/>
                      </w:rPr>
                    </w:pPr>
                    <w:r>
                      <w:rPr>
                        <w:color w:val="000000" w:themeColor="text1"/>
                      </w:rPr>
                      <w:t>中国证券报、上海证券报、证券时报</w:t>
                    </w:r>
                  </w:p>
                </w:tc>
              </w:sdtContent>
            </w:sdt>
          </w:sdtContent>
        </w:sdt>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登载半年度报告的</w:t>
            </w:r>
            <w:r>
              <w:rPr>
                <w:rFonts w:hint="eastAsia"/>
                <w:color w:val="000000" w:themeColor="text1"/>
              </w:rPr>
              <w:t>网站地</w:t>
            </w:r>
            <w:r>
              <w:rPr>
                <w:color w:val="000000" w:themeColor="text1"/>
              </w:rPr>
              <w:t>址</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t>www.sse.com.cn</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公司半年度报告备置地点</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t>江苏省扬州市杭集工业园公司办公室</w:t>
            </w:r>
          </w:p>
        </w:tc>
      </w:tr>
      <w:tr w:rsidR="000C5659">
        <w:trPr>
          <w:trHeight w:val="293"/>
        </w:trPr>
        <w:tc>
          <w:tcPr>
            <w:tcW w:w="2169"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rPr>
                <w:color w:val="000000" w:themeColor="text1"/>
              </w:rPr>
            </w:pPr>
            <w:r>
              <w:rPr>
                <w:color w:val="000000" w:themeColor="text1"/>
              </w:rPr>
              <w:t>报告期内变更情况查询索引</w:t>
            </w:r>
          </w:p>
        </w:tc>
        <w:tc>
          <w:tcPr>
            <w:tcW w:w="2831" w:type="pct"/>
            <w:tcBorders>
              <w:top w:val="single" w:sz="4" w:space="0" w:color="auto"/>
              <w:left w:val="single" w:sz="4" w:space="0" w:color="auto"/>
              <w:bottom w:val="single" w:sz="4" w:space="0" w:color="auto"/>
            </w:tcBorders>
          </w:tcPr>
          <w:p w:rsidR="000C5659" w:rsidRDefault="000E33C4">
            <w:pPr>
              <w:kinsoku w:val="0"/>
              <w:overflowPunct w:val="0"/>
              <w:autoSpaceDE w:val="0"/>
              <w:autoSpaceDN w:val="0"/>
              <w:adjustRightInd w:val="0"/>
              <w:snapToGrid w:val="0"/>
            </w:pPr>
            <w:r>
              <w:rPr>
                <w:rFonts w:hint="eastAsia"/>
              </w:rPr>
              <w:t>不适用</w:t>
            </w:r>
          </w:p>
        </w:tc>
      </w:tr>
    </w:tbl>
    <w:p w:rsidR="000C5659" w:rsidRDefault="000C5659">
      <w:pPr>
        <w:rPr>
          <w:color w:val="000000" w:themeColor="text1"/>
        </w:rPr>
      </w:pPr>
    </w:p>
    <w:p w:rsidR="000C5659" w:rsidRDefault="000E33C4">
      <w:pPr>
        <w:pStyle w:val="2"/>
        <w:numPr>
          <w:ilvl w:val="0"/>
          <w:numId w:val="4"/>
        </w:numPr>
        <w:ind w:firstLineChars="0"/>
        <w:rPr>
          <w:color w:val="000000" w:themeColor="text1"/>
        </w:rPr>
      </w:pPr>
      <w:bookmarkStart w:id="15" w:name="_Toc342565885"/>
      <w:bookmarkStart w:id="16" w:name="_Toc342051045"/>
      <w:r>
        <w:rPr>
          <w:rFonts w:hint="eastAsia"/>
          <w:color w:val="000000" w:themeColor="text1"/>
        </w:rPr>
        <w:t>公司股票简况</w:t>
      </w:r>
      <w:bookmarkEnd w:id="15"/>
      <w:bookmarkEnd w:id="16"/>
    </w:p>
    <w:tbl>
      <w:tblPr>
        <w:tblStyle w:val="g1"/>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4"/>
        <w:gridCol w:w="1764"/>
        <w:gridCol w:w="1765"/>
        <w:gridCol w:w="1765"/>
        <w:gridCol w:w="1765"/>
      </w:tblGrid>
      <w:tr w:rsidR="000C5659">
        <w:trPr>
          <w:trHeight w:val="293"/>
        </w:trPr>
        <w:sdt>
          <w:sdtPr>
            <w:rPr>
              <w:color w:val="000000" w:themeColor="text1"/>
            </w:rPr>
            <w:tag w:val="_PLD_136d907086394f5eaee0ec7d22ac5510"/>
            <w:id w:val="-22400984"/>
          </w:sdtPr>
          <w:sdtEndPr/>
          <w:sdtContent>
            <w:tc>
              <w:tcPr>
                <w:tcW w:w="1000"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jc w:val="center"/>
                  <w:rPr>
                    <w:color w:val="000000" w:themeColor="text1"/>
                  </w:rPr>
                </w:pPr>
                <w:r>
                  <w:rPr>
                    <w:rFonts w:hint="eastAsia"/>
                    <w:color w:val="000000" w:themeColor="text1"/>
                  </w:rPr>
                  <w:t>股票种类</w:t>
                </w:r>
              </w:p>
            </w:tc>
          </w:sdtContent>
        </w:sdt>
        <w:sdt>
          <w:sdtPr>
            <w:rPr>
              <w:color w:val="000000" w:themeColor="text1"/>
            </w:rPr>
            <w:tag w:val="_PLD_6a843bcbb5a24c0aa6b5fa899c00d11d"/>
            <w:id w:val="-1253812545"/>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jc w:val="center"/>
                  <w:rPr>
                    <w:color w:val="000000" w:themeColor="text1"/>
                  </w:rPr>
                </w:pPr>
                <w:r>
                  <w:rPr>
                    <w:rFonts w:hint="eastAsia"/>
                    <w:color w:val="000000" w:themeColor="text1"/>
                  </w:rPr>
                  <w:t>股票上市交易所</w:t>
                </w:r>
              </w:p>
            </w:tc>
          </w:sdtContent>
        </w:sdt>
        <w:sdt>
          <w:sdtPr>
            <w:rPr>
              <w:color w:val="000000" w:themeColor="text1"/>
            </w:rPr>
            <w:tag w:val="_PLD_c012a58bb3cc4bbd9a7de1f52bd17553"/>
            <w:id w:val="1180155169"/>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jc w:val="center"/>
                  <w:rPr>
                    <w:color w:val="000000" w:themeColor="text1"/>
                  </w:rPr>
                </w:pPr>
                <w:r>
                  <w:rPr>
                    <w:rFonts w:hint="eastAsia"/>
                    <w:color w:val="000000" w:themeColor="text1"/>
                  </w:rPr>
                  <w:t>股票简称</w:t>
                </w:r>
              </w:p>
            </w:tc>
          </w:sdtContent>
        </w:sdt>
        <w:sdt>
          <w:sdtPr>
            <w:rPr>
              <w:color w:val="000000" w:themeColor="text1"/>
            </w:rPr>
            <w:tag w:val="_PLD_9fa1e8781b094b29b21027138e9f63e8"/>
            <w:id w:val="194280050"/>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jc w:val="center"/>
                  <w:rPr>
                    <w:color w:val="000000" w:themeColor="text1"/>
                  </w:rPr>
                </w:pPr>
                <w:r>
                  <w:rPr>
                    <w:rFonts w:hint="eastAsia"/>
                    <w:color w:val="000000" w:themeColor="text1"/>
                  </w:rPr>
                  <w:t>股票代码</w:t>
                </w:r>
              </w:p>
            </w:tc>
          </w:sdtContent>
        </w:sdt>
        <w:sdt>
          <w:sdtPr>
            <w:rPr>
              <w:color w:val="000000" w:themeColor="text1"/>
            </w:rPr>
            <w:tag w:val="_PLD_38293dc771ef4460bd5252827867d07d"/>
            <w:id w:val="-791899116"/>
          </w:sdtPr>
          <w:sdtEndPr/>
          <w:sdtContent>
            <w:tc>
              <w:tcPr>
                <w:tcW w:w="1000" w:type="pct"/>
                <w:tcBorders>
                  <w:top w:val="single" w:sz="4" w:space="0" w:color="auto"/>
                  <w:left w:val="single" w:sz="4" w:space="0" w:color="auto"/>
                  <w:bottom w:val="single" w:sz="4" w:space="0" w:color="auto"/>
                </w:tcBorders>
                <w:shd w:val="clear" w:color="auto" w:fill="auto"/>
              </w:tcPr>
              <w:p w:rsidR="000C5659" w:rsidRDefault="000E33C4">
                <w:pPr>
                  <w:kinsoku w:val="0"/>
                  <w:overflowPunct w:val="0"/>
                  <w:autoSpaceDE w:val="0"/>
                  <w:autoSpaceDN w:val="0"/>
                  <w:adjustRightInd w:val="0"/>
                  <w:snapToGrid w:val="0"/>
                  <w:jc w:val="center"/>
                  <w:rPr>
                    <w:color w:val="000000" w:themeColor="text1"/>
                  </w:rPr>
                </w:pPr>
                <w:r>
                  <w:rPr>
                    <w:rFonts w:hint="eastAsia"/>
                    <w:color w:val="000000" w:themeColor="text1"/>
                  </w:rPr>
                  <w:t>变更前股票简称</w:t>
                </w:r>
              </w:p>
            </w:tc>
          </w:sdtContent>
        </w:sdt>
      </w:tr>
      <w:tr w:rsidR="000C5659">
        <w:trPr>
          <w:trHeight w:val="293"/>
        </w:trPr>
        <w:tc>
          <w:tcPr>
            <w:tcW w:w="1000" w:type="pct"/>
            <w:tcBorders>
              <w:top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pPr>
            <w:r>
              <w:rPr>
                <w:rFonts w:hint="eastAsia"/>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pPr>
            <w:r>
              <w:rPr>
                <w:rFonts w:hint="eastAsia"/>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pPr>
            <w:r>
              <w:rPr>
                <w:rFonts w:hint="eastAsia"/>
              </w:rPr>
              <w:t>倍加洁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kinsoku w:val="0"/>
              <w:overflowPunct w:val="0"/>
              <w:autoSpaceDE w:val="0"/>
              <w:autoSpaceDN w:val="0"/>
              <w:adjustRightInd w:val="0"/>
              <w:snapToGrid w:val="0"/>
            </w:pPr>
            <w:r>
              <w:rPr>
                <w:rFonts w:hint="eastAsia"/>
              </w:rPr>
              <w:t>6</w:t>
            </w:r>
            <w:r>
              <w:t>03059</w:t>
            </w:r>
          </w:p>
        </w:tc>
        <w:tc>
          <w:tcPr>
            <w:tcW w:w="1000" w:type="pct"/>
            <w:tcBorders>
              <w:top w:val="single" w:sz="4" w:space="0" w:color="auto"/>
              <w:left w:val="single" w:sz="4" w:space="0" w:color="auto"/>
              <w:bottom w:val="single" w:sz="4" w:space="0" w:color="auto"/>
            </w:tcBorders>
            <w:shd w:val="clear" w:color="auto" w:fill="auto"/>
          </w:tcPr>
          <w:p w:rsidR="000C5659" w:rsidRDefault="000E33C4">
            <w:pPr>
              <w:kinsoku w:val="0"/>
              <w:overflowPunct w:val="0"/>
              <w:autoSpaceDE w:val="0"/>
              <w:autoSpaceDN w:val="0"/>
              <w:adjustRightInd w:val="0"/>
              <w:snapToGrid w:val="0"/>
            </w:pPr>
            <w:r>
              <w:rPr>
                <w:rFonts w:hint="eastAsia"/>
              </w:rPr>
              <w:t>无</w:t>
            </w:r>
          </w:p>
        </w:tc>
      </w:tr>
    </w:tbl>
    <w:p w:rsidR="000C5659" w:rsidRDefault="000C5659">
      <w:pPr>
        <w:kinsoku w:val="0"/>
        <w:overflowPunct w:val="0"/>
        <w:autoSpaceDE w:val="0"/>
        <w:autoSpaceDN w:val="0"/>
        <w:adjustRightInd w:val="0"/>
        <w:snapToGrid w:val="0"/>
        <w:rPr>
          <w:color w:val="000000" w:themeColor="text1"/>
        </w:rPr>
      </w:pPr>
    </w:p>
    <w:p w:rsidR="000C5659" w:rsidRDefault="000E33C4">
      <w:pPr>
        <w:pStyle w:val="2"/>
        <w:numPr>
          <w:ilvl w:val="0"/>
          <w:numId w:val="4"/>
        </w:numPr>
        <w:ind w:firstLineChars="0"/>
        <w:rPr>
          <w:color w:val="000000" w:themeColor="text1"/>
        </w:rPr>
      </w:pPr>
      <w:r>
        <w:rPr>
          <w:color w:val="000000" w:themeColor="text1"/>
        </w:rPr>
        <w:t>其他有关资料</w:t>
      </w:r>
    </w:p>
    <w:sdt>
      <w:sdtPr>
        <w:rPr>
          <w:color w:val="000000" w:themeColor="text1"/>
        </w:rPr>
        <w:alias w:val="是否适用：其他有关资料[双击切换]"/>
        <w:tag w:val="_GBC_78c3cc115c0d4dd3bf5e7c57142e5e68"/>
        <w:id w:val="31715986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bdr w:val="single" w:sz="4" w:space="0" w:color="auto"/>
        </w:rPr>
      </w:pPr>
    </w:p>
    <w:p w:rsidR="000C5659" w:rsidRDefault="000E33C4">
      <w:pPr>
        <w:pStyle w:val="2"/>
        <w:numPr>
          <w:ilvl w:val="0"/>
          <w:numId w:val="4"/>
        </w:numPr>
        <w:ind w:firstLineChars="0"/>
        <w:rPr>
          <w:color w:val="000000" w:themeColor="text1"/>
        </w:rPr>
      </w:pPr>
      <w:bookmarkStart w:id="17" w:name="_Toc342565889"/>
      <w:bookmarkStart w:id="18" w:name="_Toc342056397"/>
      <w:r>
        <w:rPr>
          <w:rFonts w:hint="eastAsia"/>
          <w:color w:val="000000" w:themeColor="text1"/>
        </w:rPr>
        <w:t>公司主要会计数据和财务指标</w:t>
      </w:r>
      <w:bookmarkEnd w:id="17"/>
      <w:bookmarkEnd w:id="18"/>
    </w:p>
    <w:p w:rsidR="000C5659" w:rsidRDefault="000E33C4">
      <w:pPr>
        <w:pStyle w:val="35"/>
        <w:numPr>
          <w:ilvl w:val="1"/>
          <w:numId w:val="5"/>
        </w:numPr>
        <w:rPr>
          <w:rFonts w:ascii="宋体" w:hAnsi="宋体"/>
          <w:color w:val="000000" w:themeColor="text1"/>
        </w:rPr>
      </w:pPr>
      <w:r>
        <w:rPr>
          <w:rFonts w:ascii="宋体" w:hAnsi="宋体" w:hint="eastAsia"/>
          <w:color w:val="000000" w:themeColor="text1"/>
        </w:rPr>
        <w:t>主要会计数据</w:t>
      </w:r>
    </w:p>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报告期末公司前三年主要会计数据和财务指标"/>
          <w:tag w:val="_GBC_c7cd0dd826b247dbba8cc8b1a811aefb"/>
          <w:id w:val="-1768530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报告期末公司前三年主要会计数据和财务指标"/>
          <w:tag w:val="_GBC_2df6a5d441324c13bcf6c4c54ac41eb0"/>
          <w:id w:val="-7087297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2"/>
        <w:tblW w:w="5000" w:type="pct"/>
        <w:tblLook w:val="04A0" w:firstRow="1" w:lastRow="0" w:firstColumn="1" w:lastColumn="0" w:noHBand="0" w:noVBand="1"/>
      </w:tblPr>
      <w:tblGrid>
        <w:gridCol w:w="3451"/>
        <w:gridCol w:w="1896"/>
        <w:gridCol w:w="1896"/>
        <w:gridCol w:w="1580"/>
      </w:tblGrid>
      <w:tr w:rsidR="000C5659">
        <w:trPr>
          <w:trHeight w:val="596"/>
        </w:trPr>
        <w:bookmarkStart w:id="19" w:name="_Hlk72769913" w:displacedByCustomXml="next"/>
        <w:sdt>
          <w:sdtPr>
            <w:rPr>
              <w:rFonts w:ascii="Times New Roman" w:hAnsi="Times New Roman" w:hint="eastAsia"/>
              <w:color w:val="000000" w:themeColor="text1"/>
            </w:rPr>
            <w:tag w:val="_PLD_e63d02b963714237aa4678b1878c888d"/>
            <w:id w:val="1703821357"/>
          </w:sdtPr>
          <w:sdtEndPr>
            <w:rPr>
              <w:rFonts w:hint="default"/>
            </w:rPr>
          </w:sdtEndPr>
          <w:sdtContent>
            <w:tc>
              <w:tcPr>
                <w:tcW w:w="1982" w:type="pct"/>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hint="eastAsia"/>
                    <w:color w:val="000000" w:themeColor="text1"/>
                  </w:rPr>
                  <w:t>主要会计数据</w:t>
                </w:r>
              </w:p>
            </w:tc>
          </w:sdtContent>
        </w:sdt>
        <w:sdt>
          <w:sdtPr>
            <w:rPr>
              <w:rFonts w:ascii="Times New Roman" w:hAnsi="Times New Roman"/>
              <w:color w:val="000000" w:themeColor="text1"/>
            </w:rPr>
            <w:tag w:val="_PLD_913ae157f7e74eee947ea98d96be3599"/>
            <w:id w:val="1602456298"/>
          </w:sdtPr>
          <w:sdtEndPr/>
          <w:sdtContent>
            <w:tc>
              <w:tcPr>
                <w:tcW w:w="1048" w:type="pct"/>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hint="eastAsia"/>
                    <w:color w:val="000000" w:themeColor="text1"/>
                  </w:rPr>
                  <w:t>本</w:t>
                </w:r>
                <w:r>
                  <w:rPr>
                    <w:rFonts w:ascii="Times New Roman" w:hAnsi="Times New Roman"/>
                    <w:color w:val="000000" w:themeColor="text1"/>
                  </w:rPr>
                  <w:t>报告期</w:t>
                </w:r>
              </w:p>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1</w:t>
                </w:r>
                <w:r>
                  <w:rPr>
                    <w:rFonts w:ascii="Times New Roman" w:hAnsi="Times New Roman"/>
                    <w:color w:val="000000" w:themeColor="text1"/>
                  </w:rPr>
                  <w:t>－</w:t>
                </w:r>
                <w:r>
                  <w:rPr>
                    <w:rFonts w:ascii="Times New Roman" w:hAnsi="Times New Roman"/>
                    <w:color w:val="000000" w:themeColor="text1"/>
                  </w:rPr>
                  <w:t>6</w:t>
                </w:r>
                <w:r>
                  <w:rPr>
                    <w:rFonts w:ascii="Times New Roman" w:hAnsi="Times New Roman"/>
                    <w:color w:val="000000" w:themeColor="text1"/>
                  </w:rPr>
                  <w:t>月）</w:t>
                </w:r>
              </w:p>
            </w:tc>
          </w:sdtContent>
        </w:sdt>
        <w:sdt>
          <w:sdtPr>
            <w:rPr>
              <w:rFonts w:ascii="Times New Roman" w:hAnsi="Times New Roman"/>
              <w:color w:val="000000" w:themeColor="text1"/>
            </w:rPr>
            <w:tag w:val="_PLD_0f32665f64034720b1ecd674058f4d8b"/>
            <w:id w:val="-1769762810"/>
          </w:sdtPr>
          <w:sdtEndPr/>
          <w:sdtContent>
            <w:tc>
              <w:tcPr>
                <w:tcW w:w="1048" w:type="pct"/>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上年同期</w:t>
                </w:r>
              </w:p>
            </w:tc>
          </w:sdtContent>
        </w:sdt>
        <w:sdt>
          <w:sdtPr>
            <w:rPr>
              <w:rFonts w:ascii="Times New Roman" w:hAnsi="Times New Roman"/>
              <w:color w:val="000000" w:themeColor="text1"/>
            </w:rPr>
            <w:tag w:val="_PLD_e634aa67fe8c44038b152224d8a245d6"/>
            <w:id w:val="-1604567060"/>
          </w:sdtPr>
          <w:sdtEndPr/>
          <w:sdtContent>
            <w:tc>
              <w:tcPr>
                <w:tcW w:w="921" w:type="pct"/>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本报告期比上年同期增减</w:t>
                </w:r>
                <w:r>
                  <w:rPr>
                    <w:rFonts w:ascii="Times New Roman" w:hAnsi="Times New Roman"/>
                    <w:color w:val="000000" w:themeColor="text1"/>
                  </w:rPr>
                  <w:t>(%)</w:t>
                </w:r>
              </w:p>
            </w:tc>
          </w:sdtContent>
        </w:sdt>
      </w:tr>
      <w:tr w:rsidR="000C5659">
        <w:trPr>
          <w:trHeight w:val="285"/>
        </w:trPr>
        <w:tc>
          <w:tcPr>
            <w:tcW w:w="1982" w:type="pct"/>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营业收入</w:t>
            </w:r>
          </w:p>
        </w:tc>
        <w:tc>
          <w:tcPr>
            <w:tcW w:w="1048" w:type="pct"/>
          </w:tcPr>
          <w:p w:rsidR="000C5659" w:rsidRDefault="000E33C4">
            <w:pPr>
              <w:kinsoku w:val="0"/>
              <w:overflowPunct w:val="0"/>
              <w:autoSpaceDE w:val="0"/>
              <w:autoSpaceDN w:val="0"/>
              <w:adjustRightInd w:val="0"/>
              <w:snapToGrid w:val="0"/>
              <w:jc w:val="right"/>
              <w:rPr>
                <w:rFonts w:ascii="Times New Roman" w:hAnsi="Times New Roman"/>
              </w:rPr>
            </w:pPr>
            <w:r>
              <w:t>620,160,522.82</w:t>
            </w:r>
          </w:p>
        </w:tc>
        <w:tc>
          <w:tcPr>
            <w:tcW w:w="1048" w:type="pct"/>
          </w:tcPr>
          <w:p w:rsidR="000C5659" w:rsidRDefault="000E33C4">
            <w:pPr>
              <w:kinsoku w:val="0"/>
              <w:overflowPunct w:val="0"/>
              <w:autoSpaceDE w:val="0"/>
              <w:autoSpaceDN w:val="0"/>
              <w:adjustRightInd w:val="0"/>
              <w:snapToGrid w:val="0"/>
              <w:jc w:val="right"/>
              <w:rPr>
                <w:rFonts w:ascii="Times New Roman" w:hAnsi="Times New Roman"/>
              </w:rPr>
            </w:pPr>
            <w:r>
              <w:t>482,250,410.36</w:t>
            </w:r>
          </w:p>
        </w:tc>
        <w:tc>
          <w:tcPr>
            <w:tcW w:w="921" w:type="pct"/>
          </w:tcPr>
          <w:p w:rsidR="000C5659" w:rsidRDefault="000E33C4">
            <w:pPr>
              <w:kinsoku w:val="0"/>
              <w:overflowPunct w:val="0"/>
              <w:autoSpaceDE w:val="0"/>
              <w:autoSpaceDN w:val="0"/>
              <w:adjustRightInd w:val="0"/>
              <w:snapToGrid w:val="0"/>
              <w:jc w:val="right"/>
              <w:rPr>
                <w:rFonts w:ascii="Times New Roman" w:hAnsi="Times New Roman"/>
              </w:rPr>
            </w:pPr>
            <w:r>
              <w:t>28.60</w:t>
            </w:r>
          </w:p>
        </w:tc>
      </w:tr>
      <w:tr w:rsidR="000C5659">
        <w:trPr>
          <w:trHeight w:val="285"/>
        </w:trPr>
        <w:tc>
          <w:tcPr>
            <w:tcW w:w="1982" w:type="pct"/>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归属于上市公司股东的净利润</w:t>
            </w:r>
          </w:p>
        </w:tc>
        <w:tc>
          <w:tcPr>
            <w:tcW w:w="1048" w:type="pct"/>
          </w:tcPr>
          <w:p w:rsidR="000C5659" w:rsidRDefault="000E33C4">
            <w:pPr>
              <w:kinsoku w:val="0"/>
              <w:overflowPunct w:val="0"/>
              <w:autoSpaceDE w:val="0"/>
              <w:autoSpaceDN w:val="0"/>
              <w:adjustRightInd w:val="0"/>
              <w:snapToGrid w:val="0"/>
              <w:jc w:val="right"/>
              <w:rPr>
                <w:rFonts w:ascii="Times New Roman" w:hAnsi="Times New Roman"/>
              </w:rPr>
            </w:pPr>
            <w:r>
              <w:rPr>
                <w:rFonts w:hint="eastAsia"/>
              </w:rPr>
              <w:t>33,142,878.09</w:t>
            </w:r>
          </w:p>
        </w:tc>
        <w:tc>
          <w:tcPr>
            <w:tcW w:w="1048" w:type="pct"/>
          </w:tcPr>
          <w:p w:rsidR="000C5659" w:rsidRDefault="000E33C4">
            <w:pPr>
              <w:kinsoku w:val="0"/>
              <w:overflowPunct w:val="0"/>
              <w:autoSpaceDE w:val="0"/>
              <w:autoSpaceDN w:val="0"/>
              <w:adjustRightInd w:val="0"/>
              <w:snapToGrid w:val="0"/>
              <w:jc w:val="right"/>
              <w:rPr>
                <w:rFonts w:ascii="Times New Roman" w:hAnsi="Times New Roman"/>
              </w:rPr>
            </w:pPr>
            <w:r>
              <w:t>36,566,884.05</w:t>
            </w:r>
          </w:p>
        </w:tc>
        <w:tc>
          <w:tcPr>
            <w:tcW w:w="921" w:type="pct"/>
          </w:tcPr>
          <w:p w:rsidR="000C5659" w:rsidRDefault="000E33C4">
            <w:pPr>
              <w:kinsoku w:val="0"/>
              <w:overflowPunct w:val="0"/>
              <w:autoSpaceDE w:val="0"/>
              <w:autoSpaceDN w:val="0"/>
              <w:adjustRightInd w:val="0"/>
              <w:snapToGrid w:val="0"/>
              <w:jc w:val="right"/>
              <w:rPr>
                <w:rFonts w:ascii="Times New Roman" w:hAnsi="Times New Roman"/>
              </w:rPr>
            </w:pPr>
            <w:r>
              <w:t>-9.</w:t>
            </w:r>
            <w:r>
              <w:rPr>
                <w:rFonts w:hint="eastAsia"/>
              </w:rPr>
              <w:t>36</w:t>
            </w:r>
          </w:p>
        </w:tc>
      </w:tr>
      <w:tr w:rsidR="000C5659">
        <w:trPr>
          <w:trHeight w:val="285"/>
        </w:trPr>
        <w:tc>
          <w:tcPr>
            <w:tcW w:w="1982" w:type="pct"/>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归属于上市公司股东的扣除非经常</w:t>
            </w:r>
            <w:r>
              <w:rPr>
                <w:rFonts w:ascii="Times New Roman" w:hAnsi="Times New Roman" w:hint="eastAsia"/>
                <w:color w:val="000000" w:themeColor="text1"/>
              </w:rPr>
              <w:lastRenderedPageBreak/>
              <w:t>性损益的净利润</w:t>
            </w:r>
          </w:p>
        </w:tc>
        <w:tc>
          <w:tcPr>
            <w:tcW w:w="1048" w:type="pct"/>
            <w:tcBorders>
              <w:bottom w:val="single" w:sz="4" w:space="0" w:color="auto"/>
            </w:tcBorders>
          </w:tcPr>
          <w:p w:rsidR="000C5659" w:rsidRDefault="000E33C4">
            <w:pPr>
              <w:kinsoku w:val="0"/>
              <w:overflowPunct w:val="0"/>
              <w:autoSpaceDE w:val="0"/>
              <w:autoSpaceDN w:val="0"/>
              <w:adjustRightInd w:val="0"/>
              <w:snapToGrid w:val="0"/>
              <w:jc w:val="right"/>
              <w:rPr>
                <w:rFonts w:ascii="Times New Roman" w:hAnsi="Times New Roman"/>
              </w:rPr>
            </w:pPr>
            <w:r>
              <w:rPr>
                <w:rFonts w:hint="eastAsia"/>
              </w:rPr>
              <w:lastRenderedPageBreak/>
              <w:t>31,482,910.36</w:t>
            </w:r>
          </w:p>
        </w:tc>
        <w:tc>
          <w:tcPr>
            <w:tcW w:w="1048" w:type="pct"/>
          </w:tcPr>
          <w:p w:rsidR="000C5659" w:rsidRDefault="000E33C4">
            <w:pPr>
              <w:kinsoku w:val="0"/>
              <w:overflowPunct w:val="0"/>
              <w:autoSpaceDE w:val="0"/>
              <w:autoSpaceDN w:val="0"/>
              <w:adjustRightInd w:val="0"/>
              <w:snapToGrid w:val="0"/>
              <w:jc w:val="right"/>
              <w:rPr>
                <w:rFonts w:ascii="Times New Roman" w:hAnsi="Times New Roman"/>
              </w:rPr>
            </w:pPr>
            <w:r>
              <w:t>36,223,421.87</w:t>
            </w:r>
          </w:p>
        </w:tc>
        <w:tc>
          <w:tcPr>
            <w:tcW w:w="921" w:type="pct"/>
          </w:tcPr>
          <w:p w:rsidR="000C5659" w:rsidRDefault="000E33C4">
            <w:pPr>
              <w:kinsoku w:val="0"/>
              <w:overflowPunct w:val="0"/>
              <w:autoSpaceDE w:val="0"/>
              <w:autoSpaceDN w:val="0"/>
              <w:adjustRightInd w:val="0"/>
              <w:snapToGrid w:val="0"/>
              <w:jc w:val="right"/>
              <w:rPr>
                <w:rFonts w:ascii="Times New Roman" w:hAnsi="Times New Roman"/>
              </w:rPr>
            </w:pPr>
            <w:r>
              <w:t>-1</w:t>
            </w:r>
            <w:r>
              <w:rPr>
                <w:rFonts w:hint="eastAsia"/>
              </w:rPr>
              <w:t>3</w:t>
            </w:r>
            <w:r>
              <w:t>.</w:t>
            </w:r>
            <w:r>
              <w:rPr>
                <w:rFonts w:hint="eastAsia"/>
              </w:rPr>
              <w:t>09</w:t>
            </w:r>
          </w:p>
        </w:tc>
      </w:tr>
      <w:tr w:rsidR="000C5659">
        <w:trPr>
          <w:trHeight w:val="90"/>
        </w:trPr>
        <w:tc>
          <w:tcPr>
            <w:tcW w:w="1982" w:type="pct"/>
            <w:tcBorders>
              <w:right w:val="single" w:sz="4" w:space="0" w:color="auto"/>
            </w:tcBorders>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lastRenderedPageBreak/>
              <w:t>经营活动产生的现金流量净额</w:t>
            </w:r>
          </w:p>
        </w:tc>
        <w:tc>
          <w:tcPr>
            <w:tcW w:w="104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65,410,112.97 </w:t>
            </w:r>
          </w:p>
        </w:tc>
        <w:tc>
          <w:tcPr>
            <w:tcW w:w="1048" w:type="pct"/>
            <w:tcBorders>
              <w:left w:val="single" w:sz="4" w:space="0" w:color="auto"/>
            </w:tcBorders>
          </w:tcPr>
          <w:p w:rsidR="000C5659" w:rsidRDefault="000E33C4">
            <w:pPr>
              <w:kinsoku w:val="0"/>
              <w:overflowPunct w:val="0"/>
              <w:autoSpaceDE w:val="0"/>
              <w:autoSpaceDN w:val="0"/>
              <w:adjustRightInd w:val="0"/>
              <w:snapToGrid w:val="0"/>
              <w:jc w:val="right"/>
              <w:rPr>
                <w:rFonts w:ascii="Times New Roman" w:hAnsi="Times New Roman"/>
              </w:rPr>
            </w:pPr>
            <w:r>
              <w:t>52,400,223.28</w:t>
            </w:r>
          </w:p>
        </w:tc>
        <w:tc>
          <w:tcPr>
            <w:tcW w:w="921" w:type="pct"/>
          </w:tcPr>
          <w:p w:rsidR="000C5659" w:rsidRDefault="000E33C4">
            <w:pPr>
              <w:kinsoku w:val="0"/>
              <w:overflowPunct w:val="0"/>
              <w:autoSpaceDE w:val="0"/>
              <w:autoSpaceDN w:val="0"/>
              <w:adjustRightInd w:val="0"/>
              <w:snapToGrid w:val="0"/>
              <w:jc w:val="right"/>
              <w:rPr>
                <w:rFonts w:ascii="Times New Roman" w:hAnsi="Times New Roman"/>
              </w:rPr>
            </w:pPr>
            <w:r>
              <w:t>24.</w:t>
            </w:r>
            <w:r>
              <w:rPr>
                <w:rFonts w:hint="eastAsia"/>
              </w:rPr>
              <w:t>83</w:t>
            </w:r>
          </w:p>
        </w:tc>
      </w:tr>
      <w:tr w:rsidR="000C5659">
        <w:trPr>
          <w:trHeight w:val="533"/>
        </w:trPr>
        <w:tc>
          <w:tcPr>
            <w:tcW w:w="1982" w:type="pct"/>
            <w:vAlign w:val="center"/>
          </w:tcPr>
          <w:p w:rsidR="000C5659" w:rsidRDefault="000C5659">
            <w:pPr>
              <w:kinsoku w:val="0"/>
              <w:overflowPunct w:val="0"/>
              <w:autoSpaceDE w:val="0"/>
              <w:autoSpaceDN w:val="0"/>
              <w:adjustRightInd w:val="0"/>
              <w:snapToGrid w:val="0"/>
              <w:jc w:val="center"/>
              <w:rPr>
                <w:rFonts w:ascii="Times New Roman" w:hAnsi="Times New Roman"/>
                <w:color w:val="000000" w:themeColor="text1"/>
              </w:rPr>
            </w:pPr>
          </w:p>
        </w:tc>
        <w:sdt>
          <w:sdtPr>
            <w:rPr>
              <w:rFonts w:ascii="Times New Roman" w:hAnsi="Times New Roman"/>
              <w:color w:val="000000" w:themeColor="text1"/>
            </w:rPr>
            <w:tag w:val="_PLD_b75e9aa554cc48539ab9de572d244f45"/>
            <w:id w:val="-2109109990"/>
          </w:sdtPr>
          <w:sdtEndPr/>
          <w:sdtContent>
            <w:tc>
              <w:tcPr>
                <w:tcW w:w="1048" w:type="pct"/>
                <w:tcBorders>
                  <w:top w:val="single" w:sz="4" w:space="0" w:color="auto"/>
                </w:tcBorders>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本报告期末</w:t>
                </w:r>
              </w:p>
            </w:tc>
          </w:sdtContent>
        </w:sdt>
        <w:sdt>
          <w:sdtPr>
            <w:rPr>
              <w:rFonts w:ascii="Times New Roman" w:hAnsi="Times New Roman"/>
              <w:color w:val="000000" w:themeColor="text1"/>
            </w:rPr>
            <w:tag w:val="_PLD_7425b2bc6a39452296814978a781ba72"/>
            <w:id w:val="445503428"/>
          </w:sdtPr>
          <w:sdtEndPr/>
          <w:sdtContent>
            <w:tc>
              <w:tcPr>
                <w:tcW w:w="1048" w:type="pct"/>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上年度末</w:t>
                </w:r>
              </w:p>
            </w:tc>
          </w:sdtContent>
        </w:sdt>
        <w:sdt>
          <w:sdtPr>
            <w:rPr>
              <w:rFonts w:ascii="Times New Roman" w:hAnsi="Times New Roman"/>
              <w:color w:val="000000" w:themeColor="text1"/>
            </w:rPr>
            <w:tag w:val="_PLD_7a1ba9a6d9b54e51bd320f47b6233184"/>
            <w:id w:val="-197084475"/>
          </w:sdtPr>
          <w:sdtEndPr/>
          <w:sdtContent>
            <w:tc>
              <w:tcPr>
                <w:tcW w:w="921" w:type="pct"/>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本报告期末比上年度末增减</w:t>
                </w:r>
                <w:r>
                  <w:rPr>
                    <w:rFonts w:ascii="Times New Roman" w:hAnsi="Times New Roman"/>
                    <w:color w:val="000000" w:themeColor="text1"/>
                  </w:rPr>
                  <w:t>(%)</w:t>
                </w:r>
              </w:p>
            </w:tc>
          </w:sdtContent>
        </w:sdt>
      </w:tr>
      <w:tr w:rsidR="000C5659">
        <w:trPr>
          <w:trHeight w:val="285"/>
        </w:trPr>
        <w:tc>
          <w:tcPr>
            <w:tcW w:w="1982" w:type="pct"/>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归属于上市公司股东的净资产</w:t>
            </w:r>
          </w:p>
        </w:tc>
        <w:tc>
          <w:tcPr>
            <w:tcW w:w="1048" w:type="pct"/>
          </w:tcPr>
          <w:p w:rsidR="000C5659" w:rsidRDefault="000E33C4">
            <w:pPr>
              <w:kinsoku w:val="0"/>
              <w:overflowPunct w:val="0"/>
              <w:autoSpaceDE w:val="0"/>
              <w:autoSpaceDN w:val="0"/>
              <w:adjustRightInd w:val="0"/>
              <w:snapToGrid w:val="0"/>
              <w:jc w:val="right"/>
              <w:rPr>
                <w:rFonts w:ascii="Times New Roman" w:hAnsi="Times New Roman"/>
              </w:rPr>
            </w:pPr>
            <w:r>
              <w:rPr>
                <w:rFonts w:hint="eastAsia"/>
              </w:rPr>
              <w:t>1,109,064,345.42</w:t>
            </w:r>
          </w:p>
        </w:tc>
        <w:tc>
          <w:tcPr>
            <w:tcW w:w="1048" w:type="pct"/>
            <w:vAlign w:val="center"/>
          </w:tcPr>
          <w:p w:rsidR="000C5659" w:rsidRDefault="000E33C4">
            <w:pPr>
              <w:jc w:val="right"/>
              <w:rPr>
                <w:rFonts w:ascii="Times New Roman" w:hAnsi="Times New Roman"/>
              </w:rPr>
            </w:pPr>
            <w:r>
              <w:rPr>
                <w:rFonts w:hint="eastAsia"/>
                <w:color w:val="000000"/>
              </w:rPr>
              <w:t>1,249,089,661.23</w:t>
            </w:r>
          </w:p>
        </w:tc>
        <w:tc>
          <w:tcPr>
            <w:tcW w:w="921" w:type="pct"/>
          </w:tcPr>
          <w:p w:rsidR="000C5659" w:rsidRDefault="000E33C4">
            <w:pPr>
              <w:kinsoku w:val="0"/>
              <w:overflowPunct w:val="0"/>
              <w:autoSpaceDE w:val="0"/>
              <w:autoSpaceDN w:val="0"/>
              <w:adjustRightInd w:val="0"/>
              <w:snapToGrid w:val="0"/>
              <w:jc w:val="right"/>
              <w:rPr>
                <w:rFonts w:ascii="Times New Roman" w:hAnsi="Times New Roman"/>
              </w:rPr>
            </w:pPr>
            <w:r>
              <w:rPr>
                <w:rFonts w:hint="eastAsia"/>
              </w:rPr>
              <w:t>-11.21</w:t>
            </w:r>
          </w:p>
        </w:tc>
      </w:tr>
      <w:tr w:rsidR="000C5659">
        <w:trPr>
          <w:trHeight w:val="285"/>
        </w:trPr>
        <w:tc>
          <w:tcPr>
            <w:tcW w:w="1982" w:type="pct"/>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总资产</w:t>
            </w:r>
          </w:p>
        </w:tc>
        <w:tc>
          <w:tcPr>
            <w:tcW w:w="1048" w:type="pct"/>
          </w:tcPr>
          <w:p w:rsidR="000C5659" w:rsidRDefault="000E33C4">
            <w:pPr>
              <w:kinsoku w:val="0"/>
              <w:overflowPunct w:val="0"/>
              <w:autoSpaceDE w:val="0"/>
              <w:autoSpaceDN w:val="0"/>
              <w:adjustRightInd w:val="0"/>
              <w:snapToGrid w:val="0"/>
              <w:jc w:val="right"/>
              <w:rPr>
                <w:rFonts w:ascii="Times New Roman" w:hAnsi="Times New Roman"/>
              </w:rPr>
            </w:pPr>
            <w:r>
              <w:rPr>
                <w:rFonts w:hint="eastAsia"/>
              </w:rPr>
              <w:t>2,263,050,955.97</w:t>
            </w:r>
          </w:p>
        </w:tc>
        <w:tc>
          <w:tcPr>
            <w:tcW w:w="1048" w:type="pct"/>
            <w:vAlign w:val="center"/>
          </w:tcPr>
          <w:p w:rsidR="000C5659" w:rsidRDefault="000E33C4">
            <w:pPr>
              <w:jc w:val="right"/>
              <w:rPr>
                <w:rFonts w:ascii="Times New Roman" w:hAnsi="Times New Roman"/>
              </w:rPr>
            </w:pPr>
            <w:r>
              <w:rPr>
                <w:rFonts w:hint="eastAsia"/>
                <w:color w:val="000000"/>
              </w:rPr>
              <w:t>2,015,036,620.18</w:t>
            </w:r>
          </w:p>
        </w:tc>
        <w:tc>
          <w:tcPr>
            <w:tcW w:w="921" w:type="pct"/>
          </w:tcPr>
          <w:p w:rsidR="000C5659" w:rsidRDefault="000E33C4">
            <w:pPr>
              <w:kinsoku w:val="0"/>
              <w:overflowPunct w:val="0"/>
              <w:autoSpaceDE w:val="0"/>
              <w:autoSpaceDN w:val="0"/>
              <w:adjustRightInd w:val="0"/>
              <w:snapToGrid w:val="0"/>
              <w:jc w:val="right"/>
              <w:rPr>
                <w:rFonts w:ascii="Times New Roman" w:hAnsi="Times New Roman"/>
              </w:rPr>
            </w:pPr>
            <w:r>
              <w:rPr>
                <w:rFonts w:hint="eastAsia"/>
              </w:rPr>
              <w:t>12.31</w:t>
            </w:r>
          </w:p>
        </w:tc>
      </w:tr>
    </w:tbl>
    <w:p w:rsidR="000C5659" w:rsidRDefault="000C5659">
      <w:pPr>
        <w:pStyle w:val="Style325"/>
      </w:pPr>
    </w:p>
    <w:bookmarkEnd w:id="19"/>
    <w:p w:rsidR="000C5659" w:rsidRDefault="000E33C4">
      <w:pPr>
        <w:pStyle w:val="35"/>
        <w:numPr>
          <w:ilvl w:val="1"/>
          <w:numId w:val="5"/>
        </w:numPr>
        <w:rPr>
          <w:rFonts w:ascii="宋体" w:hAnsi="宋体"/>
          <w:color w:val="000000" w:themeColor="text1"/>
        </w:rPr>
      </w:pPr>
      <w:r>
        <w:rPr>
          <w:rFonts w:ascii="宋体" w:hAnsi="宋体" w:hint="eastAsia"/>
          <w:color w:val="000000" w:themeColor="text1"/>
        </w:rPr>
        <w:t>主要财务指标</w:t>
      </w:r>
    </w:p>
    <w:tbl>
      <w:tblPr>
        <w:tblStyle w:val="g2"/>
        <w:tblW w:w="0" w:type="auto"/>
        <w:tblLook w:val="04A0" w:firstRow="1" w:lastRow="0" w:firstColumn="1" w:lastColumn="0" w:noHBand="0" w:noVBand="1"/>
      </w:tblPr>
      <w:tblGrid>
        <w:gridCol w:w="3542"/>
        <w:gridCol w:w="1665"/>
        <w:gridCol w:w="1665"/>
        <w:gridCol w:w="1951"/>
      </w:tblGrid>
      <w:tr w:rsidR="000C5659" w:rsidTr="000E33C4">
        <w:sdt>
          <w:sdtPr>
            <w:rPr>
              <w:rFonts w:ascii="Times New Roman" w:hAnsi="Times New Roman"/>
              <w:color w:val="000000" w:themeColor="text1"/>
            </w:rPr>
            <w:tag w:val="_PLD_b12e929543994adfbc7a21fe743cd125"/>
            <w:id w:val="1921284791"/>
          </w:sdtPr>
          <w:sdtEndPr/>
          <w:sdtContent>
            <w:tc>
              <w:tcPr>
                <w:tcW w:w="3652" w:type="dxa"/>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主要财务指标</w:t>
                </w:r>
              </w:p>
            </w:tc>
          </w:sdtContent>
        </w:sdt>
        <w:sdt>
          <w:sdtPr>
            <w:rPr>
              <w:rFonts w:ascii="Times New Roman" w:hAnsi="Times New Roman"/>
              <w:color w:val="000000" w:themeColor="text1"/>
            </w:rPr>
            <w:tag w:val="_PLD_d04f89449ff14c5fa39e871117b7e9e2"/>
            <w:id w:val="498548865"/>
          </w:sdtPr>
          <w:sdtEndPr/>
          <w:sdtContent>
            <w:tc>
              <w:tcPr>
                <w:tcW w:w="1701" w:type="dxa"/>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w:t>
                </w:r>
              </w:p>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1</w:t>
                </w:r>
                <w:r>
                  <w:rPr>
                    <w:rFonts w:ascii="Times New Roman" w:hAnsi="Times New Roman"/>
                    <w:color w:val="000000" w:themeColor="text1"/>
                  </w:rPr>
                  <w:t>－</w:t>
                </w:r>
                <w:r>
                  <w:rPr>
                    <w:rFonts w:ascii="Times New Roman" w:hAnsi="Times New Roman"/>
                    <w:color w:val="000000" w:themeColor="text1"/>
                  </w:rPr>
                  <w:t>6</w:t>
                </w:r>
                <w:r>
                  <w:rPr>
                    <w:rFonts w:ascii="Times New Roman" w:hAnsi="Times New Roman"/>
                    <w:color w:val="000000" w:themeColor="text1"/>
                  </w:rPr>
                  <w:t>月）</w:t>
                </w:r>
              </w:p>
            </w:tc>
          </w:sdtContent>
        </w:sdt>
        <w:sdt>
          <w:sdtPr>
            <w:rPr>
              <w:rFonts w:ascii="Times New Roman" w:hAnsi="Times New Roman"/>
              <w:color w:val="000000" w:themeColor="text1"/>
            </w:rPr>
            <w:tag w:val="_PLD_bdb91a2a58254a0e945eecc5aef91521"/>
            <w:id w:val="-211728240"/>
          </w:sdtPr>
          <w:sdtEndPr/>
          <w:sdtContent>
            <w:tc>
              <w:tcPr>
                <w:tcW w:w="1701" w:type="dxa"/>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上年同期</w:t>
                </w:r>
              </w:p>
            </w:tc>
          </w:sdtContent>
        </w:sdt>
        <w:sdt>
          <w:sdtPr>
            <w:rPr>
              <w:rFonts w:ascii="Times New Roman" w:hAnsi="Times New Roman"/>
              <w:color w:val="000000" w:themeColor="text1"/>
            </w:rPr>
            <w:tag w:val="_PLD_08306889e5b040aa83784b3f6db386f1"/>
            <w:id w:val="479194637"/>
          </w:sdtPr>
          <w:sdtEndPr/>
          <w:sdtContent>
            <w:tc>
              <w:tcPr>
                <w:tcW w:w="1994" w:type="dxa"/>
                <w:vAlign w:val="center"/>
              </w:tcPr>
              <w:p w:rsidR="000C5659" w:rsidRDefault="000E33C4">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本报告期比上年同期增减</w:t>
                </w:r>
                <w:r>
                  <w:rPr>
                    <w:rFonts w:ascii="Times New Roman" w:hAnsi="Times New Roman"/>
                    <w:color w:val="000000" w:themeColor="text1"/>
                  </w:rPr>
                  <w:t>(%)</w:t>
                </w:r>
              </w:p>
            </w:tc>
          </w:sdtContent>
        </w:sdt>
      </w:tr>
      <w:tr w:rsidR="000C5659" w:rsidTr="000E33C4">
        <w:tc>
          <w:tcPr>
            <w:tcW w:w="3652" w:type="dxa"/>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基本每股收益（元／股）</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0.33</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0.37</w:t>
            </w:r>
          </w:p>
        </w:tc>
        <w:tc>
          <w:tcPr>
            <w:tcW w:w="1994" w:type="dxa"/>
            <w:vAlign w:val="center"/>
          </w:tcPr>
          <w:p w:rsidR="000C5659" w:rsidRDefault="000E33C4">
            <w:pPr>
              <w:kinsoku w:val="0"/>
              <w:overflowPunct w:val="0"/>
              <w:autoSpaceDE w:val="0"/>
              <w:autoSpaceDN w:val="0"/>
              <w:adjustRightInd w:val="0"/>
              <w:snapToGrid w:val="0"/>
              <w:jc w:val="right"/>
              <w:rPr>
                <w:rFonts w:ascii="Times New Roman" w:hAnsi="Times New Roman"/>
              </w:rPr>
            </w:pPr>
            <w:r>
              <w:rPr>
                <w:rFonts w:hint="eastAsia"/>
                <w:color w:val="000000"/>
              </w:rPr>
              <w:t>-10.81</w:t>
            </w:r>
          </w:p>
        </w:tc>
      </w:tr>
      <w:tr w:rsidR="000C5659" w:rsidTr="000E33C4">
        <w:tc>
          <w:tcPr>
            <w:tcW w:w="3652" w:type="dxa"/>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稀释每股收益（元／股）</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0.33</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0.37</w:t>
            </w:r>
          </w:p>
        </w:tc>
        <w:tc>
          <w:tcPr>
            <w:tcW w:w="1994" w:type="dxa"/>
            <w:vAlign w:val="center"/>
          </w:tcPr>
          <w:p w:rsidR="000C5659" w:rsidRDefault="000E33C4">
            <w:pPr>
              <w:kinsoku w:val="0"/>
              <w:overflowPunct w:val="0"/>
              <w:autoSpaceDE w:val="0"/>
              <w:autoSpaceDN w:val="0"/>
              <w:adjustRightInd w:val="0"/>
              <w:snapToGrid w:val="0"/>
              <w:jc w:val="right"/>
              <w:rPr>
                <w:rFonts w:ascii="Times New Roman" w:hAnsi="Times New Roman"/>
              </w:rPr>
            </w:pPr>
            <w:r>
              <w:rPr>
                <w:rFonts w:hint="eastAsia"/>
                <w:color w:val="000000"/>
              </w:rPr>
              <w:t>-10.81</w:t>
            </w:r>
          </w:p>
        </w:tc>
      </w:tr>
      <w:tr w:rsidR="000C5659" w:rsidTr="000E33C4">
        <w:tc>
          <w:tcPr>
            <w:tcW w:w="3652" w:type="dxa"/>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扣除非经常性损益后的基本每股收益（元／股）</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0.3</w:t>
            </w:r>
            <w:r>
              <w:rPr>
                <w:rFonts w:hint="eastAsia"/>
              </w:rPr>
              <w:t>1</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0.36</w:t>
            </w:r>
          </w:p>
        </w:tc>
        <w:tc>
          <w:tcPr>
            <w:tcW w:w="1994" w:type="dxa"/>
            <w:vAlign w:val="center"/>
          </w:tcPr>
          <w:p w:rsidR="000C5659" w:rsidRDefault="000E33C4">
            <w:pPr>
              <w:kinsoku w:val="0"/>
              <w:overflowPunct w:val="0"/>
              <w:autoSpaceDE w:val="0"/>
              <w:autoSpaceDN w:val="0"/>
              <w:adjustRightInd w:val="0"/>
              <w:snapToGrid w:val="0"/>
              <w:jc w:val="right"/>
              <w:rPr>
                <w:rFonts w:ascii="Times New Roman" w:hAnsi="Times New Roman"/>
              </w:rPr>
            </w:pPr>
            <w:r>
              <w:rPr>
                <w:rFonts w:hint="eastAsia"/>
                <w:color w:val="000000"/>
              </w:rPr>
              <w:t>-13.89</w:t>
            </w:r>
          </w:p>
        </w:tc>
      </w:tr>
      <w:tr w:rsidR="000C5659" w:rsidTr="000E33C4">
        <w:tc>
          <w:tcPr>
            <w:tcW w:w="3652" w:type="dxa"/>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加权平均净资产收益率（</w:t>
            </w:r>
            <w:r>
              <w:rPr>
                <w:rFonts w:ascii="Times New Roman" w:hAnsi="Times New Roman"/>
                <w:color w:val="000000" w:themeColor="text1"/>
              </w:rPr>
              <w:t>%</w:t>
            </w:r>
            <w:r>
              <w:rPr>
                <w:rFonts w:ascii="Times New Roman" w:hAnsi="Times New Roman"/>
                <w:color w:val="000000" w:themeColor="text1"/>
              </w:rPr>
              <w:t>）</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2.6</w:t>
            </w:r>
            <w:r>
              <w:rPr>
                <w:rFonts w:hint="eastAsia"/>
              </w:rPr>
              <w:t>5</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3.09</w:t>
            </w:r>
          </w:p>
        </w:tc>
        <w:tc>
          <w:tcPr>
            <w:tcW w:w="1994" w:type="dxa"/>
            <w:vAlign w:val="center"/>
          </w:tcPr>
          <w:p w:rsidR="000C5659" w:rsidRDefault="000E33C4">
            <w:pPr>
              <w:kinsoku w:val="0"/>
              <w:overflowPunct w:val="0"/>
              <w:autoSpaceDE w:val="0"/>
              <w:autoSpaceDN w:val="0"/>
              <w:adjustRightInd w:val="0"/>
              <w:snapToGrid w:val="0"/>
              <w:jc w:val="right"/>
              <w:rPr>
                <w:rFonts w:ascii="Times New Roman" w:hAnsi="Times New Roman"/>
              </w:rPr>
            </w:pPr>
            <w:r>
              <w:rPr>
                <w:rFonts w:hint="eastAsia"/>
                <w:color w:val="000000"/>
              </w:rPr>
              <w:t>减少0.44个百分点</w:t>
            </w:r>
          </w:p>
        </w:tc>
      </w:tr>
      <w:tr w:rsidR="000C5659" w:rsidTr="000E33C4">
        <w:tc>
          <w:tcPr>
            <w:tcW w:w="3652" w:type="dxa"/>
          </w:tcPr>
          <w:p w:rsidR="000C5659" w:rsidRDefault="000E33C4">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扣除非经常性损益后的加权平均净资产收益率（</w:t>
            </w:r>
            <w:r>
              <w:rPr>
                <w:rFonts w:ascii="Times New Roman" w:hAnsi="Times New Roman"/>
                <w:color w:val="000000" w:themeColor="text1"/>
              </w:rPr>
              <w:t>%</w:t>
            </w:r>
            <w:r>
              <w:rPr>
                <w:rFonts w:ascii="Times New Roman" w:hAnsi="Times New Roman"/>
                <w:color w:val="000000" w:themeColor="text1"/>
              </w:rPr>
              <w:t>）</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2.</w:t>
            </w:r>
            <w:r>
              <w:rPr>
                <w:rFonts w:hint="eastAsia"/>
              </w:rPr>
              <w:t>52</w:t>
            </w:r>
          </w:p>
        </w:tc>
        <w:tc>
          <w:tcPr>
            <w:tcW w:w="1701" w:type="dxa"/>
          </w:tcPr>
          <w:p w:rsidR="000C5659" w:rsidRDefault="000E33C4">
            <w:pPr>
              <w:kinsoku w:val="0"/>
              <w:overflowPunct w:val="0"/>
              <w:autoSpaceDE w:val="0"/>
              <w:autoSpaceDN w:val="0"/>
              <w:adjustRightInd w:val="0"/>
              <w:snapToGrid w:val="0"/>
              <w:jc w:val="right"/>
              <w:rPr>
                <w:rFonts w:ascii="Times New Roman" w:hAnsi="Times New Roman"/>
              </w:rPr>
            </w:pPr>
            <w:r>
              <w:t>3.06</w:t>
            </w:r>
          </w:p>
        </w:tc>
        <w:tc>
          <w:tcPr>
            <w:tcW w:w="1994" w:type="dxa"/>
            <w:vAlign w:val="center"/>
          </w:tcPr>
          <w:p w:rsidR="000C5659" w:rsidRDefault="000E33C4">
            <w:pPr>
              <w:kinsoku w:val="0"/>
              <w:overflowPunct w:val="0"/>
              <w:autoSpaceDE w:val="0"/>
              <w:autoSpaceDN w:val="0"/>
              <w:adjustRightInd w:val="0"/>
              <w:snapToGrid w:val="0"/>
              <w:jc w:val="right"/>
              <w:rPr>
                <w:rFonts w:ascii="Times New Roman" w:hAnsi="Times New Roman"/>
              </w:rPr>
            </w:pPr>
            <w:r>
              <w:rPr>
                <w:rFonts w:hint="eastAsia"/>
                <w:color w:val="000000"/>
              </w:rPr>
              <w:t>减少0.54个百分点</w:t>
            </w:r>
          </w:p>
        </w:tc>
      </w:tr>
    </w:tbl>
    <w:p w:rsidR="000C5659" w:rsidRDefault="000C5659">
      <w:pPr>
        <w:pStyle w:val="Style325"/>
      </w:pPr>
    </w:p>
    <w:p w:rsidR="000C5659" w:rsidRDefault="000E33C4">
      <w:pPr>
        <w:rPr>
          <w:color w:val="000000" w:themeColor="text1"/>
        </w:rPr>
      </w:pPr>
      <w:bookmarkStart w:id="20" w:name="_Toc342056398"/>
      <w:bookmarkStart w:id="21" w:name="_Toc342565890"/>
      <w:r>
        <w:rPr>
          <w:color w:val="000000" w:themeColor="text1"/>
        </w:rPr>
        <w:t>公司主要会计数据和财务指标的说明</w:t>
      </w:r>
    </w:p>
    <w:sdt>
      <w:sdtPr>
        <w:rPr>
          <w:color w:val="000000" w:themeColor="text1"/>
        </w:rPr>
        <w:alias w:val="是否适用：公司主要会计数据和财务指标的说明[双击切换]"/>
        <w:tag w:val="_GBC_cfe99dae5f804f6f8f02eb429483f98a"/>
        <w:id w:val="-914397642"/>
        <w:placeholder>
          <w:docPart w:val="GBC22222222222222222222222222222"/>
        </w:placeholder>
      </w:sdtPr>
      <w:sdtEndPr/>
      <w:sdtContent>
        <w:p w:rsidR="000C5659" w:rsidRDefault="000E33C4">
          <w:pPr>
            <w:rPr>
              <w:highlight w:val="yellow"/>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2"/>
        <w:numPr>
          <w:ilvl w:val="0"/>
          <w:numId w:val="4"/>
        </w:numPr>
        <w:ind w:firstLineChars="0"/>
        <w:rPr>
          <w:color w:val="000000" w:themeColor="text1"/>
        </w:rPr>
      </w:pPr>
      <w:r>
        <w:rPr>
          <w:rFonts w:hint="eastAsia"/>
          <w:color w:val="000000" w:themeColor="text1"/>
        </w:rPr>
        <w:t>境内外会计准则下会计数据差异</w:t>
      </w:r>
      <w:bookmarkEnd w:id="20"/>
      <w:bookmarkEnd w:id="21"/>
    </w:p>
    <w:sdt>
      <w:sdtPr>
        <w:rPr>
          <w:color w:val="000000" w:themeColor="text1"/>
        </w:rPr>
        <w:alias w:val="是否适用：境内外会计准则下会计数据差异[双击切换]"/>
        <w:tag w:val="_GBC_bdabc18d82504a7696c49b78e67b7ce4"/>
        <w:id w:val="-186812819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2"/>
        <w:numPr>
          <w:ilvl w:val="0"/>
          <w:numId w:val="4"/>
        </w:numPr>
        <w:ind w:firstLineChars="0"/>
        <w:rPr>
          <w:color w:val="000000" w:themeColor="text1"/>
        </w:rPr>
      </w:pPr>
      <w:bookmarkStart w:id="22" w:name="_Hlk24640273"/>
      <w:bookmarkStart w:id="23" w:name="_Hlk167796974"/>
      <w:bookmarkEnd w:id="22"/>
      <w:r>
        <w:rPr>
          <w:rFonts w:hint="eastAsia"/>
          <w:color w:val="000000" w:themeColor="text1"/>
        </w:rPr>
        <w:t>非经常性损益项目和金额</w:t>
      </w:r>
    </w:p>
    <w:sdt>
      <w:sdtPr>
        <w:rPr>
          <w:color w:val="000000" w:themeColor="text1"/>
        </w:rPr>
        <w:alias w:val="是否适用：扣除非经常性损益项目和金额[双击切换]"/>
        <w:tag w:val="_GBC_43f94504cb3d48cbbe81a75d50663c2d"/>
        <w:id w:val="170567724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扣除非经常性损益项目和金额"/>
          <w:tag w:val="_GBC_f9e43a30b40946c08985f868a2ba3b74"/>
          <w:id w:val="14512190"/>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F4556F">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扣除非经常性损益项目和金额"/>
          <w:tag w:val="_GBC_81dc93f6f5e14511b89edb8661fa84fd"/>
          <w:id w:val="1556511433"/>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556F">
            <w:rPr>
              <w:rFonts w:hint="eastAsia"/>
              <w:color w:val="000000" w:themeColor="text1"/>
            </w:rPr>
            <w:t>人民币</w:t>
          </w:r>
        </w:sdtContent>
      </w:sdt>
    </w:p>
    <w:tbl>
      <w:tblPr>
        <w:tblStyle w:val="g2"/>
        <w:tblW w:w="5000" w:type="pct"/>
        <w:tblLook w:val="04A0" w:firstRow="1" w:lastRow="0" w:firstColumn="1" w:lastColumn="0" w:noHBand="0" w:noVBand="1"/>
      </w:tblPr>
      <w:tblGrid>
        <w:gridCol w:w="4369"/>
        <w:gridCol w:w="2135"/>
        <w:gridCol w:w="2319"/>
      </w:tblGrid>
      <w:tr w:rsidR="000C5659">
        <w:sdt>
          <w:sdtPr>
            <w:rPr>
              <w:rFonts w:ascii="Times New Roman" w:hAnsi="Times New Roman"/>
              <w:color w:val="000000" w:themeColor="text1"/>
            </w:rPr>
            <w:tag w:val="_PLD_75c3787071e446ebb752a5626cdbd723"/>
            <w:id w:val="-620682837"/>
          </w:sdtPr>
          <w:sdtEndPr/>
          <w:sdtContent>
            <w:tc>
              <w:tcPr>
                <w:tcW w:w="2474" w:type="pct"/>
                <w:vAlign w:val="center"/>
              </w:tcPr>
              <w:p w:rsidR="000C5659" w:rsidRDefault="000E33C4">
                <w:pPr>
                  <w:pStyle w:val="Style175"/>
                  <w:ind w:firstLineChars="0" w:firstLine="0"/>
                  <w:jc w:val="center"/>
                  <w:rPr>
                    <w:rFonts w:ascii="宋体" w:hAnsi="宋体"/>
                    <w:color w:val="000000" w:themeColor="text1"/>
                  </w:rPr>
                </w:pPr>
                <w:r>
                  <w:rPr>
                    <w:rFonts w:ascii="宋体" w:hAnsi="宋体" w:hint="eastAsia"/>
                    <w:color w:val="000000" w:themeColor="text1"/>
                  </w:rPr>
                  <w:t>非经常性损益项目</w:t>
                </w:r>
              </w:p>
            </w:tc>
          </w:sdtContent>
        </w:sdt>
        <w:sdt>
          <w:sdtPr>
            <w:rPr>
              <w:rFonts w:ascii="Times New Roman" w:hAnsi="Times New Roman"/>
              <w:color w:val="000000" w:themeColor="text1"/>
            </w:rPr>
            <w:tag w:val="_PLD_819237cfe12b4f9b95d296101869571d"/>
            <w:id w:val="-353970690"/>
          </w:sdtPr>
          <w:sdtEndPr/>
          <w:sdtContent>
            <w:tc>
              <w:tcPr>
                <w:tcW w:w="1209" w:type="pct"/>
                <w:vAlign w:val="center"/>
              </w:tcPr>
              <w:p w:rsidR="000C5659" w:rsidRDefault="000E33C4">
                <w:pPr>
                  <w:pStyle w:val="Style175"/>
                  <w:ind w:firstLineChars="0" w:firstLine="0"/>
                  <w:jc w:val="center"/>
                  <w:rPr>
                    <w:rFonts w:ascii="宋体" w:hAnsi="宋体"/>
                    <w:color w:val="000000" w:themeColor="text1"/>
                  </w:rPr>
                </w:pPr>
                <w:r>
                  <w:rPr>
                    <w:rFonts w:ascii="宋体" w:hAnsi="宋体" w:hint="eastAsia"/>
                    <w:color w:val="000000" w:themeColor="text1"/>
                  </w:rPr>
                  <w:t>金额</w:t>
                </w:r>
              </w:p>
            </w:tc>
          </w:sdtContent>
        </w:sdt>
        <w:sdt>
          <w:sdtPr>
            <w:rPr>
              <w:rFonts w:ascii="Times New Roman" w:hAnsi="Times New Roman"/>
              <w:color w:val="000000" w:themeColor="text1"/>
            </w:rPr>
            <w:tag w:val="_PLD_271c1520daad4f06be80c7ac930ea658"/>
            <w:id w:val="-686756577"/>
          </w:sdtPr>
          <w:sdtEndPr/>
          <w:sdtContent>
            <w:tc>
              <w:tcPr>
                <w:tcW w:w="1313" w:type="pct"/>
                <w:vAlign w:val="center"/>
              </w:tcPr>
              <w:p w:rsidR="000C5659" w:rsidRDefault="000E33C4">
                <w:pPr>
                  <w:pStyle w:val="Style175"/>
                  <w:ind w:firstLineChars="0" w:firstLine="0"/>
                  <w:jc w:val="center"/>
                  <w:rPr>
                    <w:rFonts w:ascii="宋体" w:hAnsi="宋体"/>
                    <w:color w:val="000000" w:themeColor="text1"/>
                  </w:rPr>
                </w:pPr>
                <w:r>
                  <w:rPr>
                    <w:rFonts w:ascii="宋体" w:hAnsi="宋体" w:hint="eastAsia"/>
                    <w:color w:val="000000" w:themeColor="text1"/>
                  </w:rPr>
                  <w:t>附注（如适用）</w:t>
                </w:r>
              </w:p>
            </w:tc>
          </w:sdtContent>
        </w:sdt>
      </w:tr>
      <w:tr w:rsidR="000C5659">
        <w:tc>
          <w:tcPr>
            <w:tcW w:w="2474" w:type="pct"/>
          </w:tcPr>
          <w:p w:rsidR="000C5659" w:rsidRDefault="000E33C4">
            <w:pPr>
              <w:pStyle w:val="Style175"/>
              <w:ind w:firstLineChars="0" w:firstLine="0"/>
              <w:jc w:val="left"/>
              <w:rPr>
                <w:color w:val="000000" w:themeColor="text1"/>
              </w:rPr>
            </w:pPr>
            <w:r>
              <w:rPr>
                <w:color w:val="000000" w:themeColor="text1"/>
              </w:rPr>
              <w:t>非流动</w:t>
            </w:r>
            <w:r>
              <w:rPr>
                <w:rFonts w:hint="eastAsia"/>
                <w:color w:val="000000" w:themeColor="text1"/>
              </w:rPr>
              <w:t>性</w:t>
            </w:r>
            <w:r>
              <w:rPr>
                <w:color w:val="000000" w:themeColor="text1"/>
              </w:rPr>
              <w:t>资产处置损益</w:t>
            </w:r>
            <w:r>
              <w:rPr>
                <w:rFonts w:hint="eastAsia"/>
                <w:color w:val="000000" w:themeColor="text1"/>
              </w:rPr>
              <w:t>，包括已计提资产减值准备的冲销部分</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-94,544.03</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计入当期损益的政府补助</w:t>
            </w:r>
            <w:r>
              <w:rPr>
                <w:rFonts w:hint="eastAsia"/>
                <w:color w:val="000000" w:themeColor="text1"/>
              </w:rPr>
              <w:t>，但与公司正常经营业务密切相关、符合国家政策规定、按照确定的标准享有、对公司损益产生持续影响的政府补助除外</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2,500,743.66</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rFonts w:hint="eastAsia"/>
                <w:color w:val="000000" w:themeColor="text1"/>
              </w:rPr>
              <w:t>除同公司正常经营业务相关的有效套期保值业务外，</w:t>
            </w:r>
            <w:r>
              <w:rPr>
                <w:color w:val="000000" w:themeColor="text1"/>
              </w:rPr>
              <w:t>非金融企业持有金融资产和金融负债产生的公允价值变动损益以及处置金融资产和金融负债产生的损益</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-165,705.98</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计入当期损益的对非金融企业收取的资金占用费</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委托他人投资或管理资产的损益</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-32,961.87</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对外委托贷款取得的损益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因不可抗力因</w:t>
            </w:r>
            <w:r>
              <w:rPr>
                <w:rFonts w:hint="eastAsia"/>
                <w:color w:val="000000" w:themeColor="text1"/>
              </w:rPr>
              <w:t>素，如遭受自然灾害而产生的各项资产损失</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rFonts w:hint="eastAsia"/>
                <w:color w:val="000000" w:themeColor="text1"/>
              </w:rPr>
              <w:t>单独进行减值测试的应收款项减值准备转回</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企业取得子公司、联营企业及合营企业的投资成本小于取得投资时应享有被投资单位可</w:t>
            </w:r>
            <w:r>
              <w:rPr>
                <w:color w:val="000000" w:themeColor="text1"/>
              </w:rPr>
              <w:lastRenderedPageBreak/>
              <w:t>辨认净资产公允价值产生的收益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lastRenderedPageBreak/>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lastRenderedPageBreak/>
              <w:t>同一控制下企业合并产生的子公司期初至合并日的当期净损益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非货币性资产交换损益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债务重组损益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企业</w:t>
            </w:r>
            <w:r>
              <w:rPr>
                <w:rFonts w:hint="eastAsia"/>
                <w:color w:val="000000" w:themeColor="text1"/>
              </w:rPr>
              <w:t>因相关经营活动不再持续而发生的一次性费用，如安置职工的支出等</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因税收、会计等法律、法规</w:t>
            </w:r>
            <w:r>
              <w:rPr>
                <w:rFonts w:hint="eastAsia"/>
                <w:color w:val="000000" w:themeColor="text1"/>
              </w:rPr>
              <w:t>的调整对当期损益产生的一次性影响</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因取消、修改股权激励计划一次性确认的股份支付费用</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C5659">
            <w:pPr>
              <w:rPr>
                <w:rFonts w:ascii="Times New Roman" w:hAnsi="Times New Roman"/>
              </w:rPr>
            </w:pP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对于现金结算的股份支付，在可行权日之后，应付职工薪酬的公允价值变动产生的损益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C5659">
            <w:pPr>
              <w:rPr>
                <w:rFonts w:ascii="Times New Roman" w:hAnsi="Times New Roman"/>
              </w:rPr>
            </w:pP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采用公允价值模式进行后续计量的投资性房地产公允价值变动产生的损益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rFonts w:hint="eastAsia"/>
                <w:color w:val="000000" w:themeColor="text1"/>
              </w:rPr>
              <w:t>交易价格显失公允的交易产生的收益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与公司正常经营业务无关的或有事项产生的损益</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受托经营取得的托管费收入</w:t>
            </w:r>
          </w:p>
        </w:tc>
        <w:tc>
          <w:tcPr>
            <w:tcW w:w="1209" w:type="pct"/>
            <w:vAlign w:val="center"/>
          </w:tcPr>
          <w:p w:rsidR="000C5659" w:rsidRDefault="000E33C4">
            <w:pPr>
              <w:jc w:val="right"/>
              <w:rPr>
                <w:rFonts w:ascii="Times New Roman" w:hAnsi="Times New Roman"/>
                <w:color w:val="000000" w:themeColor="text1"/>
              </w:rPr>
            </w:pPr>
            <w:r>
              <w:rPr>
                <w:rFonts w:ascii="Times New Roman" w:hAnsi="Times New Roman"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除上述各项之外的其他营业外收入和支出</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 xml:space="preserve">-86,571.59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其他符合非经常性损益定义的损益项目</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rFonts w:hint="eastAsia"/>
                <w:color w:val="000000" w:themeColor="text1"/>
              </w:rPr>
              <w:t>减：</w:t>
            </w:r>
            <w:r>
              <w:rPr>
                <w:color w:val="000000" w:themeColor="text1"/>
              </w:rPr>
              <w:t>所得税影响额</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rPr>
              <w:t>460,992.46</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jc w:val="left"/>
              <w:rPr>
                <w:color w:val="000000" w:themeColor="text1"/>
              </w:rPr>
            </w:pPr>
            <w:r>
              <w:rPr>
                <w:color w:val="000000" w:themeColor="text1"/>
              </w:rPr>
              <w:t>少数股东权益影响额</w:t>
            </w:r>
            <w:r>
              <w:rPr>
                <w:rFonts w:hint="eastAsia"/>
                <w:color w:val="000000" w:themeColor="text1"/>
              </w:rPr>
              <w:t>（税后）</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vAlign w:val="center"/>
          </w:tcPr>
          <w:p w:rsidR="000C5659" w:rsidRDefault="000E33C4">
            <w:pPr>
              <w:pStyle w:val="Style175"/>
              <w:ind w:firstLineChars="0" w:firstLine="0"/>
              <w:jc w:val="center"/>
              <w:rPr>
                <w:color w:val="000000" w:themeColor="text1"/>
              </w:rPr>
            </w:pPr>
            <w:r>
              <w:rPr>
                <w:color w:val="000000" w:themeColor="text1"/>
              </w:rPr>
              <w:t>合计</w:t>
            </w:r>
          </w:p>
        </w:tc>
        <w:tc>
          <w:tcPr>
            <w:tcW w:w="1209" w:type="pct"/>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1,659,967.73</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bl>
    <w:p w:rsidR="000C5659" w:rsidRDefault="000C5659">
      <w:pPr>
        <w:pStyle w:val="Style325"/>
      </w:pPr>
    </w:p>
    <w:p w:rsidR="000C5659" w:rsidRDefault="000E33C4">
      <w:pPr>
        <w:pStyle w:val="Style135"/>
        <w:adjustRightInd w:val="0"/>
        <w:snapToGrid w:val="0"/>
        <w:spacing w:line="200" w:lineRule="atLeast"/>
        <w:rPr>
          <w:rFonts w:hAnsi="宋体"/>
          <w:color w:val="000000" w:themeColor="text1"/>
          <w:kern w:val="0"/>
          <w:szCs w:val="21"/>
        </w:rPr>
      </w:pPr>
      <w:bookmarkStart w:id="24" w:name="_Hlk89096484"/>
      <w:bookmarkStart w:id="25" w:name="_Hlk137045432"/>
      <w:bookmarkStart w:id="26" w:name="_Hlk41379873"/>
      <w:bookmarkStart w:id="27" w:name="_Hlk105685044"/>
      <w:bookmarkEnd w:id="23"/>
      <w:r>
        <w:rPr>
          <w:rFonts w:hAnsi="宋体" w:cs="宋体" w:hint="eastAsia"/>
          <w:color w:val="000000" w:themeColor="text1"/>
          <w:kern w:val="0"/>
          <w:szCs w:val="21"/>
        </w:rPr>
        <w:t>对公司将《公开发行证券的公司信息披露解释性公告第</w:t>
      </w:r>
      <w:r>
        <w:rPr>
          <w:rFonts w:hAnsi="宋体" w:cs="宋体"/>
          <w:color w:val="000000" w:themeColor="text1"/>
          <w:kern w:val="0"/>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r>
        <w:rPr>
          <w:rFonts w:hAnsi="宋体" w:cs="宋体" w:hint="eastAsia"/>
          <w:color w:val="000000" w:themeColor="text1"/>
          <w:kern w:val="0"/>
          <w:szCs w:val="21"/>
        </w:rPr>
        <w:t>。</w:t>
      </w:r>
    </w:p>
    <w:sdt>
      <w:sdtPr>
        <w:rPr>
          <w:color w:val="000000" w:themeColor="text1"/>
        </w:rPr>
        <w:alias w:val="是否适用：将非经常性损益项目界定为经常性损益项目[双击切换]"/>
        <w:tag w:val="_GBC_2fced4d4c7b049209a471cd2040fe574"/>
        <w:id w:val="9867437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4"/>
    <w:bookmarkEnd w:id="25"/>
    <w:bookmarkEnd w:id="26"/>
    <w:p w:rsidR="000C5659" w:rsidRDefault="000C5659">
      <w:pPr>
        <w:rPr>
          <w:color w:val="000000" w:themeColor="text1"/>
        </w:rPr>
      </w:pPr>
    </w:p>
    <w:bookmarkEnd w:id="27"/>
    <w:p w:rsidR="000C5659" w:rsidRDefault="000E33C4">
      <w:pPr>
        <w:pStyle w:val="2"/>
        <w:numPr>
          <w:ilvl w:val="0"/>
          <w:numId w:val="4"/>
        </w:numPr>
        <w:ind w:firstLineChars="0"/>
        <w:rPr>
          <w:color w:val="000000" w:themeColor="text1"/>
        </w:rPr>
      </w:pPr>
      <w:r>
        <w:rPr>
          <w:rFonts w:hint="eastAsia"/>
          <w:color w:val="000000" w:themeColor="text1"/>
        </w:rPr>
        <w:t>其他</w:t>
      </w:r>
    </w:p>
    <w:sdt>
      <w:sdtPr>
        <w:rPr>
          <w:color w:val="000000" w:themeColor="text1"/>
        </w:rPr>
        <w:alias w:val="是否适用：公司简介和主要财务指标其他说明[双击切换]"/>
        <w:tag w:val="_GBC_5b4104dc5c2c4501bc2420c70be30c2a"/>
        <w:id w:val="8568498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kinsoku w:val="0"/>
        <w:overflowPunct w:val="0"/>
        <w:autoSpaceDE w:val="0"/>
        <w:autoSpaceDN w:val="0"/>
        <w:adjustRightInd w:val="0"/>
        <w:snapToGrid w:val="0"/>
        <w:rPr>
          <w:color w:val="000000" w:themeColor="text1"/>
        </w:rPr>
      </w:pPr>
    </w:p>
    <w:p w:rsidR="000C5659" w:rsidRDefault="000E33C4">
      <w:pPr>
        <w:pStyle w:val="1"/>
        <w:numPr>
          <w:ilvl w:val="0"/>
          <w:numId w:val="3"/>
        </w:numPr>
        <w:rPr>
          <w:rFonts w:ascii="黑体" w:hAnsi="黑体"/>
          <w:color w:val="000000" w:themeColor="text1"/>
          <w:szCs w:val="21"/>
        </w:rPr>
      </w:pPr>
      <w:bookmarkStart w:id="28" w:name="_Toc76114274"/>
      <w:bookmarkStart w:id="29" w:name="_Toc142578257"/>
      <w:r>
        <w:rPr>
          <w:rFonts w:ascii="黑体" w:hAnsi="黑体" w:hint="eastAsia"/>
          <w:color w:val="000000" w:themeColor="text1"/>
          <w:szCs w:val="21"/>
        </w:rPr>
        <w:t>管理层讨论与分析</w:t>
      </w:r>
      <w:bookmarkEnd w:id="28"/>
      <w:bookmarkEnd w:id="29"/>
    </w:p>
    <w:p w:rsidR="000C5659" w:rsidRDefault="000E33C4">
      <w:pPr>
        <w:pStyle w:val="2"/>
        <w:numPr>
          <w:ilvl w:val="0"/>
          <w:numId w:val="6"/>
        </w:numPr>
        <w:tabs>
          <w:tab w:val="left" w:pos="426"/>
        </w:tabs>
        <w:ind w:left="422" w:hanging="422"/>
        <w:jc w:val="left"/>
        <w:rPr>
          <w:rFonts w:ascii="宋体" w:hAnsi="宋体"/>
          <w:color w:val="000000" w:themeColor="text1"/>
        </w:rPr>
      </w:pPr>
      <w:r>
        <w:rPr>
          <w:rFonts w:ascii="宋体" w:hAnsi="宋体" w:hint="eastAsia"/>
          <w:color w:val="000000" w:themeColor="text1"/>
        </w:rPr>
        <w:t>报告期内公司所属行业及主营业务情况说明</w:t>
      </w:r>
    </w:p>
    <w:sdt>
      <w:sdtPr>
        <w:rPr>
          <w:rFonts w:hint="eastAsia"/>
          <w:color w:val="000000" w:themeColor="text1"/>
        </w:rPr>
        <w:alias w:val="报告期内公司所从事的主要业务、经营模式及行业情况说明"/>
        <w:tag w:val="_GBC_5c28d6f46eea48f892bed0c5fc99ab60"/>
        <w:id w:val="-1481386277"/>
        <w:placeholder>
          <w:docPart w:val="GBC22222222222222222222222222222"/>
        </w:placeholder>
      </w:sdtPr>
      <w:sdtEndPr/>
      <w:sdtContent>
        <w:p w:rsidR="000C5659" w:rsidRDefault="000E33C4">
          <w:pPr>
            <w:rPr>
              <w:color w:val="000000" w:themeColor="text1"/>
            </w:rPr>
          </w:pPr>
          <w:r>
            <w:rPr>
              <w:rFonts w:hint="eastAsia"/>
              <w:color w:val="000000" w:themeColor="text1"/>
            </w:rPr>
            <w:t>（一）行业情况说明</w:t>
          </w:r>
        </w:p>
        <w:p w:rsidR="000C5659" w:rsidRDefault="000E33C4">
          <w:pPr>
            <w:ind w:firstLineChars="200" w:firstLine="420"/>
            <w:rPr>
              <w:color w:val="000000" w:themeColor="text1"/>
            </w:rPr>
          </w:pPr>
          <w:r>
            <w:rPr>
              <w:rFonts w:hint="eastAsia"/>
              <w:color w:val="000000" w:themeColor="text1"/>
            </w:rPr>
            <w:t>1</w:t>
          </w:r>
          <w:r>
            <w:rPr>
              <w:color w:val="000000" w:themeColor="text1"/>
            </w:rPr>
            <w:t>.</w:t>
          </w:r>
          <w:r>
            <w:rPr>
              <w:rFonts w:hint="eastAsia"/>
              <w:color w:val="000000" w:themeColor="text1"/>
            </w:rPr>
            <w:t>口腔清洁护理用品行业</w:t>
          </w:r>
        </w:p>
        <w:p w:rsidR="000C5659" w:rsidRDefault="000E33C4">
          <w:pPr>
            <w:ind w:firstLineChars="200" w:firstLine="420"/>
            <w:jc w:val="both"/>
            <w:rPr>
              <w:color w:val="000000" w:themeColor="text1"/>
            </w:rPr>
          </w:pPr>
          <w:r>
            <w:rPr>
              <w:rFonts w:hint="eastAsia"/>
              <w:color w:val="000000" w:themeColor="text1"/>
            </w:rPr>
            <w:t>口腔清洁护理是指对口腔内的牙、舌、腭、颊等部位进行清洁和保护的行为，相关用品包括牙膏、牙刷、牙线、牙线签、假牙清洁片、漱口水、口喷、电动牙刷、冲牙器等，主要用于口腔清洁、美白、抗过敏、预防口腔疾病以及保持口腔卫生。</w:t>
          </w:r>
        </w:p>
        <w:p w:rsidR="000C5659" w:rsidRDefault="000E33C4">
          <w:pPr>
            <w:ind w:firstLineChars="200" w:firstLine="420"/>
            <w:jc w:val="both"/>
            <w:rPr>
              <w:color w:val="000000" w:themeColor="text1"/>
            </w:rPr>
          </w:pPr>
          <w:r>
            <w:rPr>
              <w:rFonts w:hint="eastAsia"/>
              <w:color w:val="000000" w:themeColor="text1"/>
            </w:rPr>
            <w:t>近年来我国经济持续较快发展，居民人均可支配收入不断提高，对口腔清洁护理的意识也在不断提升，消费者正处于从口腔浅层护理向深层护理转变的过程中，在口腔清洁护理领域的人均投入不断增长，因此我国拥有庞大消费群体的口腔清洁护理市场呈现出一定的增长潜力。根据欧睿国际数据，</w:t>
          </w:r>
          <w:r>
            <w:rPr>
              <w:color w:val="000000" w:themeColor="text1"/>
            </w:rPr>
            <w:t>2017年-2023年我国口腔清洁护理用品行业市场规模</w:t>
          </w:r>
          <w:r>
            <w:rPr>
              <w:rFonts w:hint="eastAsia"/>
              <w:color w:val="000000" w:themeColor="text1"/>
            </w:rPr>
            <w:t>（以零售额计）</w:t>
          </w:r>
          <w:r>
            <w:rPr>
              <w:color w:val="000000" w:themeColor="text1"/>
            </w:rPr>
            <w:t>总体呈现逐年上升的趋势，其中2017年-2021年市场规模由388亿元逐年上升至522亿元，年均复合增长率为7.7%，2022年受疫情影响，市场规模略有下滑至482亿元，2023年市场规模回升</w:t>
          </w:r>
          <w:r>
            <w:rPr>
              <w:rFonts w:hint="eastAsia"/>
              <w:color w:val="000000" w:themeColor="text1"/>
            </w:rPr>
            <w:t>至4</w:t>
          </w:r>
          <w:r>
            <w:rPr>
              <w:color w:val="000000" w:themeColor="text1"/>
            </w:rPr>
            <w:t>91.5</w:t>
          </w:r>
          <w:r>
            <w:rPr>
              <w:rFonts w:hint="eastAsia"/>
              <w:color w:val="000000" w:themeColor="text1"/>
            </w:rPr>
            <w:t>亿元，预计2</w:t>
          </w:r>
          <w:r>
            <w:rPr>
              <w:color w:val="000000" w:themeColor="text1"/>
            </w:rPr>
            <w:t>023</w:t>
          </w:r>
          <w:r>
            <w:rPr>
              <w:rFonts w:hint="eastAsia"/>
              <w:color w:val="000000" w:themeColor="text1"/>
            </w:rPr>
            <w:t>年-</w:t>
          </w:r>
          <w:r>
            <w:rPr>
              <w:color w:val="000000" w:themeColor="text1"/>
            </w:rPr>
            <w:t>2028</w:t>
          </w:r>
          <w:r>
            <w:rPr>
              <w:rFonts w:hint="eastAsia"/>
              <w:color w:val="000000" w:themeColor="text1"/>
            </w:rPr>
            <w:t>年年均复合增长率为3</w:t>
          </w:r>
          <w:r>
            <w:rPr>
              <w:color w:val="000000" w:themeColor="text1"/>
            </w:rPr>
            <w:t>.75%</w:t>
          </w:r>
          <w:r>
            <w:rPr>
              <w:rFonts w:hint="eastAsia"/>
              <w:color w:val="000000" w:themeColor="text1"/>
            </w:rPr>
            <w:t>，口腔清洁护理行业进入平稳增长期。</w:t>
          </w:r>
        </w:p>
        <w:p w:rsidR="000C5659" w:rsidRDefault="000E33C4">
          <w:pPr>
            <w:jc w:val="center"/>
            <w:rPr>
              <w:color w:val="000000" w:themeColor="text1"/>
            </w:rPr>
          </w:pPr>
          <w:r>
            <w:rPr>
              <w:noProof/>
              <w:color w:val="000000" w:themeColor="text1"/>
            </w:rPr>
            <w:lastRenderedPageBreak/>
            <w:drawing>
              <wp:inline distT="0" distB="0" distL="0" distR="0" wp14:anchorId="60D7B593" wp14:editId="4E5DBF03">
                <wp:extent cx="3214370" cy="18681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36240" cy="1880774"/>
                        </a:xfrm>
                        <a:prstGeom prst="rect">
                          <a:avLst/>
                        </a:prstGeom>
                        <a:noFill/>
                      </pic:spPr>
                    </pic:pic>
                  </a:graphicData>
                </a:graphic>
              </wp:inline>
            </w:drawing>
          </w:r>
        </w:p>
        <w:p w:rsidR="000C5659" w:rsidRDefault="000E33C4">
          <w:pPr>
            <w:ind w:firstLineChars="200" w:firstLine="420"/>
            <w:jc w:val="both"/>
            <w:rPr>
              <w:color w:val="000000" w:themeColor="text1"/>
            </w:rPr>
          </w:pPr>
          <w:r>
            <w:rPr>
              <w:rFonts w:hint="eastAsia"/>
              <w:color w:val="000000" w:themeColor="text1"/>
            </w:rPr>
            <w:t>就国内口腔清洁护理细分品类而言，牙膏、牙刷作为刚需品类占据主导地位。根据中国口腔清洁护理用品工业协会发布的《</w:t>
          </w:r>
          <w:r>
            <w:rPr>
              <w:color w:val="000000" w:themeColor="text1"/>
            </w:rPr>
            <w:t>2024年1-6月口腔护理行业简报》</w:t>
          </w:r>
          <w:r>
            <w:rPr>
              <w:rFonts w:hint="eastAsia"/>
              <w:color w:val="000000" w:themeColor="text1"/>
            </w:rPr>
            <w:t>（以下简称“《简报》”），</w:t>
          </w:r>
          <w:r>
            <w:rPr>
              <w:color w:val="000000" w:themeColor="text1"/>
            </w:rPr>
            <w:t>2024年1-6月</w:t>
          </w:r>
          <w:r>
            <w:rPr>
              <w:rFonts w:hint="eastAsia"/>
              <w:color w:val="000000" w:themeColor="text1"/>
            </w:rPr>
            <w:t>，</w:t>
          </w:r>
          <w:r>
            <w:rPr>
              <w:color w:val="000000" w:themeColor="text1"/>
            </w:rPr>
            <w:t>欧特欧咨询监测</w:t>
          </w:r>
          <w:r>
            <w:rPr>
              <w:rFonts w:hint="eastAsia"/>
              <w:color w:val="000000" w:themeColor="text1"/>
            </w:rPr>
            <w:t>天猫、京东等主要</w:t>
          </w:r>
          <w:r>
            <w:rPr>
              <w:color w:val="000000" w:themeColor="text1"/>
            </w:rPr>
            <w:t>电商平台</w:t>
          </w:r>
          <w:r>
            <w:rPr>
              <w:rFonts w:hint="eastAsia"/>
              <w:color w:val="000000" w:themeColor="text1"/>
            </w:rPr>
            <w:t>口腔护理行业网络零售额中牙膏（含牙粉）市场份额增加至4</w:t>
          </w:r>
          <w:r>
            <w:rPr>
              <w:color w:val="000000" w:themeColor="text1"/>
            </w:rPr>
            <w:t>7.8%</w:t>
          </w:r>
          <w:r>
            <w:rPr>
              <w:rFonts w:hint="eastAsia"/>
              <w:color w:val="000000" w:themeColor="text1"/>
            </w:rPr>
            <w:t>，是口腔护理行业中零售额最高的细分品类；牙刷（含电动牙刷）市场份额为3</w:t>
          </w:r>
          <w:r>
            <w:rPr>
              <w:color w:val="000000" w:themeColor="text1"/>
            </w:rPr>
            <w:t>3.4%</w:t>
          </w:r>
          <w:r>
            <w:rPr>
              <w:rFonts w:hint="eastAsia"/>
              <w:color w:val="000000" w:themeColor="text1"/>
            </w:rPr>
            <w:t>，二者合计占比高达8</w:t>
          </w:r>
          <w:r>
            <w:rPr>
              <w:color w:val="000000" w:themeColor="text1"/>
            </w:rPr>
            <w:t>1.2%</w:t>
          </w:r>
          <w:r>
            <w:rPr>
              <w:rFonts w:hint="eastAsia"/>
              <w:color w:val="000000" w:themeColor="text1"/>
            </w:rPr>
            <w:t>。</w:t>
          </w:r>
        </w:p>
        <w:p w:rsidR="000C5659" w:rsidRDefault="000E33C4">
          <w:pPr>
            <w:ind w:firstLineChars="200" w:firstLine="420"/>
            <w:jc w:val="both"/>
            <w:rPr>
              <w:color w:val="000000" w:themeColor="text1"/>
            </w:rPr>
          </w:pPr>
          <w:r>
            <w:rPr>
              <w:rFonts w:hint="eastAsia"/>
              <w:color w:val="000000" w:themeColor="text1"/>
            </w:rPr>
            <w:t>除普通牙刷、牙膏品类外，口喷、电动牙刷等新品类发展迅速，根据《</w:t>
          </w:r>
          <w:r>
            <w:rPr>
              <w:color w:val="000000" w:themeColor="text1"/>
            </w:rPr>
            <w:t>简报》</w:t>
          </w:r>
          <w:r>
            <w:rPr>
              <w:rFonts w:hint="eastAsia"/>
              <w:color w:val="000000" w:themeColor="text1"/>
            </w:rPr>
            <w:t>，消费者社交与个人形象维护需求日益增长带动了口喷产品的热销，2</w:t>
          </w:r>
          <w:r>
            <w:rPr>
              <w:color w:val="000000" w:themeColor="text1"/>
            </w:rPr>
            <w:t>024</w:t>
          </w:r>
          <w:r>
            <w:rPr>
              <w:rFonts w:hint="eastAsia"/>
              <w:color w:val="000000" w:themeColor="text1"/>
            </w:rPr>
            <w:t>年1</w:t>
          </w:r>
          <w:r>
            <w:rPr>
              <w:color w:val="000000" w:themeColor="text1"/>
            </w:rPr>
            <w:t>-6</w:t>
          </w:r>
          <w:r>
            <w:rPr>
              <w:rFonts w:hint="eastAsia"/>
              <w:color w:val="000000" w:themeColor="text1"/>
            </w:rPr>
            <w:t>月口喷产品网络零售额同比增长1</w:t>
          </w:r>
          <w:r>
            <w:rPr>
              <w:color w:val="000000" w:themeColor="text1"/>
            </w:rPr>
            <w:t>5%</w:t>
          </w:r>
          <w:r>
            <w:rPr>
              <w:rFonts w:hint="eastAsia"/>
              <w:color w:val="000000" w:themeColor="text1"/>
            </w:rPr>
            <w:t>，随着口腔护理意识的提升，消费者对于口喷产品的要求也愈发精细，除了基本的清新功能外，还期望其具有护齿、抗菌、提神等多重功效。因此，市场上涌现出了众多添加天然植物精华、薄荷精华或是特殊护齿成分的口喷产品，以满足不同消费者的个性化需求；相比于普通牙刷，</w:t>
          </w:r>
          <w:r>
            <w:rPr>
              <w:color w:val="000000" w:themeColor="text1"/>
            </w:rPr>
            <w:t>电动牙刷拥有更高效的清洁效果和更舒适的使用体验，其智能功能和声波清洁技术满足了消费者对个性化和智能化产品的需求，因此备受青睐</w:t>
          </w:r>
          <w:r>
            <w:rPr>
              <w:rFonts w:hint="eastAsia"/>
              <w:color w:val="000000" w:themeColor="text1"/>
            </w:rPr>
            <w:t>，</w:t>
          </w:r>
          <w:r>
            <w:rPr>
              <w:color w:val="000000" w:themeColor="text1"/>
            </w:rPr>
            <w:t>2024年</w:t>
          </w:r>
          <w:r>
            <w:rPr>
              <w:rFonts w:hint="eastAsia"/>
              <w:color w:val="000000" w:themeColor="text1"/>
            </w:rPr>
            <w:t>1</w:t>
          </w:r>
          <w:r>
            <w:rPr>
              <w:color w:val="000000" w:themeColor="text1"/>
            </w:rPr>
            <w:t>-6</w:t>
          </w:r>
          <w:r>
            <w:rPr>
              <w:rFonts w:hint="eastAsia"/>
              <w:color w:val="000000" w:themeColor="text1"/>
            </w:rPr>
            <w:t>月</w:t>
          </w:r>
          <w:r>
            <w:rPr>
              <w:color w:val="000000" w:themeColor="text1"/>
            </w:rPr>
            <w:t>电动牙刷</w:t>
          </w:r>
          <w:r>
            <w:rPr>
              <w:rFonts w:hint="eastAsia"/>
              <w:color w:val="000000" w:themeColor="text1"/>
            </w:rPr>
            <w:t>产品网络零售额同比增长6</w:t>
          </w:r>
          <w:r>
            <w:rPr>
              <w:color w:val="000000" w:themeColor="text1"/>
            </w:rPr>
            <w:t>.3%</w:t>
          </w:r>
          <w:r>
            <w:rPr>
              <w:rFonts w:hint="eastAsia"/>
              <w:color w:val="000000" w:themeColor="text1"/>
            </w:rPr>
            <w:t>。</w:t>
          </w:r>
        </w:p>
        <w:p w:rsidR="000C5659" w:rsidRDefault="000E33C4">
          <w:pPr>
            <w:ind w:firstLineChars="200" w:firstLine="420"/>
            <w:rPr>
              <w:color w:val="000000" w:themeColor="text1"/>
            </w:rPr>
          </w:pPr>
          <w:r>
            <w:rPr>
              <w:rFonts w:hint="eastAsia"/>
              <w:color w:val="000000" w:themeColor="text1"/>
            </w:rPr>
            <w:t>2</w:t>
          </w:r>
          <w:r>
            <w:rPr>
              <w:color w:val="000000" w:themeColor="text1"/>
            </w:rPr>
            <w:t>.</w:t>
          </w:r>
          <w:r>
            <w:rPr>
              <w:rFonts w:hint="eastAsia"/>
              <w:color w:val="000000" w:themeColor="text1"/>
            </w:rPr>
            <w:t>湿巾行业</w:t>
          </w:r>
        </w:p>
        <w:p w:rsidR="000C5659" w:rsidRDefault="000E33C4">
          <w:pPr>
            <w:ind w:firstLineChars="200" w:firstLine="420"/>
            <w:jc w:val="both"/>
            <w:rPr>
              <w:color w:val="000000" w:themeColor="text1"/>
            </w:rPr>
          </w:pPr>
          <w:r>
            <w:rPr>
              <w:rFonts w:hint="eastAsia"/>
              <w:color w:val="000000" w:themeColor="text1"/>
            </w:rPr>
            <w:t>湿巾是一种具有随时擦拭清洁功效的一次性卫生用品，常用于个人消费和商用的多种场合，比如家庭、餐厅、酒店、外出旅行等，以其方便性受到人们的青睐。近年来，随着人们生活水平持续提高，卫生意识不断增强，湿巾产品的使用范围日趋扩大，病患护理、婴幼儿护理、女士卸妆、宠物清洁、家居清洁等新品种不断出现，湿巾行业呈现产品细分、少添加、天然环保等趋势。</w:t>
          </w:r>
        </w:p>
        <w:p w:rsidR="000C5659" w:rsidRDefault="000E33C4">
          <w:pPr>
            <w:ind w:firstLineChars="200" w:firstLine="420"/>
            <w:jc w:val="both"/>
            <w:rPr>
              <w:color w:val="000000" w:themeColor="text1"/>
            </w:rPr>
          </w:pPr>
          <w:r>
            <w:rPr>
              <w:rFonts w:hint="eastAsia"/>
              <w:color w:val="000000" w:themeColor="text1"/>
            </w:rPr>
            <w:t>根据欧睿国际数据，近年来全球湿巾行业市场规模总体保持稳健增长，</w:t>
          </w:r>
          <w:r>
            <w:rPr>
              <w:color w:val="000000" w:themeColor="text1"/>
            </w:rPr>
            <w:t>2023年全球湿巾行业市场规模</w:t>
          </w:r>
          <w:r>
            <w:rPr>
              <w:rFonts w:hint="eastAsia"/>
              <w:color w:val="000000" w:themeColor="text1"/>
            </w:rPr>
            <w:t>为</w:t>
          </w:r>
          <w:r>
            <w:rPr>
              <w:color w:val="000000" w:themeColor="text1"/>
            </w:rPr>
            <w:t>178亿美元</w:t>
          </w:r>
          <w:r>
            <w:rPr>
              <w:rFonts w:hint="eastAsia"/>
              <w:color w:val="000000" w:themeColor="text1"/>
            </w:rPr>
            <w:t>，预计</w:t>
          </w:r>
          <w:r>
            <w:rPr>
              <w:color w:val="000000" w:themeColor="text1"/>
            </w:rPr>
            <w:t>2028年</w:t>
          </w:r>
          <w:r>
            <w:rPr>
              <w:rFonts w:hint="eastAsia"/>
              <w:color w:val="000000" w:themeColor="text1"/>
            </w:rPr>
            <w:t>全球湿巾行业市场规模</w:t>
          </w:r>
          <w:r>
            <w:rPr>
              <w:color w:val="000000" w:themeColor="text1"/>
            </w:rPr>
            <w:t>将达到226亿美元</w:t>
          </w:r>
          <w:r>
            <w:rPr>
              <w:rFonts w:hint="eastAsia"/>
              <w:color w:val="000000" w:themeColor="text1"/>
            </w:rPr>
            <w:t>。全球湿巾消费市场呈现出显著的区域性、差别化发展机遇，其中北美、西欧市场是全球湿巾消费的主力市场，这一格局在短期内不会发生根本性改变，亚太地区随着中国湿巾市场的逐步增长，未来也将继续保持增长趋势。</w:t>
          </w:r>
        </w:p>
        <w:p w:rsidR="000C5659" w:rsidRDefault="000E33C4">
          <w:pPr>
            <w:ind w:firstLineChars="200" w:firstLine="420"/>
            <w:jc w:val="both"/>
            <w:rPr>
              <w:color w:val="000000" w:themeColor="text1"/>
            </w:rPr>
          </w:pPr>
          <w:r>
            <w:rPr>
              <w:rFonts w:hint="eastAsia"/>
              <w:color w:val="000000" w:themeColor="text1"/>
            </w:rPr>
            <w:t>随着人们生活质量提高、卫生习惯养成以及社会卫生防护意识加强，我国湿巾行业发展向好。根据欧睿国际数据，我国湿巾行业市场规模总体保持增长趋势，由</w:t>
          </w:r>
          <w:r>
            <w:rPr>
              <w:color w:val="000000" w:themeColor="text1"/>
            </w:rPr>
            <w:t>2017年67.44亿元</w:t>
          </w:r>
          <w:r>
            <w:rPr>
              <w:rFonts w:hint="eastAsia"/>
              <w:color w:val="000000" w:themeColor="text1"/>
            </w:rPr>
            <w:t>总体增</w:t>
          </w:r>
          <w:r>
            <w:rPr>
              <w:color w:val="000000" w:themeColor="text1"/>
            </w:rPr>
            <w:t>至2023年116亿元，年均复合增长率为9.46%</w:t>
          </w:r>
          <w:r>
            <w:rPr>
              <w:rFonts w:hint="eastAsia"/>
              <w:color w:val="000000" w:themeColor="text1"/>
            </w:rPr>
            <w:t>，预计2</w:t>
          </w:r>
          <w:r>
            <w:rPr>
              <w:color w:val="000000" w:themeColor="text1"/>
            </w:rPr>
            <w:t>028</w:t>
          </w:r>
          <w:r>
            <w:rPr>
              <w:rFonts w:hint="eastAsia"/>
              <w:color w:val="000000" w:themeColor="text1"/>
            </w:rPr>
            <w:t>年将达到1</w:t>
          </w:r>
          <w:r>
            <w:rPr>
              <w:color w:val="000000" w:themeColor="text1"/>
            </w:rPr>
            <w:t>46</w:t>
          </w:r>
          <w:r>
            <w:rPr>
              <w:rFonts w:hint="eastAsia"/>
              <w:color w:val="000000" w:themeColor="text1"/>
            </w:rPr>
            <w:t>亿元。</w:t>
          </w:r>
        </w:p>
        <w:p w:rsidR="000C5659" w:rsidRDefault="000E33C4">
          <w:pPr>
            <w:ind w:firstLineChars="200" w:firstLine="420"/>
            <w:jc w:val="both"/>
            <w:rPr>
              <w:color w:val="000000" w:themeColor="text1"/>
            </w:rPr>
          </w:pPr>
          <w:r>
            <w:rPr>
              <w:rFonts w:hint="eastAsia"/>
              <w:color w:val="000000" w:themeColor="text1"/>
            </w:rPr>
            <w:t>就国内湿巾细分品类而言，</w:t>
          </w:r>
          <w:r>
            <w:rPr>
              <w:color w:val="000000" w:themeColor="text1"/>
            </w:rPr>
            <w:t>婴儿湿巾是市场份额最大的品类</w:t>
          </w:r>
          <w:r>
            <w:rPr>
              <w:rFonts w:hint="eastAsia"/>
              <w:color w:val="000000" w:themeColor="text1"/>
            </w:rPr>
            <w:t>，</w:t>
          </w:r>
          <w:r>
            <w:rPr>
              <w:color w:val="000000" w:themeColor="text1"/>
            </w:rPr>
            <w:t>后疫情时代，随着新一代父母育儿观念改变，卫生意识不断提高，婴儿湿巾的</w:t>
          </w:r>
          <w:r>
            <w:rPr>
              <w:rFonts w:hint="eastAsia"/>
              <w:color w:val="000000" w:themeColor="text1"/>
            </w:rPr>
            <w:t>安全温和</w:t>
          </w:r>
          <w:r>
            <w:rPr>
              <w:color w:val="000000" w:themeColor="text1"/>
            </w:rPr>
            <w:t>配方、柔软触感以及便利性等因素将逐步提高婴儿湿巾的渗透</w:t>
          </w:r>
          <w:r>
            <w:rPr>
              <w:rFonts w:hint="eastAsia"/>
              <w:color w:val="000000" w:themeColor="text1"/>
            </w:rPr>
            <w:t>率；近几年，受益于消费者卫生意识提升，以及社交媒体、电商平台加大对湿厕纸的宣传力度，湿厕纸品类快速发展，</w:t>
          </w:r>
          <w:r>
            <w:rPr>
              <w:color w:val="000000" w:themeColor="text1"/>
            </w:rPr>
            <w:t>目前湿厕纸主要在网上销售，线下渠道增长空间较大，随着消费者收入水平提升，湿厕纸凭借其柔软触感及可冲洗功能，市场渗透率有望持续加深</w:t>
          </w:r>
          <w:r>
            <w:rPr>
              <w:rFonts w:hint="eastAsia"/>
              <w:color w:val="000000" w:themeColor="text1"/>
            </w:rPr>
            <w:t>。</w:t>
          </w:r>
        </w:p>
        <w:p w:rsidR="000C5659" w:rsidRDefault="000E33C4">
          <w:pPr>
            <w:ind w:firstLineChars="200" w:firstLine="420"/>
            <w:rPr>
              <w:color w:val="000000" w:themeColor="text1"/>
            </w:rPr>
          </w:pPr>
          <w:r>
            <w:rPr>
              <w:color w:val="000000" w:themeColor="text1"/>
            </w:rPr>
            <w:t>3.</w:t>
          </w:r>
          <w:r>
            <w:rPr>
              <w:rFonts w:hint="eastAsia"/>
              <w:color w:val="000000" w:themeColor="text1"/>
            </w:rPr>
            <w:t>益生菌行业</w:t>
          </w:r>
        </w:p>
        <w:p w:rsidR="000C5659" w:rsidRDefault="000E33C4">
          <w:pPr>
            <w:ind w:firstLineChars="200" w:firstLine="420"/>
            <w:rPr>
              <w:color w:val="000000" w:themeColor="text1"/>
            </w:rPr>
          </w:pPr>
          <w:r>
            <w:rPr>
              <w:color w:val="000000" w:themeColor="text1"/>
            </w:rPr>
            <w:t>2001</w:t>
          </w:r>
          <w:r>
            <w:rPr>
              <w:rFonts w:hint="eastAsia"/>
              <w:color w:val="000000" w:themeColor="text1"/>
            </w:rPr>
            <w:t>年，联合国粮食及农业组织（F</w:t>
          </w:r>
          <w:r>
            <w:rPr>
              <w:color w:val="000000" w:themeColor="text1"/>
            </w:rPr>
            <w:t>AO</w:t>
          </w:r>
          <w:r>
            <w:rPr>
              <w:rFonts w:hint="eastAsia"/>
              <w:color w:val="000000" w:themeColor="text1"/>
            </w:rPr>
            <w:t>）和世界卫生组织（W</w:t>
          </w:r>
          <w:r>
            <w:rPr>
              <w:color w:val="000000" w:themeColor="text1"/>
            </w:rPr>
            <w:t>HO</w:t>
          </w:r>
          <w:r>
            <w:rPr>
              <w:rFonts w:hint="eastAsia"/>
              <w:color w:val="000000" w:themeColor="text1"/>
            </w:rPr>
            <w:t>）将益生菌定义为摄入量足够时对机体产生有益作用的活性微生物。益生菌在进入肠道后，会与肠道中原有菌群发生栖生、共生、偏生、竞争和吞噬等复杂的关系，最终起到促进机体健康的作用。2</w:t>
          </w:r>
          <w:r>
            <w:rPr>
              <w:color w:val="000000" w:themeColor="text1"/>
            </w:rPr>
            <w:t>010</w:t>
          </w:r>
          <w:r>
            <w:rPr>
              <w:rFonts w:hint="eastAsia"/>
              <w:color w:val="000000" w:themeColor="text1"/>
            </w:rPr>
            <w:t>年4月，我国发布的《可用于食品的菌种名单》将双歧杆菌、乳杆菌和链球菌三个菌属中的部分菌种（包括青春双歧杆菌、乳双歧杆菌、干酪乳杆菌、植物乳杆菌等益生菌菌种）纳入了可用于食品的菌种范围，益生菌的食用在我国正式起步。随着我国消费者健康意识的提升，益生菌行业备受关注，针对肠道健康、免疫力调节、体重管理等不同功效的益生菌食品层出不穷。</w:t>
          </w:r>
        </w:p>
        <w:p w:rsidR="000C5659" w:rsidRDefault="000E33C4">
          <w:pPr>
            <w:ind w:firstLineChars="200" w:firstLine="420"/>
            <w:rPr>
              <w:color w:val="000000" w:themeColor="text1"/>
            </w:rPr>
          </w:pPr>
          <w:r>
            <w:rPr>
              <w:rFonts w:hint="eastAsia"/>
              <w:color w:val="000000" w:themeColor="text1"/>
            </w:rPr>
            <w:lastRenderedPageBreak/>
            <w:t>智研瞻统计数据显示，</w:t>
          </w:r>
          <w:r>
            <w:rPr>
              <w:color w:val="000000" w:themeColor="text1"/>
            </w:rPr>
            <w:t>2019年</w:t>
          </w:r>
          <w:r>
            <w:rPr>
              <w:rFonts w:hint="eastAsia"/>
              <w:color w:val="000000" w:themeColor="text1"/>
            </w:rPr>
            <w:t>我</w:t>
          </w:r>
          <w:r>
            <w:rPr>
              <w:color w:val="000000" w:themeColor="text1"/>
            </w:rPr>
            <w:t>国益生菌行业市场</w:t>
          </w:r>
          <w:r>
            <w:rPr>
              <w:rFonts w:hint="eastAsia"/>
              <w:color w:val="000000" w:themeColor="text1"/>
            </w:rPr>
            <w:t>规模为</w:t>
          </w:r>
          <w:r>
            <w:rPr>
              <w:color w:val="000000" w:themeColor="text1"/>
            </w:rPr>
            <w:t>760.75亿元，2023年</w:t>
          </w:r>
          <w:r>
            <w:rPr>
              <w:rFonts w:hint="eastAsia"/>
              <w:color w:val="000000" w:themeColor="text1"/>
            </w:rPr>
            <w:t>我</w:t>
          </w:r>
          <w:r>
            <w:rPr>
              <w:color w:val="000000" w:themeColor="text1"/>
            </w:rPr>
            <w:t>国益生菌行业市场规模</w:t>
          </w:r>
          <w:r>
            <w:rPr>
              <w:rFonts w:hint="eastAsia"/>
              <w:color w:val="000000" w:themeColor="text1"/>
            </w:rPr>
            <w:t>为</w:t>
          </w:r>
          <w:r>
            <w:rPr>
              <w:color w:val="000000" w:themeColor="text1"/>
            </w:rPr>
            <w:t>1188.47亿元</w:t>
          </w:r>
          <w:r>
            <w:rPr>
              <w:rFonts w:hint="eastAsia"/>
              <w:color w:val="000000" w:themeColor="text1"/>
            </w:rPr>
            <w:t>，年均复合增长率为1</w:t>
          </w:r>
          <w:r>
            <w:rPr>
              <w:color w:val="000000" w:themeColor="text1"/>
            </w:rPr>
            <w:t>1.80%</w:t>
          </w:r>
          <w:r>
            <w:rPr>
              <w:rFonts w:hint="eastAsia"/>
              <w:color w:val="000000" w:themeColor="text1"/>
            </w:rPr>
            <w:t>，并且预测</w:t>
          </w:r>
          <w:r>
            <w:rPr>
              <w:color w:val="000000" w:themeColor="text1"/>
            </w:rPr>
            <w:t>2024-2030年</w:t>
          </w:r>
          <w:r>
            <w:rPr>
              <w:rFonts w:hint="eastAsia"/>
              <w:color w:val="000000" w:themeColor="text1"/>
            </w:rPr>
            <w:t>我</w:t>
          </w:r>
          <w:r>
            <w:rPr>
              <w:color w:val="000000" w:themeColor="text1"/>
            </w:rPr>
            <w:t>国益生菌行业市场规模平稳上升</w:t>
          </w:r>
          <w:r>
            <w:rPr>
              <w:rFonts w:hint="eastAsia"/>
              <w:color w:val="000000" w:themeColor="text1"/>
            </w:rPr>
            <w:t>，至2</w:t>
          </w:r>
          <w:r>
            <w:rPr>
              <w:color w:val="000000" w:themeColor="text1"/>
            </w:rPr>
            <w:t>030</w:t>
          </w:r>
          <w:r>
            <w:rPr>
              <w:rFonts w:hint="eastAsia"/>
              <w:color w:val="000000" w:themeColor="text1"/>
            </w:rPr>
            <w:t>年达到2</w:t>
          </w:r>
          <w:r>
            <w:rPr>
              <w:color w:val="000000" w:themeColor="text1"/>
            </w:rPr>
            <w:t>032.77</w:t>
          </w:r>
          <w:r>
            <w:rPr>
              <w:rFonts w:hint="eastAsia"/>
              <w:color w:val="000000" w:themeColor="text1"/>
            </w:rPr>
            <w:t>亿元。</w:t>
          </w:r>
        </w:p>
        <w:p w:rsidR="000C5659" w:rsidRDefault="000E33C4">
          <w:pPr>
            <w:jc w:val="center"/>
            <w:rPr>
              <w:color w:val="000000" w:themeColor="text1"/>
            </w:rPr>
          </w:pPr>
          <w:r>
            <w:rPr>
              <w:noProof/>
              <w:color w:val="000000" w:themeColor="text1"/>
            </w:rPr>
            <w:drawing>
              <wp:inline distT="0" distB="0" distL="0" distR="0" wp14:anchorId="7D75C488" wp14:editId="2A018B92">
                <wp:extent cx="3346450" cy="20116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59125" cy="2019197"/>
                        </a:xfrm>
                        <a:prstGeom prst="rect">
                          <a:avLst/>
                        </a:prstGeom>
                        <a:noFill/>
                      </pic:spPr>
                    </pic:pic>
                  </a:graphicData>
                </a:graphic>
              </wp:inline>
            </w:drawing>
          </w:r>
        </w:p>
        <w:p w:rsidR="000C5659" w:rsidRDefault="000E33C4">
          <w:pPr>
            <w:ind w:firstLineChars="200" w:firstLine="420"/>
            <w:rPr>
              <w:color w:val="000000" w:themeColor="text1"/>
            </w:rPr>
          </w:pPr>
          <w:r>
            <w:rPr>
              <w:rFonts w:hint="eastAsia"/>
              <w:color w:val="000000" w:themeColor="text1"/>
            </w:rPr>
            <w:t>目前我国市场上无论是添加益生菌的乳制品和饮料，还是冲剂、固体饮料等益生菌终端消费品大多数都使用了丹尼斯克、科汉森等跨国公司的菌种。然而，不同于西方的肠道微生物结构，中国人群肠道微生物是以考拉杆菌属为优势菌群的群落结构，且受遗传和饮食习惯影响。因此，引进的国外菌株并不一定适合中国人，中国人的肠道环境也不一定宜于国外引进菌株的定殖和功效发挥。此外，现代中国人抗生素使用较为频繁，饮食习惯也日益多样化，中国人的肠道也更为需要生命力强、能够防止坏菌滋生并有多项调节肠胃功能的益生菌菌种。随着我国科研院校和行业内企业对益生菌研究的不断深入，分离自中国人肠道菌群以及中国传统发酵食品中的益生菌将凭借着更为适合中国人肠道菌群特点这一优势逐渐取代进口益生菌菌种。</w:t>
          </w:r>
        </w:p>
        <w:p w:rsidR="000C5659" w:rsidRDefault="000E33C4">
          <w:pPr>
            <w:rPr>
              <w:color w:val="000000" w:themeColor="text1"/>
            </w:rPr>
          </w:pPr>
          <w:r>
            <w:rPr>
              <w:rFonts w:hint="eastAsia"/>
              <w:color w:val="000000" w:themeColor="text1"/>
            </w:rPr>
            <w:t>（二）公司从事的主要业务</w:t>
          </w:r>
        </w:p>
        <w:p w:rsidR="000C5659" w:rsidRDefault="000E33C4">
          <w:pPr>
            <w:ind w:firstLineChars="200" w:firstLine="420"/>
            <w:rPr>
              <w:color w:val="000000" w:themeColor="text1"/>
            </w:rPr>
          </w:pPr>
          <w:r>
            <w:rPr>
              <w:color w:val="000000" w:themeColor="text1"/>
            </w:rPr>
            <w:t>1</w:t>
          </w:r>
          <w:r>
            <w:rPr>
              <w:rFonts w:hint="eastAsia"/>
              <w:color w:val="000000" w:themeColor="text1"/>
            </w:rPr>
            <w:t>.</w:t>
          </w:r>
          <w:r>
            <w:rPr>
              <w:color w:val="000000" w:themeColor="text1"/>
            </w:rPr>
            <w:t>公司主要从事口腔清洁护理用品</w:t>
          </w:r>
          <w:r>
            <w:rPr>
              <w:rFonts w:hint="eastAsia"/>
              <w:color w:val="000000" w:themeColor="text1"/>
            </w:rPr>
            <w:t>、</w:t>
          </w:r>
          <w:r>
            <w:rPr>
              <w:color w:val="000000" w:themeColor="text1"/>
            </w:rPr>
            <w:t>一次性卫生用品</w:t>
          </w:r>
          <w:r>
            <w:rPr>
              <w:rFonts w:hint="eastAsia"/>
              <w:color w:val="000000" w:themeColor="text1"/>
            </w:rPr>
            <w:t>以及益生菌制品</w:t>
          </w:r>
          <w:r>
            <w:rPr>
              <w:color w:val="000000" w:themeColor="text1"/>
            </w:rPr>
            <w:t>的研发、生产和销售，其中口腔清洁护理用品主要包括牙刷、</w:t>
          </w:r>
          <w:r>
            <w:rPr>
              <w:rFonts w:hint="eastAsia"/>
              <w:color w:val="000000" w:themeColor="text1"/>
            </w:rPr>
            <w:t>牙膏、</w:t>
          </w:r>
          <w:r>
            <w:rPr>
              <w:color w:val="000000" w:themeColor="text1"/>
            </w:rPr>
            <w:t>牙线</w:t>
          </w:r>
          <w:r>
            <w:rPr>
              <w:rFonts w:hint="eastAsia"/>
              <w:color w:val="000000" w:themeColor="text1"/>
            </w:rPr>
            <w:t>签</w:t>
          </w:r>
          <w:r>
            <w:rPr>
              <w:color w:val="000000" w:themeColor="text1"/>
            </w:rPr>
            <w:t>、齿间刷等产品，一次性卫生用品主要包括湿巾等产品</w:t>
          </w:r>
          <w:r>
            <w:rPr>
              <w:rFonts w:hint="eastAsia"/>
              <w:color w:val="000000" w:themeColor="text1"/>
            </w:rPr>
            <w:t>，益生菌制品主要包括益生菌原料菌粉和益生菌终端消费品。</w:t>
          </w:r>
        </w:p>
        <w:p w:rsidR="000C5659" w:rsidRDefault="000E33C4">
          <w:pPr>
            <w:ind w:firstLineChars="200" w:firstLine="420"/>
            <w:rPr>
              <w:color w:val="000000" w:themeColor="text1"/>
            </w:rPr>
          </w:pPr>
          <w:r>
            <w:rPr>
              <w:rFonts w:hint="eastAsia"/>
              <w:color w:val="000000" w:themeColor="text1"/>
            </w:rPr>
            <w:t>2</w:t>
          </w:r>
          <w:r>
            <w:rPr>
              <w:color w:val="000000" w:themeColor="text1"/>
            </w:rPr>
            <w:t>.</w:t>
          </w:r>
          <w:r>
            <w:rPr>
              <w:rFonts w:hint="eastAsia"/>
              <w:color w:val="000000" w:themeColor="text1"/>
            </w:rPr>
            <w:t>公司产品：</w:t>
          </w:r>
        </w:p>
        <w:p w:rsidR="000C5659" w:rsidRDefault="000E33C4">
          <w:pPr>
            <w:ind w:firstLineChars="200" w:firstLine="420"/>
            <w:rPr>
              <w:color w:val="000000" w:themeColor="text1"/>
            </w:rPr>
          </w:pPr>
          <w:r>
            <w:rPr>
              <w:rFonts w:hint="eastAsia"/>
              <w:color w:val="000000" w:themeColor="text1"/>
            </w:rPr>
            <w:t>（1）口腔清洁护理产品</w:t>
          </w:r>
        </w:p>
        <w:tbl>
          <w:tblPr>
            <w:tblStyle w:val="g1"/>
            <w:tblW w:w="8948" w:type="dxa"/>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5528"/>
            <w:gridCol w:w="2295"/>
          </w:tblGrid>
          <w:tr w:rsidR="000C5659">
            <w:trPr>
              <w:trHeight w:val="340"/>
              <w:jc w:val="center"/>
            </w:trPr>
            <w:tc>
              <w:tcPr>
                <w:tcW w:w="1125" w:type="dxa"/>
                <w:shd w:val="clear" w:color="auto" w:fill="auto"/>
                <w:vAlign w:val="center"/>
              </w:tcPr>
              <w:p w:rsidR="000C5659" w:rsidRDefault="000E33C4">
                <w:pPr>
                  <w:jc w:val="center"/>
                  <w:rPr>
                    <w:b/>
                    <w:color w:val="000000" w:themeColor="text1"/>
                  </w:rPr>
                </w:pPr>
                <w:r>
                  <w:rPr>
                    <w:b/>
                    <w:color w:val="000000" w:themeColor="text1"/>
                  </w:rPr>
                  <w:t>产品系列</w:t>
                </w:r>
              </w:p>
            </w:tc>
            <w:tc>
              <w:tcPr>
                <w:tcW w:w="5528" w:type="dxa"/>
                <w:shd w:val="clear" w:color="auto" w:fill="auto"/>
                <w:vAlign w:val="center"/>
              </w:tcPr>
              <w:p w:rsidR="000C5659" w:rsidRDefault="000E33C4">
                <w:pPr>
                  <w:jc w:val="center"/>
                  <w:rPr>
                    <w:b/>
                    <w:color w:val="000000" w:themeColor="text1"/>
                  </w:rPr>
                </w:pPr>
                <w:r>
                  <w:rPr>
                    <w:b/>
                    <w:color w:val="000000" w:themeColor="text1"/>
                  </w:rPr>
                  <w:t>主要特点</w:t>
                </w:r>
              </w:p>
            </w:tc>
            <w:tc>
              <w:tcPr>
                <w:tcW w:w="2295" w:type="dxa"/>
                <w:shd w:val="clear" w:color="auto" w:fill="auto"/>
                <w:vAlign w:val="center"/>
              </w:tcPr>
              <w:p w:rsidR="000C5659" w:rsidRDefault="000E33C4">
                <w:pPr>
                  <w:jc w:val="center"/>
                  <w:rPr>
                    <w:b/>
                    <w:color w:val="000000" w:themeColor="text1"/>
                  </w:rPr>
                </w:pPr>
                <w:r>
                  <w:rPr>
                    <w:b/>
                    <w:color w:val="000000" w:themeColor="text1"/>
                  </w:rPr>
                  <w:t>图例</w:t>
                </w:r>
              </w:p>
            </w:tc>
          </w:tr>
          <w:tr w:rsidR="000C5659">
            <w:trPr>
              <w:trHeight w:val="2267"/>
              <w:jc w:val="center"/>
            </w:trPr>
            <w:tc>
              <w:tcPr>
                <w:tcW w:w="1125" w:type="dxa"/>
                <w:shd w:val="clear" w:color="auto" w:fill="auto"/>
                <w:vAlign w:val="center"/>
              </w:tcPr>
              <w:p w:rsidR="000C5659" w:rsidRDefault="000E33C4">
                <w:pPr>
                  <w:jc w:val="center"/>
                  <w:rPr>
                    <w:b/>
                    <w:color w:val="000000" w:themeColor="text1"/>
                  </w:rPr>
                </w:pPr>
                <w:r>
                  <w:rPr>
                    <w:rFonts w:hint="eastAsia"/>
                    <w:color w:val="000000" w:themeColor="text1"/>
                  </w:rPr>
                  <w:t>牙刷</w:t>
                </w:r>
              </w:p>
            </w:tc>
            <w:tc>
              <w:tcPr>
                <w:tcW w:w="5528" w:type="dxa"/>
                <w:shd w:val="clear" w:color="auto" w:fill="auto"/>
                <w:vAlign w:val="center"/>
              </w:tcPr>
              <w:p w:rsidR="000C5659" w:rsidRDefault="000E33C4">
                <w:pPr>
                  <w:jc w:val="both"/>
                  <w:rPr>
                    <w:color w:val="000000" w:themeColor="text1"/>
                  </w:rPr>
                </w:pPr>
                <w:r>
                  <w:rPr>
                    <w:rFonts w:hint="eastAsia"/>
                    <w:color w:val="000000" w:themeColor="text1"/>
                  </w:rPr>
                  <w:t>按产品类别分，包括备长炭刷丝牙刷、银离子刷丝牙刷、纳米抗菌刷毛牙刷等；按使用人群分，包括婴幼儿牙刷、男士牙刷、女士牙刷等。各类产品具有不同特点。如备长炭刷丝牙刷，采用含备长炭因子刷丝，有助于清除口腔异味，保持口腔清新；银离子刷丝牙刷，采用含银离子抗菌成分刷丝，有效抑制细菌滋生，尖端纤细柔软，呵护牙龈健康。</w:t>
                </w:r>
              </w:p>
            </w:tc>
            <w:tc>
              <w:tcPr>
                <w:tcW w:w="2295" w:type="dxa"/>
                <w:shd w:val="clear" w:color="auto" w:fill="auto"/>
                <w:vAlign w:val="center"/>
              </w:tcPr>
              <w:p w:rsidR="000C5659" w:rsidRDefault="000E33C4">
                <w:pPr>
                  <w:ind w:firstLineChars="200" w:firstLine="420"/>
                  <w:rPr>
                    <w:b/>
                    <w:color w:val="000000" w:themeColor="text1"/>
                  </w:rPr>
                </w:pPr>
                <w:r>
                  <w:rPr>
                    <w:noProof/>
                    <w:color w:val="000000" w:themeColor="text1"/>
                  </w:rPr>
                  <w:drawing>
                    <wp:inline distT="0" distB="0" distL="0" distR="0" wp14:anchorId="185424C0" wp14:editId="6F12A2E1">
                      <wp:extent cx="399415" cy="1409700"/>
                      <wp:effectExtent l="0" t="0" r="635" b="0"/>
                      <wp:docPr id="9" name="图片 9" descr="C:\Users\dell\AppData\Local\Temp\企业微信截图_17100729882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AppData\Local\Temp\企业微信截图_1710072988268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8578" cy="1441274"/>
                              </a:xfrm>
                              <a:prstGeom prst="rect">
                                <a:avLst/>
                              </a:prstGeom>
                              <a:noFill/>
                              <a:ln>
                                <a:noFill/>
                              </a:ln>
                            </pic:spPr>
                          </pic:pic>
                        </a:graphicData>
                      </a:graphic>
                    </wp:inline>
                  </w:drawing>
                </w:r>
                <w:r>
                  <w:rPr>
                    <w:color w:val="000000" w:themeColor="text1"/>
                  </w:rPr>
                  <w:t xml:space="preserve"> </w:t>
                </w:r>
                <w:r>
                  <w:rPr>
                    <w:noProof/>
                    <w:color w:val="000000" w:themeColor="text1"/>
                  </w:rPr>
                  <w:drawing>
                    <wp:inline distT="0" distB="0" distL="0" distR="0" wp14:anchorId="38FF765E" wp14:editId="3B6CCBE4">
                      <wp:extent cx="406400" cy="1379220"/>
                      <wp:effectExtent l="0" t="0" r="0" b="0"/>
                      <wp:docPr id="10" name="图片 10" descr="C:\Users\dell\AppData\Local\Temp\企业微信截图_17100730726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AppData\Local\Temp\企业微信截图_171007307266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1504" cy="1396543"/>
                              </a:xfrm>
                              <a:prstGeom prst="rect">
                                <a:avLst/>
                              </a:prstGeom>
                              <a:noFill/>
                              <a:ln>
                                <a:noFill/>
                              </a:ln>
                            </pic:spPr>
                          </pic:pic>
                        </a:graphicData>
                      </a:graphic>
                    </wp:inline>
                  </w:drawing>
                </w:r>
              </w:p>
            </w:tc>
          </w:tr>
          <w:tr w:rsidR="000C5659">
            <w:trPr>
              <w:trHeight w:val="1548"/>
              <w:jc w:val="center"/>
            </w:trPr>
            <w:tc>
              <w:tcPr>
                <w:tcW w:w="1125" w:type="dxa"/>
                <w:shd w:val="clear" w:color="auto" w:fill="auto"/>
                <w:vAlign w:val="center"/>
              </w:tcPr>
              <w:p w:rsidR="000C5659" w:rsidRDefault="000E33C4">
                <w:pPr>
                  <w:jc w:val="center"/>
                  <w:rPr>
                    <w:color w:val="000000" w:themeColor="text1"/>
                  </w:rPr>
                </w:pPr>
                <w:r>
                  <w:rPr>
                    <w:rFonts w:hint="eastAsia"/>
                    <w:color w:val="000000" w:themeColor="text1"/>
                  </w:rPr>
                  <w:t>电动牙刷</w:t>
                </w:r>
              </w:p>
            </w:tc>
            <w:tc>
              <w:tcPr>
                <w:tcW w:w="5528" w:type="dxa"/>
                <w:shd w:val="clear" w:color="auto" w:fill="auto"/>
                <w:vAlign w:val="center"/>
              </w:tcPr>
              <w:p w:rsidR="000C5659" w:rsidRDefault="000E33C4">
                <w:pPr>
                  <w:jc w:val="both"/>
                  <w:rPr>
                    <w:color w:val="000000" w:themeColor="text1"/>
                  </w:rPr>
                </w:pPr>
                <w:r>
                  <w:rPr>
                    <w:color w:val="000000" w:themeColor="text1"/>
                  </w:rPr>
                  <w:t>1）3档清洁模式：清洁、轻柔、亮白；2）震频最高可达35000次/分钟（磁悬浮电机）；3）30秒智能换区提醒，2分钟自动关闭；4）IPX7级防水，全身无惧水洗；5）无线感应充电，充电一次，续航30天</w:t>
                </w:r>
                <w:r>
                  <w:rPr>
                    <w:rFonts w:hint="eastAsia"/>
                    <w:color w:val="000000" w:themeColor="text1"/>
                  </w:rPr>
                  <w:t>。</w:t>
                </w:r>
              </w:p>
            </w:tc>
            <w:tc>
              <w:tcPr>
                <w:tcW w:w="2295" w:type="dxa"/>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57D6B834" wp14:editId="63657C94">
                      <wp:extent cx="1144905" cy="7810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1157014" cy="788892"/>
                              </a:xfrm>
                              <a:prstGeom prst="rect">
                                <a:avLst/>
                              </a:prstGeom>
                            </pic:spPr>
                          </pic:pic>
                        </a:graphicData>
                      </a:graphic>
                    </wp:inline>
                  </w:drawing>
                </w:r>
              </w:p>
            </w:tc>
          </w:tr>
          <w:tr w:rsidR="000C5659">
            <w:trPr>
              <w:trHeight w:val="2062"/>
              <w:jc w:val="center"/>
            </w:trPr>
            <w:tc>
              <w:tcPr>
                <w:tcW w:w="1125" w:type="dxa"/>
                <w:shd w:val="clear" w:color="auto" w:fill="auto"/>
                <w:vAlign w:val="center"/>
              </w:tcPr>
              <w:p w:rsidR="000C5659" w:rsidRDefault="000E33C4">
                <w:pPr>
                  <w:jc w:val="center"/>
                  <w:rPr>
                    <w:color w:val="000000" w:themeColor="text1"/>
                  </w:rPr>
                </w:pPr>
                <w:r>
                  <w:rPr>
                    <w:rFonts w:hint="eastAsia"/>
                    <w:color w:val="000000" w:themeColor="text1"/>
                  </w:rPr>
                  <w:lastRenderedPageBreak/>
                  <w:t>牙膏</w:t>
                </w:r>
              </w:p>
            </w:tc>
            <w:tc>
              <w:tcPr>
                <w:tcW w:w="5528" w:type="dxa"/>
                <w:shd w:val="clear" w:color="auto" w:fill="auto"/>
                <w:vAlign w:val="center"/>
              </w:tcPr>
              <w:p w:rsidR="000C5659" w:rsidRDefault="000E33C4">
                <w:pPr>
                  <w:jc w:val="both"/>
                  <w:rPr>
                    <w:color w:val="000000" w:themeColor="text1"/>
                  </w:rPr>
                </w:pPr>
                <w:r>
                  <w:rPr>
                    <w:rFonts w:hint="eastAsia"/>
                    <w:color w:val="000000" w:themeColor="text1"/>
                  </w:rPr>
                  <w:t>包括儿童牙膏、成人牙膏等。儿童牙膏可用于乳牙发育期，无氟，安全可吞咽；低泡，不呛小宝宝等；成人牙膏包括益生菌牙膏、小苏打牙膏等。以益生菌+维C牙膏为例，益生菌</w:t>
                </w:r>
                <w:r>
                  <w:rPr>
                    <w:color w:val="000000" w:themeColor="text1"/>
                  </w:rPr>
                  <w:t>+维生素C，女士专用，萃取维C精华，魔力炫白，微米级摩擦剂不伤牙釉质，天然美洲橙香，持久清新口气</w:t>
                </w:r>
                <w:r>
                  <w:rPr>
                    <w:rFonts w:hint="eastAsia"/>
                    <w:color w:val="000000" w:themeColor="text1"/>
                  </w:rPr>
                  <w:t>。</w:t>
                </w:r>
              </w:p>
            </w:tc>
            <w:tc>
              <w:tcPr>
                <w:tcW w:w="2295" w:type="dxa"/>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476923DD" wp14:editId="2791B6EB">
                      <wp:extent cx="399415" cy="1184910"/>
                      <wp:effectExtent l="0" t="0" r="635" b="0"/>
                      <wp:docPr id="11" name="图片 11" descr="C:\Users\dell\AppData\Local\Temp\企业微信截图_17100734563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ell\AppData\Local\Temp\企业微信截图_1710073456313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6257" cy="1204567"/>
                              </a:xfrm>
                              <a:prstGeom prst="rect">
                                <a:avLst/>
                              </a:prstGeom>
                              <a:noFill/>
                              <a:ln>
                                <a:noFill/>
                              </a:ln>
                            </pic:spPr>
                          </pic:pic>
                        </a:graphicData>
                      </a:graphic>
                    </wp:inline>
                  </w:drawing>
                </w:r>
              </w:p>
            </w:tc>
          </w:tr>
          <w:tr w:rsidR="000C5659">
            <w:trPr>
              <w:trHeight w:val="2395"/>
              <w:jc w:val="center"/>
            </w:trPr>
            <w:tc>
              <w:tcPr>
                <w:tcW w:w="1125" w:type="dxa"/>
                <w:shd w:val="clear" w:color="auto" w:fill="auto"/>
                <w:vAlign w:val="center"/>
              </w:tcPr>
              <w:p w:rsidR="000C5659" w:rsidRDefault="000E33C4">
                <w:pPr>
                  <w:jc w:val="center"/>
                  <w:rPr>
                    <w:b/>
                    <w:color w:val="000000" w:themeColor="text1"/>
                  </w:rPr>
                </w:pPr>
                <w:r>
                  <w:rPr>
                    <w:color w:val="000000" w:themeColor="text1"/>
                  </w:rPr>
                  <w:t>牙线</w:t>
                </w:r>
                <w:r>
                  <w:rPr>
                    <w:rFonts w:hint="eastAsia"/>
                    <w:color w:val="000000" w:themeColor="text1"/>
                  </w:rPr>
                  <w:t>签</w:t>
                </w:r>
              </w:p>
            </w:tc>
            <w:tc>
              <w:tcPr>
                <w:tcW w:w="5528" w:type="dxa"/>
                <w:shd w:val="clear" w:color="auto" w:fill="auto"/>
                <w:vAlign w:val="center"/>
              </w:tcPr>
              <w:p w:rsidR="000C5659" w:rsidRDefault="000E33C4">
                <w:pPr>
                  <w:jc w:val="both"/>
                  <w:rPr>
                    <w:color w:val="000000" w:themeColor="text1"/>
                  </w:rPr>
                </w:pPr>
                <w:r>
                  <w:rPr>
                    <w:rFonts w:hint="eastAsia"/>
                    <w:color w:val="000000" w:themeColor="text1"/>
                  </w:rPr>
                  <w:t>采用</w:t>
                </w:r>
                <w:r>
                  <w:rPr>
                    <w:color w:val="000000" w:themeColor="text1"/>
                  </w:rPr>
                  <w:t>99.9%抑菌专研配方，添加CPC西吡氯铵，有效减少口腔细菌，提升口腔健康力的同时使用高分子线材，纤细顺滑，不易断裂，不易起丝，经典耐用，可以很轻松的进入牙缝，减少对牙龈的刺激，同时做到细节贴心，柄部采用可接触食品级别的塑料，入口更安心。</w:t>
                </w:r>
              </w:p>
            </w:tc>
            <w:tc>
              <w:tcPr>
                <w:tcW w:w="2295" w:type="dxa"/>
                <w:shd w:val="clear" w:color="auto" w:fill="auto"/>
                <w:vAlign w:val="center"/>
              </w:tcPr>
              <w:p w:rsidR="000C5659" w:rsidRDefault="000E33C4">
                <w:pPr>
                  <w:jc w:val="center"/>
                  <w:rPr>
                    <w:b/>
                    <w:color w:val="000000" w:themeColor="text1"/>
                  </w:rPr>
                </w:pPr>
                <w:r>
                  <w:rPr>
                    <w:noProof/>
                    <w:color w:val="000000" w:themeColor="text1"/>
                  </w:rPr>
                  <w:drawing>
                    <wp:inline distT="0" distB="0" distL="0" distR="0" wp14:anchorId="1C2322D9" wp14:editId="0AFCB1A2">
                      <wp:extent cx="882650" cy="882650"/>
                      <wp:effectExtent l="0" t="0" r="0" b="0"/>
                      <wp:docPr id="4"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
                              <pic:cNvPicPr>
                                <a:picLocks noChangeAspect="1"/>
                              </pic:cNvPicPr>
                            </pic:nvPicPr>
                            <pic:blipFill>
                              <a:blip r:embed="rId22"/>
                              <a:stretch>
                                <a:fillRect/>
                              </a:stretch>
                            </pic:blipFill>
                            <pic:spPr>
                              <a:xfrm>
                                <a:off x="0" y="0"/>
                                <a:ext cx="882650" cy="882650"/>
                              </a:xfrm>
                              <a:prstGeom prst="rect">
                                <a:avLst/>
                              </a:prstGeom>
                            </pic:spPr>
                          </pic:pic>
                        </a:graphicData>
                      </a:graphic>
                    </wp:inline>
                  </w:drawing>
                </w:r>
              </w:p>
            </w:tc>
          </w:tr>
          <w:tr w:rsidR="000C5659">
            <w:trPr>
              <w:trHeight w:val="1748"/>
              <w:jc w:val="center"/>
            </w:trPr>
            <w:tc>
              <w:tcPr>
                <w:tcW w:w="1125" w:type="dxa"/>
                <w:shd w:val="clear" w:color="auto" w:fill="auto"/>
                <w:vAlign w:val="center"/>
              </w:tcPr>
              <w:p w:rsidR="000C5659" w:rsidRDefault="000E33C4">
                <w:pPr>
                  <w:jc w:val="center"/>
                  <w:rPr>
                    <w:color w:val="000000" w:themeColor="text1"/>
                  </w:rPr>
                </w:pPr>
                <w:r>
                  <w:rPr>
                    <w:color w:val="000000" w:themeColor="text1"/>
                  </w:rPr>
                  <w:t>齿间刷</w:t>
                </w:r>
              </w:p>
            </w:tc>
            <w:tc>
              <w:tcPr>
                <w:tcW w:w="5528" w:type="dxa"/>
                <w:shd w:val="clear" w:color="auto" w:fill="auto"/>
                <w:vAlign w:val="center"/>
              </w:tcPr>
              <w:p w:rsidR="000C5659" w:rsidRDefault="000E33C4">
                <w:pPr>
                  <w:jc w:val="both"/>
                  <w:rPr>
                    <w:color w:val="000000" w:themeColor="text1"/>
                  </w:rPr>
                </w:pPr>
                <w:r>
                  <w:rPr>
                    <w:color w:val="000000" w:themeColor="text1"/>
                  </w:rPr>
                  <w:t>采用进口不锈钢丝及杜邦细刷丝，不易断裂，韧性好，可生产不同的通过孔径的产品，系列化的设计和开发，给消费者提供更多的选择</w:t>
                </w:r>
                <w:r>
                  <w:rPr>
                    <w:rFonts w:hint="eastAsia"/>
                    <w:color w:val="000000" w:themeColor="text1"/>
                  </w:rPr>
                  <w:t>；</w:t>
                </w:r>
                <w:r>
                  <w:rPr>
                    <w:color w:val="000000" w:themeColor="text1"/>
                  </w:rPr>
                  <w:t>制造设备为德国进口的自动化高速机，具备生产、在线检测等功能。</w:t>
                </w:r>
              </w:p>
            </w:tc>
            <w:tc>
              <w:tcPr>
                <w:tcW w:w="2295" w:type="dxa"/>
                <w:shd w:val="clear" w:color="auto" w:fill="auto"/>
                <w:vAlign w:val="center"/>
              </w:tcPr>
              <w:p w:rsidR="000C5659" w:rsidRDefault="00B708C8">
                <w:pPr>
                  <w:ind w:firstLineChars="200" w:firstLine="420"/>
                  <w:rPr>
                    <w:color w:val="000000" w:themeColor="text1"/>
                  </w:rPr>
                </w:pPr>
                <w:r>
                  <w:rPr>
                    <w:noProof/>
                    <w:color w:val="000000" w:themeColor="text1"/>
                  </w:rPr>
                  <mc:AlternateContent>
                    <mc:Choice Requires="wpg">
                      <w:drawing>
                        <wp:anchor distT="0" distB="0" distL="114300" distR="114300" simplePos="0" relativeHeight="251660288" behindDoc="0" locked="0" layoutInCell="1" allowOverlap="1">
                          <wp:simplePos x="0" y="0"/>
                          <wp:positionH relativeFrom="column">
                            <wp:posOffset>195580</wp:posOffset>
                          </wp:positionH>
                          <wp:positionV relativeFrom="paragraph">
                            <wp:posOffset>-15875</wp:posOffset>
                          </wp:positionV>
                          <wp:extent cx="978535" cy="652145"/>
                          <wp:effectExtent l="0" t="0" r="0" b="0"/>
                          <wp:wrapNone/>
                          <wp:docPr id="29"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8535" cy="652145"/>
                                    <a:chOff x="0" y="0"/>
                                    <a:chExt cx="1892173" cy="1414893"/>
                                  </a:xfrm>
                                </wpg:grpSpPr>
                                <pic:pic xmlns:pic="http://schemas.openxmlformats.org/drawingml/2006/picture">
                                  <pic:nvPicPr>
                                    <pic:cNvPr id="30" name="图片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255270" y="255270"/>
                                      <a:ext cx="1410335" cy="899795"/>
                                    </a:xfrm>
                                    <a:prstGeom prst="rect">
                                      <a:avLst/>
                                    </a:prstGeom>
                                  </pic:spPr>
                                </pic:pic>
                                <pic:pic xmlns:pic="http://schemas.openxmlformats.org/drawingml/2006/picture">
                                  <pic:nvPicPr>
                                    <pic:cNvPr id="31"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689165" y="211886"/>
                                      <a:ext cx="1400175" cy="10058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04BAEF" id="组合 29" o:spid="_x0000_s1026" style="position:absolute;left:0;text-align:left;margin-left:15.4pt;margin-top:-1.25pt;width:77.05pt;height:51.35pt;z-index:251660288" coordsize="18921,14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style="position:absolute;left:-2553;top:2553;width:14103;height:89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">
                            <v:imagedata r:id="rId25" o:title=""/>
                            <v:path arrowok="t"/>
                          </v:shape>
                          <v:shape id="图片 13" o:spid="_x0000_s1028" type="#_x0000_t75" style="position:absolute;left:6891;top:2119;width:14001;height:100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">
                            <v:imagedata r:id="rId26" o:title=""/>
                            <v:path arrowok="t"/>
                          </v:shape>
                        </v:group>
                      </w:pict>
                    </mc:Fallback>
                  </mc:AlternateContent>
                </w:r>
              </w:p>
            </w:tc>
          </w:tr>
          <w:tr w:rsidR="000C5659">
            <w:trPr>
              <w:trHeight w:val="1975"/>
              <w:jc w:val="center"/>
            </w:trPr>
            <w:tc>
              <w:tcPr>
                <w:tcW w:w="1125" w:type="dxa"/>
                <w:shd w:val="clear" w:color="auto" w:fill="auto"/>
                <w:vAlign w:val="center"/>
              </w:tcPr>
              <w:p w:rsidR="000C5659" w:rsidRDefault="000E33C4">
                <w:pPr>
                  <w:jc w:val="center"/>
                  <w:rPr>
                    <w:b/>
                    <w:color w:val="000000" w:themeColor="text1"/>
                  </w:rPr>
                </w:pPr>
                <w:r>
                  <w:rPr>
                    <w:color w:val="000000" w:themeColor="text1"/>
                  </w:rPr>
                  <w:t>假牙清洁片</w:t>
                </w:r>
              </w:p>
            </w:tc>
            <w:tc>
              <w:tcPr>
                <w:tcW w:w="5528" w:type="dxa"/>
                <w:shd w:val="clear" w:color="auto" w:fill="auto"/>
                <w:vAlign w:val="center"/>
              </w:tcPr>
              <w:p w:rsidR="000C5659" w:rsidRDefault="000E33C4">
                <w:pPr>
                  <w:jc w:val="both"/>
                  <w:rPr>
                    <w:b/>
                    <w:color w:val="000000" w:themeColor="text1"/>
                  </w:rPr>
                </w:pPr>
                <w:r>
                  <w:rPr>
                    <w:color w:val="000000" w:themeColor="text1"/>
                  </w:rPr>
                  <w:t>多用途、适用人群广泛。适用于全部/部分假牙、隐形牙套、牙箍、各种保持器的清洁。快速溶解于温水，5分钟起效，也可以浸泡一整夜。活性氧除菌</w:t>
                </w:r>
                <w:r>
                  <w:rPr>
                    <w:rFonts w:hint="eastAsia"/>
                    <w:color w:val="000000" w:themeColor="text1"/>
                  </w:rPr>
                  <w:t>,</w:t>
                </w:r>
                <w:r>
                  <w:rPr>
                    <w:color w:val="000000" w:themeColor="text1"/>
                  </w:rPr>
                  <w:t>达到99%除菌率。</w:t>
                </w:r>
              </w:p>
            </w:tc>
            <w:tc>
              <w:tcPr>
                <w:tcW w:w="2295" w:type="dxa"/>
                <w:shd w:val="clear" w:color="auto" w:fill="auto"/>
                <w:vAlign w:val="center"/>
              </w:tcPr>
              <w:p w:rsidR="000C5659" w:rsidRDefault="000E33C4">
                <w:pPr>
                  <w:jc w:val="center"/>
                  <w:rPr>
                    <w:b/>
                    <w:color w:val="000000" w:themeColor="text1"/>
                  </w:rPr>
                </w:pPr>
                <w:r>
                  <w:rPr>
                    <w:noProof/>
                    <w:color w:val="000000" w:themeColor="text1"/>
                  </w:rPr>
                  <w:drawing>
                    <wp:inline distT="0" distB="0" distL="0" distR="0" wp14:anchorId="1B373C51" wp14:editId="3111A633">
                      <wp:extent cx="981075" cy="1089660"/>
                      <wp:effectExtent l="0" t="0" r="0"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7" cstate="print">
                                <a:extLst>
                                  <a:ext uri="{28A0092B-C50C-407E-A947-70E740481C1C}">
                                    <a14:useLocalDpi xmlns:a14="http://schemas.microsoft.com/office/drawing/2010/main" val="0"/>
                                  </a:ext>
                                </a:extLst>
                              </a:blip>
                              <a:srcRect l="19844" t="16169" r="10336" b="4946"/>
                              <a:stretch>
                                <a:fillRect/>
                              </a:stretch>
                            </pic:blipFill>
                            <pic:spPr>
                              <a:xfrm>
                                <a:off x="0" y="0"/>
                                <a:ext cx="985940" cy="1095064"/>
                              </a:xfrm>
                              <a:prstGeom prst="rect">
                                <a:avLst/>
                              </a:prstGeom>
                            </pic:spPr>
                          </pic:pic>
                        </a:graphicData>
                      </a:graphic>
                    </wp:inline>
                  </w:drawing>
                </w:r>
              </w:p>
            </w:tc>
          </w:tr>
          <w:tr w:rsidR="000C5659">
            <w:trPr>
              <w:trHeight w:val="2243"/>
              <w:jc w:val="center"/>
            </w:trPr>
            <w:tc>
              <w:tcPr>
                <w:tcW w:w="1125" w:type="dxa"/>
                <w:shd w:val="clear" w:color="auto" w:fill="auto"/>
                <w:vAlign w:val="center"/>
              </w:tcPr>
              <w:p w:rsidR="000C5659" w:rsidRDefault="000E33C4">
                <w:pPr>
                  <w:jc w:val="center"/>
                  <w:rPr>
                    <w:b/>
                    <w:color w:val="000000" w:themeColor="text1"/>
                  </w:rPr>
                </w:pPr>
                <w:r>
                  <w:rPr>
                    <w:color w:val="000000" w:themeColor="text1"/>
                  </w:rPr>
                  <w:t>假牙清洁刷</w:t>
                </w:r>
              </w:p>
            </w:tc>
            <w:tc>
              <w:tcPr>
                <w:tcW w:w="5528" w:type="dxa"/>
                <w:shd w:val="clear" w:color="auto" w:fill="auto"/>
                <w:vAlign w:val="center"/>
              </w:tcPr>
              <w:p w:rsidR="000C5659" w:rsidRDefault="000E33C4">
                <w:pPr>
                  <w:jc w:val="both"/>
                  <w:rPr>
                    <w:color w:val="000000" w:themeColor="text1"/>
                  </w:rPr>
                </w:pPr>
                <w:r>
                  <w:rPr>
                    <w:color w:val="000000" w:themeColor="text1"/>
                  </w:rPr>
                  <w:t>适合多种义齿清洁；大小刷头，有效清洁不同位置；坚固手柄，不易滑落</w:t>
                </w:r>
                <w:r>
                  <w:rPr>
                    <w:rFonts w:hint="eastAsia"/>
                    <w:color w:val="000000" w:themeColor="text1"/>
                  </w:rPr>
                  <w:t>。</w:t>
                </w:r>
              </w:p>
            </w:tc>
            <w:tc>
              <w:tcPr>
                <w:tcW w:w="2295" w:type="dxa"/>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0D21C3E7" wp14:editId="6365326F">
                      <wp:extent cx="1239520" cy="1160145"/>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45740" cy="1165967"/>
                              </a:xfrm>
                              <a:prstGeom prst="rect">
                                <a:avLst/>
                              </a:prstGeom>
                              <a:noFill/>
                            </pic:spPr>
                          </pic:pic>
                        </a:graphicData>
                      </a:graphic>
                    </wp:inline>
                  </w:drawing>
                </w:r>
              </w:p>
            </w:tc>
          </w:tr>
          <w:tr w:rsidR="000C5659">
            <w:trPr>
              <w:trHeight w:val="2391"/>
              <w:jc w:val="center"/>
            </w:trPr>
            <w:tc>
              <w:tcPr>
                <w:tcW w:w="1125" w:type="dxa"/>
                <w:shd w:val="clear" w:color="auto" w:fill="auto"/>
                <w:vAlign w:val="center"/>
              </w:tcPr>
              <w:p w:rsidR="000C5659" w:rsidRDefault="000E33C4">
                <w:pPr>
                  <w:jc w:val="center"/>
                  <w:rPr>
                    <w:b/>
                    <w:color w:val="000000" w:themeColor="text1"/>
                  </w:rPr>
                </w:pPr>
                <w:r>
                  <w:rPr>
                    <w:color w:val="000000" w:themeColor="text1"/>
                  </w:rPr>
                  <w:t>口喷</w:t>
                </w:r>
              </w:p>
            </w:tc>
            <w:tc>
              <w:tcPr>
                <w:tcW w:w="5528" w:type="dxa"/>
                <w:shd w:val="clear" w:color="auto" w:fill="auto"/>
                <w:vAlign w:val="center"/>
              </w:tcPr>
              <w:p w:rsidR="000C5659" w:rsidRDefault="000E33C4">
                <w:pPr>
                  <w:jc w:val="both"/>
                  <w:rPr>
                    <w:color w:val="000000" w:themeColor="text1"/>
                  </w:rPr>
                </w:pPr>
                <w:r>
                  <w:rPr>
                    <w:color w:val="000000" w:themeColor="text1"/>
                  </w:rPr>
                  <w:t>清新口腔、轻松净味，清爽薄荷味及清新柠檬味，满足不同消费者需求，为口腔带来自信活力。</w:t>
                </w:r>
              </w:p>
            </w:tc>
            <w:tc>
              <w:tcPr>
                <w:tcW w:w="2295" w:type="dxa"/>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3C4CAB09" wp14:editId="644A4286">
                      <wp:extent cx="907415" cy="1101090"/>
                      <wp:effectExtent l="0" t="0" r="6985" b="3810"/>
                      <wp:docPr id="13" name="图片 13" descr="C:\Users\dell\AppData\Local\Temp\企业微信截图_17100739808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AppData\Local\Temp\企业微信截图_1710073980899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22516" cy="1119968"/>
                              </a:xfrm>
                              <a:prstGeom prst="rect">
                                <a:avLst/>
                              </a:prstGeom>
                              <a:noFill/>
                              <a:ln>
                                <a:noFill/>
                              </a:ln>
                            </pic:spPr>
                          </pic:pic>
                        </a:graphicData>
                      </a:graphic>
                    </wp:inline>
                  </w:drawing>
                </w:r>
              </w:p>
            </w:tc>
          </w:tr>
          <w:tr w:rsidR="000C5659">
            <w:trPr>
              <w:trHeight w:val="2376"/>
              <w:jc w:val="center"/>
            </w:trPr>
            <w:tc>
              <w:tcPr>
                <w:tcW w:w="1125" w:type="dxa"/>
                <w:shd w:val="clear" w:color="auto" w:fill="auto"/>
                <w:vAlign w:val="center"/>
              </w:tcPr>
              <w:p w:rsidR="000C5659" w:rsidRDefault="000E33C4">
                <w:pPr>
                  <w:jc w:val="center"/>
                  <w:rPr>
                    <w:b/>
                    <w:color w:val="000000" w:themeColor="text1"/>
                  </w:rPr>
                </w:pPr>
                <w:r>
                  <w:rPr>
                    <w:color w:val="000000" w:themeColor="text1"/>
                  </w:rPr>
                  <w:lastRenderedPageBreak/>
                  <w:t>漱口水</w:t>
                </w:r>
              </w:p>
            </w:tc>
            <w:tc>
              <w:tcPr>
                <w:tcW w:w="5528" w:type="dxa"/>
                <w:shd w:val="clear" w:color="auto" w:fill="auto"/>
                <w:vAlign w:val="center"/>
              </w:tcPr>
              <w:p w:rsidR="000C5659" w:rsidRDefault="000E33C4">
                <w:pPr>
                  <w:jc w:val="both"/>
                  <w:rPr>
                    <w:color w:val="000000" w:themeColor="text1"/>
                  </w:rPr>
                </w:pPr>
                <w:r>
                  <w:rPr>
                    <w:color w:val="000000" w:themeColor="text1"/>
                  </w:rPr>
                  <w:t>清爽薄荷、清甜橘子口味，清凉劲爽清新口气，打造健康口腔环境</w:t>
                </w:r>
                <w:r>
                  <w:rPr>
                    <w:rFonts w:hint="eastAsia"/>
                    <w:color w:val="000000" w:themeColor="text1"/>
                  </w:rPr>
                  <w:t>。</w:t>
                </w:r>
              </w:p>
            </w:tc>
            <w:tc>
              <w:tcPr>
                <w:tcW w:w="2295" w:type="dxa"/>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0FE6E8BF" wp14:editId="287BA79A">
                      <wp:extent cx="1225550" cy="1200150"/>
                      <wp:effectExtent l="0" t="0" r="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8919" cy="1203034"/>
                              </a:xfrm>
                              <a:prstGeom prst="rect">
                                <a:avLst/>
                              </a:prstGeom>
                            </pic:spPr>
                          </pic:pic>
                        </a:graphicData>
                      </a:graphic>
                    </wp:inline>
                  </w:drawing>
                </w:r>
              </w:p>
            </w:tc>
          </w:tr>
          <w:tr w:rsidR="000C5659">
            <w:trPr>
              <w:trHeight w:val="340"/>
              <w:jc w:val="center"/>
            </w:trPr>
            <w:tc>
              <w:tcPr>
                <w:tcW w:w="1125" w:type="dxa"/>
                <w:shd w:val="clear" w:color="auto" w:fill="auto"/>
                <w:vAlign w:val="center"/>
              </w:tcPr>
              <w:p w:rsidR="000C5659" w:rsidRDefault="000E33C4">
                <w:pPr>
                  <w:jc w:val="center"/>
                  <w:rPr>
                    <w:color w:val="000000" w:themeColor="text1"/>
                  </w:rPr>
                </w:pPr>
                <w:r>
                  <w:rPr>
                    <w:rFonts w:hint="eastAsia"/>
                    <w:color w:val="000000" w:themeColor="text1"/>
                  </w:rPr>
                  <w:t>冲牙器</w:t>
                </w:r>
              </w:p>
            </w:tc>
            <w:tc>
              <w:tcPr>
                <w:tcW w:w="5528" w:type="dxa"/>
                <w:shd w:val="clear" w:color="auto" w:fill="auto"/>
                <w:vAlign w:val="center"/>
              </w:tcPr>
              <w:p w:rsidR="000C5659" w:rsidRDefault="000E33C4">
                <w:pPr>
                  <w:jc w:val="both"/>
                  <w:rPr>
                    <w:color w:val="000000" w:themeColor="text1"/>
                  </w:rPr>
                </w:pPr>
                <w:r>
                  <w:rPr>
                    <w:rFonts w:hint="eastAsia"/>
                    <w:color w:val="000000" w:themeColor="text1"/>
                  </w:rPr>
                  <w:t>口腔清洁除牙垢牙缝清洁，高频稳压脉冲等实现智能清洁。</w:t>
                </w:r>
              </w:p>
            </w:tc>
            <w:tc>
              <w:tcPr>
                <w:tcW w:w="2295" w:type="dxa"/>
                <w:shd w:val="clear" w:color="auto" w:fill="auto"/>
                <w:vAlign w:val="center"/>
              </w:tcPr>
              <w:p w:rsidR="000C5659" w:rsidRDefault="000C5659">
                <w:pPr>
                  <w:ind w:firstLineChars="200" w:firstLine="420"/>
                  <w:rPr>
                    <w:color w:val="000000" w:themeColor="text1"/>
                  </w:rPr>
                </w:pPr>
              </w:p>
              <w:p w:rsidR="000C5659" w:rsidRDefault="000E33C4">
                <w:pPr>
                  <w:jc w:val="center"/>
                  <w:rPr>
                    <w:color w:val="000000" w:themeColor="text1"/>
                  </w:rPr>
                </w:pPr>
                <w:r>
                  <w:rPr>
                    <w:noProof/>
                    <w:color w:val="000000" w:themeColor="text1"/>
                  </w:rPr>
                  <w:drawing>
                    <wp:inline distT="0" distB="0" distL="0" distR="0" wp14:anchorId="2AD98BF9" wp14:editId="76DB9ECE">
                      <wp:extent cx="917575" cy="1228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917575" cy="1228725"/>
                              </a:xfrm>
                              <a:prstGeom prst="rect">
                                <a:avLst/>
                              </a:prstGeom>
                            </pic:spPr>
                          </pic:pic>
                        </a:graphicData>
                      </a:graphic>
                    </wp:inline>
                  </w:drawing>
                </w:r>
              </w:p>
              <w:p w:rsidR="000C5659" w:rsidRDefault="000C5659">
                <w:pPr>
                  <w:ind w:firstLineChars="200" w:firstLine="420"/>
                  <w:rPr>
                    <w:color w:val="000000" w:themeColor="text1"/>
                  </w:rPr>
                </w:pPr>
              </w:p>
            </w:tc>
          </w:tr>
        </w:tbl>
        <w:p w:rsidR="000C5659" w:rsidRDefault="000E33C4">
          <w:pPr>
            <w:ind w:firstLineChars="200" w:firstLine="420"/>
            <w:rPr>
              <w:color w:val="000000" w:themeColor="text1"/>
            </w:rPr>
          </w:pPr>
          <w:r>
            <w:rPr>
              <w:rFonts w:hint="eastAsia"/>
              <w:color w:val="000000" w:themeColor="text1"/>
            </w:rPr>
            <w:t>（</w:t>
          </w:r>
          <w:r>
            <w:rPr>
              <w:color w:val="000000" w:themeColor="text1"/>
            </w:rPr>
            <w:t>2</w:t>
          </w:r>
          <w:r>
            <w:rPr>
              <w:rFonts w:hint="eastAsia"/>
              <w:color w:val="000000" w:themeColor="text1"/>
            </w:rPr>
            <w:t>）一次性卫生用品</w:t>
          </w:r>
        </w:p>
        <w:tbl>
          <w:tblPr>
            <w:tblStyle w:val="g1"/>
            <w:tblW w:w="8699" w:type="dxa"/>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98"/>
            <w:gridCol w:w="3507"/>
            <w:gridCol w:w="2706"/>
          </w:tblGrid>
          <w:tr w:rsidR="000C5659">
            <w:trPr>
              <w:trHeight w:val="340"/>
              <w:jc w:val="center"/>
            </w:trPr>
            <w:tc>
              <w:tcPr>
                <w:tcW w:w="568" w:type="pct"/>
                <w:vAlign w:val="center"/>
              </w:tcPr>
              <w:p w:rsidR="000C5659" w:rsidRDefault="000E33C4">
                <w:pPr>
                  <w:jc w:val="center"/>
                  <w:rPr>
                    <w:b/>
                    <w:color w:val="000000" w:themeColor="text1"/>
                  </w:rPr>
                </w:pPr>
                <w:r>
                  <w:rPr>
                    <w:b/>
                    <w:color w:val="000000" w:themeColor="text1"/>
                  </w:rPr>
                  <w:t>分类</w:t>
                </w:r>
              </w:p>
            </w:tc>
            <w:tc>
              <w:tcPr>
                <w:tcW w:w="861" w:type="pct"/>
                <w:shd w:val="clear" w:color="auto" w:fill="auto"/>
                <w:vAlign w:val="center"/>
              </w:tcPr>
              <w:p w:rsidR="000C5659" w:rsidRDefault="000E33C4">
                <w:pPr>
                  <w:jc w:val="center"/>
                  <w:rPr>
                    <w:b/>
                    <w:color w:val="000000" w:themeColor="text1"/>
                  </w:rPr>
                </w:pPr>
                <w:r>
                  <w:rPr>
                    <w:b/>
                    <w:color w:val="000000" w:themeColor="text1"/>
                  </w:rPr>
                  <w:t>产品系列</w:t>
                </w:r>
              </w:p>
            </w:tc>
            <w:tc>
              <w:tcPr>
                <w:tcW w:w="2016" w:type="pct"/>
                <w:shd w:val="clear" w:color="auto" w:fill="auto"/>
                <w:vAlign w:val="center"/>
              </w:tcPr>
              <w:p w:rsidR="000C5659" w:rsidRDefault="000E33C4">
                <w:pPr>
                  <w:jc w:val="center"/>
                  <w:rPr>
                    <w:b/>
                    <w:color w:val="000000" w:themeColor="text1"/>
                  </w:rPr>
                </w:pPr>
                <w:r>
                  <w:rPr>
                    <w:b/>
                    <w:color w:val="000000" w:themeColor="text1"/>
                  </w:rPr>
                  <w:t>主要特点</w:t>
                </w:r>
              </w:p>
            </w:tc>
            <w:tc>
              <w:tcPr>
                <w:tcW w:w="1555" w:type="pct"/>
                <w:shd w:val="clear" w:color="auto" w:fill="auto"/>
                <w:vAlign w:val="center"/>
              </w:tcPr>
              <w:p w:rsidR="000C5659" w:rsidRDefault="000E33C4">
                <w:pPr>
                  <w:jc w:val="center"/>
                  <w:rPr>
                    <w:b/>
                    <w:color w:val="000000" w:themeColor="text1"/>
                  </w:rPr>
                </w:pPr>
                <w:r>
                  <w:rPr>
                    <w:b/>
                    <w:color w:val="000000" w:themeColor="text1"/>
                  </w:rPr>
                  <w:t>图例</w:t>
                </w:r>
              </w:p>
            </w:tc>
          </w:tr>
          <w:tr w:rsidR="000C5659">
            <w:trPr>
              <w:trHeight w:val="1888"/>
              <w:jc w:val="center"/>
            </w:trPr>
            <w:tc>
              <w:tcPr>
                <w:tcW w:w="568" w:type="pct"/>
                <w:vMerge w:val="restart"/>
                <w:vAlign w:val="center"/>
              </w:tcPr>
              <w:p w:rsidR="000C5659" w:rsidRDefault="000E33C4">
                <w:pPr>
                  <w:jc w:val="center"/>
                  <w:rPr>
                    <w:b/>
                    <w:color w:val="000000" w:themeColor="text1"/>
                  </w:rPr>
                </w:pPr>
                <w:r>
                  <w:rPr>
                    <w:b/>
                    <w:color w:val="000000" w:themeColor="text1"/>
                  </w:rPr>
                  <w:t>湿巾</w:t>
                </w:r>
              </w:p>
            </w:tc>
            <w:tc>
              <w:tcPr>
                <w:tcW w:w="861" w:type="pct"/>
                <w:shd w:val="clear" w:color="auto" w:fill="auto"/>
                <w:vAlign w:val="center"/>
              </w:tcPr>
              <w:p w:rsidR="000C5659" w:rsidRDefault="000E33C4">
                <w:pPr>
                  <w:jc w:val="center"/>
                  <w:rPr>
                    <w:color w:val="000000" w:themeColor="text1"/>
                  </w:rPr>
                </w:pPr>
                <w:r>
                  <w:rPr>
                    <w:rFonts w:hint="eastAsia"/>
                    <w:color w:val="000000" w:themeColor="text1"/>
                  </w:rPr>
                  <w:t>病患</w:t>
                </w:r>
                <w:r>
                  <w:rPr>
                    <w:color w:val="000000" w:themeColor="text1"/>
                  </w:rPr>
                  <w:t>湿巾</w:t>
                </w:r>
              </w:p>
              <w:p w:rsidR="000C5659" w:rsidRDefault="000E33C4">
                <w:pPr>
                  <w:jc w:val="center"/>
                  <w:rPr>
                    <w:color w:val="000000" w:themeColor="text1"/>
                  </w:rPr>
                </w:pPr>
                <w:r>
                  <w:rPr>
                    <w:rFonts w:hint="eastAsia"/>
                    <w:color w:val="000000" w:themeColor="text1"/>
                  </w:rPr>
                  <w:t>（健康护理）</w:t>
                </w:r>
              </w:p>
            </w:tc>
            <w:tc>
              <w:tcPr>
                <w:tcW w:w="2016" w:type="pct"/>
                <w:shd w:val="clear" w:color="auto" w:fill="auto"/>
                <w:vAlign w:val="center"/>
              </w:tcPr>
              <w:p w:rsidR="000C5659" w:rsidRDefault="000E33C4">
                <w:pPr>
                  <w:jc w:val="both"/>
                  <w:rPr>
                    <w:color w:val="000000" w:themeColor="text1"/>
                  </w:rPr>
                </w:pPr>
                <w:r>
                  <w:rPr>
                    <w:rFonts w:hint="eastAsia"/>
                    <w:color w:val="000000" w:themeColor="text1"/>
                  </w:rPr>
                  <w:t>采用柔厚水刺无纺布为原料，医用级EDI精制纯化水生产，达到中国药典和美国药典的卫生要求，特别添加温和清洁护肤成分，有效清洁和呵护病患肌肤。</w:t>
                </w:r>
              </w:p>
            </w:tc>
            <w:tc>
              <w:tcPr>
                <w:tcW w:w="1555" w:type="pct"/>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62682C63" wp14:editId="517BAD01">
                      <wp:extent cx="1581150" cy="819150"/>
                      <wp:effectExtent l="0" t="0" r="0" b="0"/>
                      <wp:docPr id="17" name="图片 17" descr="4BA881E921AB1D6A8AFAE83A32D85FF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BA881E921AB1D6A8AFAE83A32D85FF5_副本.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81150" cy="819150"/>
                              </a:xfrm>
                              <a:prstGeom prst="rect">
                                <a:avLst/>
                              </a:prstGeom>
                              <a:noFill/>
                              <a:ln>
                                <a:noFill/>
                              </a:ln>
                            </pic:spPr>
                          </pic:pic>
                        </a:graphicData>
                      </a:graphic>
                    </wp:inline>
                  </w:drawing>
                </w:r>
              </w:p>
            </w:tc>
          </w:tr>
          <w:tr w:rsidR="000C5659">
            <w:trPr>
              <w:trHeight w:val="2128"/>
              <w:jc w:val="center"/>
            </w:trPr>
            <w:tc>
              <w:tcPr>
                <w:tcW w:w="568" w:type="pct"/>
                <w:vMerge/>
                <w:vAlign w:val="center"/>
              </w:tcPr>
              <w:p w:rsidR="000C5659" w:rsidRDefault="000C5659">
                <w:pPr>
                  <w:ind w:firstLineChars="200" w:firstLine="422"/>
                  <w:rPr>
                    <w:b/>
                    <w:color w:val="000000" w:themeColor="text1"/>
                  </w:rPr>
                </w:pPr>
              </w:p>
            </w:tc>
            <w:tc>
              <w:tcPr>
                <w:tcW w:w="861" w:type="pct"/>
                <w:shd w:val="clear" w:color="auto" w:fill="auto"/>
                <w:vAlign w:val="center"/>
              </w:tcPr>
              <w:p w:rsidR="000C5659" w:rsidRDefault="000E33C4">
                <w:pPr>
                  <w:jc w:val="center"/>
                  <w:rPr>
                    <w:color w:val="000000" w:themeColor="text1"/>
                  </w:rPr>
                </w:pPr>
                <w:r>
                  <w:rPr>
                    <w:color w:val="000000" w:themeColor="text1"/>
                  </w:rPr>
                  <w:t>婴儿湿巾（婴儿手口湿巾）</w:t>
                </w:r>
              </w:p>
            </w:tc>
            <w:tc>
              <w:tcPr>
                <w:tcW w:w="2016" w:type="pct"/>
                <w:shd w:val="clear" w:color="auto" w:fill="auto"/>
                <w:vAlign w:val="center"/>
              </w:tcPr>
              <w:p w:rsidR="000C5659" w:rsidRDefault="000E33C4">
                <w:pPr>
                  <w:jc w:val="both"/>
                  <w:rPr>
                    <w:color w:val="000000" w:themeColor="text1"/>
                  </w:rPr>
                </w:pPr>
                <w:r>
                  <w:rPr>
                    <w:color w:val="000000" w:themeColor="text1"/>
                  </w:rPr>
                  <w:t>采用柔厚水刺无纺布为原料，医用级EDI精制纯化水生产，通过皮肤科致敏性测试和刺激性测试，弱酸型配方，富含有机护肤成分，有效清洁宝宝幼嫩肌肤，并给予温和呵护。</w:t>
                </w:r>
              </w:p>
            </w:tc>
            <w:tc>
              <w:tcPr>
                <w:tcW w:w="1555" w:type="pct"/>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10A8CD71" wp14:editId="36DE25DE">
                      <wp:extent cx="1184910" cy="927735"/>
                      <wp:effectExtent l="0" t="0" r="0" b="5715"/>
                      <wp:docPr id="14" name="图片 14" descr="C:\Users\dell\AppData\Local\Temp\企业微信截图_17100741572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ell\AppData\Local\Temp\企业微信截图_1710074157286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93802" cy="934364"/>
                              </a:xfrm>
                              <a:prstGeom prst="rect">
                                <a:avLst/>
                              </a:prstGeom>
                              <a:noFill/>
                              <a:ln>
                                <a:noFill/>
                              </a:ln>
                            </pic:spPr>
                          </pic:pic>
                        </a:graphicData>
                      </a:graphic>
                    </wp:inline>
                  </w:drawing>
                </w:r>
              </w:p>
            </w:tc>
          </w:tr>
          <w:tr w:rsidR="000C5659">
            <w:trPr>
              <w:trHeight w:val="3107"/>
              <w:jc w:val="center"/>
            </w:trPr>
            <w:tc>
              <w:tcPr>
                <w:tcW w:w="568" w:type="pct"/>
                <w:vMerge/>
                <w:vAlign w:val="center"/>
              </w:tcPr>
              <w:p w:rsidR="000C5659" w:rsidRDefault="000C5659">
                <w:pPr>
                  <w:ind w:firstLineChars="200" w:firstLine="422"/>
                  <w:rPr>
                    <w:b/>
                    <w:color w:val="000000" w:themeColor="text1"/>
                  </w:rPr>
                </w:pPr>
              </w:p>
            </w:tc>
            <w:tc>
              <w:tcPr>
                <w:tcW w:w="861" w:type="pct"/>
                <w:shd w:val="clear" w:color="auto" w:fill="auto"/>
                <w:vAlign w:val="center"/>
              </w:tcPr>
              <w:p w:rsidR="000C5659" w:rsidRDefault="000E33C4">
                <w:pPr>
                  <w:jc w:val="center"/>
                  <w:rPr>
                    <w:color w:val="000000" w:themeColor="text1"/>
                  </w:rPr>
                </w:pPr>
                <w:r>
                  <w:rPr>
                    <w:rFonts w:hint="eastAsia"/>
                    <w:color w:val="000000" w:themeColor="text1"/>
                  </w:rPr>
                  <w:t>绵柔杀菌卫生湿巾</w:t>
                </w:r>
              </w:p>
            </w:tc>
            <w:tc>
              <w:tcPr>
                <w:tcW w:w="2016" w:type="pct"/>
                <w:shd w:val="clear" w:color="auto" w:fill="auto"/>
                <w:vAlign w:val="center"/>
              </w:tcPr>
              <w:p w:rsidR="000C5659" w:rsidRDefault="000E33C4">
                <w:pPr>
                  <w:jc w:val="both"/>
                  <w:rPr>
                    <w:color w:val="000000" w:themeColor="text1"/>
                  </w:rPr>
                </w:pPr>
                <w:r>
                  <w:rPr>
                    <w:rFonts w:hint="eastAsia"/>
                    <w:color w:val="000000" w:themeColor="text1"/>
                  </w:rPr>
                  <w:t>采用主流杀菌配方，杀菌率达到</w:t>
                </w:r>
                <w:r>
                  <w:rPr>
                    <w:color w:val="000000" w:themeColor="text1"/>
                  </w:rPr>
                  <w:t>99.9%</w:t>
                </w:r>
                <w:r>
                  <w:rPr>
                    <w:rFonts w:hint="eastAsia"/>
                    <w:color w:val="000000" w:themeColor="text1"/>
                  </w:rPr>
                  <w:t>；布质柔韧：不易变形不留絮；含有芦荟提取液，</w:t>
                </w:r>
                <w:r>
                  <w:rPr>
                    <w:color w:val="000000" w:themeColor="text1"/>
                  </w:rPr>
                  <w:t>适用于皮肤表面</w:t>
                </w:r>
                <w:r>
                  <w:rPr>
                    <w:rFonts w:hint="eastAsia"/>
                    <w:color w:val="000000" w:themeColor="text1"/>
                  </w:rPr>
                  <w:t>，</w:t>
                </w:r>
                <w:r>
                  <w:rPr>
                    <w:color w:val="000000" w:themeColor="text1"/>
                  </w:rPr>
                  <w:t>通过皮肤刺激性测试</w:t>
                </w:r>
                <w:r>
                  <w:rPr>
                    <w:rFonts w:hint="eastAsia"/>
                    <w:color w:val="000000" w:themeColor="text1"/>
                  </w:rPr>
                  <w:t>。</w:t>
                </w:r>
              </w:p>
            </w:tc>
            <w:tc>
              <w:tcPr>
                <w:tcW w:w="1555" w:type="pct"/>
                <w:shd w:val="clear" w:color="auto" w:fill="auto"/>
                <w:vAlign w:val="center"/>
              </w:tcPr>
              <w:p w:rsidR="000C5659" w:rsidRDefault="000E33C4">
                <w:pPr>
                  <w:rPr>
                    <w:color w:val="000000" w:themeColor="text1"/>
                  </w:rPr>
                </w:pPr>
                <w:r>
                  <w:rPr>
                    <w:rFonts w:hint="eastAsia"/>
                    <w:noProof/>
                    <w:color w:val="000000" w:themeColor="text1"/>
                  </w:rPr>
                  <w:drawing>
                    <wp:anchor distT="0" distB="0" distL="114300" distR="114300" simplePos="0" relativeHeight="251659264" behindDoc="0" locked="0" layoutInCell="1" allowOverlap="1" wp14:anchorId="035F89DF" wp14:editId="0338E9C9">
                      <wp:simplePos x="0" y="0"/>
                      <wp:positionH relativeFrom="margin">
                        <wp:posOffset>324485</wp:posOffset>
                      </wp:positionH>
                      <wp:positionV relativeFrom="margin">
                        <wp:posOffset>153670</wp:posOffset>
                      </wp:positionV>
                      <wp:extent cx="942975" cy="535940"/>
                      <wp:effectExtent l="0" t="0" r="952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942975" cy="535940"/>
                              </a:xfrm>
                              <a:prstGeom prst="rect">
                                <a:avLst/>
                              </a:prstGeom>
                            </pic:spPr>
                          </pic:pic>
                        </a:graphicData>
                      </a:graphic>
                    </wp:anchor>
                  </w:drawing>
                </w:r>
              </w:p>
            </w:tc>
          </w:tr>
          <w:tr w:rsidR="000C5659">
            <w:trPr>
              <w:trHeight w:val="2940"/>
              <w:jc w:val="center"/>
            </w:trPr>
            <w:tc>
              <w:tcPr>
                <w:tcW w:w="568" w:type="pct"/>
                <w:vMerge/>
                <w:vAlign w:val="center"/>
              </w:tcPr>
              <w:p w:rsidR="000C5659" w:rsidRDefault="000C5659">
                <w:pPr>
                  <w:ind w:firstLineChars="200" w:firstLine="422"/>
                  <w:rPr>
                    <w:b/>
                    <w:color w:val="000000" w:themeColor="text1"/>
                  </w:rPr>
                </w:pPr>
              </w:p>
            </w:tc>
            <w:tc>
              <w:tcPr>
                <w:tcW w:w="861" w:type="pct"/>
                <w:shd w:val="clear" w:color="auto" w:fill="auto"/>
                <w:vAlign w:val="center"/>
              </w:tcPr>
              <w:p w:rsidR="000C5659" w:rsidRDefault="000E33C4">
                <w:pPr>
                  <w:jc w:val="center"/>
                  <w:rPr>
                    <w:color w:val="000000" w:themeColor="text1"/>
                  </w:rPr>
                </w:pPr>
                <w:r>
                  <w:rPr>
                    <w:rFonts w:hint="eastAsia"/>
                    <w:color w:val="000000" w:themeColor="text1"/>
                  </w:rPr>
                  <w:t>湿厕纸</w:t>
                </w:r>
              </w:p>
            </w:tc>
            <w:tc>
              <w:tcPr>
                <w:tcW w:w="2016" w:type="pct"/>
                <w:shd w:val="clear" w:color="auto" w:fill="auto"/>
                <w:vAlign w:val="center"/>
              </w:tcPr>
              <w:p w:rsidR="000C5659" w:rsidRDefault="000E33C4">
                <w:pPr>
                  <w:jc w:val="both"/>
                  <w:rPr>
                    <w:color w:val="000000" w:themeColor="text1"/>
                  </w:rPr>
                </w:pPr>
                <w:r>
                  <w:rPr>
                    <w:rFonts w:hint="eastAsia"/>
                    <w:color w:val="000000" w:themeColor="text1"/>
                  </w:rPr>
                  <w:t>采用定制桃子纹可冲散基材，柔软亲肤可冲厕，桃子纹路在实现产品美观的同时，提升了物理擦拭洁净效果，环保原生木浆，一冲即散。医用级</w:t>
                </w:r>
                <w:r>
                  <w:rPr>
                    <w:color w:val="000000" w:themeColor="text1"/>
                  </w:rPr>
                  <w:t>EDI精制纯化水生产，达到中国药典和美国药典的卫生要求，7大不添加，配方中特别添加法国奥弗涅火山温泉水，富含天然矿物质，弱酸性水质适合女性私密护理，5S速干无潮感，享受温泉护理般的洁净舒适，不含杀菌剂。</w:t>
                </w:r>
              </w:p>
            </w:tc>
            <w:tc>
              <w:tcPr>
                <w:tcW w:w="1555" w:type="pct"/>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396D7938" wp14:editId="37D031D6">
                      <wp:extent cx="1053465" cy="984250"/>
                      <wp:effectExtent l="0" t="0" r="0" b="635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5"/>
                              <a:stretch>
                                <a:fillRect/>
                              </a:stretch>
                            </pic:blipFill>
                            <pic:spPr>
                              <a:xfrm>
                                <a:off x="0" y="0"/>
                                <a:ext cx="1070549" cy="1000144"/>
                              </a:xfrm>
                              <a:prstGeom prst="rect">
                                <a:avLst/>
                              </a:prstGeom>
                              <a:noFill/>
                              <a:ln w="9525">
                                <a:noFill/>
                              </a:ln>
                            </pic:spPr>
                          </pic:pic>
                        </a:graphicData>
                      </a:graphic>
                    </wp:inline>
                  </w:drawing>
                </w:r>
              </w:p>
            </w:tc>
          </w:tr>
          <w:tr w:rsidR="000C5659">
            <w:trPr>
              <w:trHeight w:val="2400"/>
              <w:jc w:val="center"/>
            </w:trPr>
            <w:tc>
              <w:tcPr>
                <w:tcW w:w="568" w:type="pct"/>
                <w:vMerge/>
                <w:vAlign w:val="center"/>
              </w:tcPr>
              <w:p w:rsidR="000C5659" w:rsidRDefault="000C5659">
                <w:pPr>
                  <w:ind w:firstLineChars="200" w:firstLine="422"/>
                  <w:rPr>
                    <w:b/>
                    <w:color w:val="000000" w:themeColor="text1"/>
                  </w:rPr>
                </w:pPr>
              </w:p>
            </w:tc>
            <w:tc>
              <w:tcPr>
                <w:tcW w:w="861" w:type="pct"/>
                <w:shd w:val="clear" w:color="auto" w:fill="auto"/>
                <w:vAlign w:val="center"/>
              </w:tcPr>
              <w:p w:rsidR="000C5659" w:rsidRDefault="000E33C4">
                <w:pPr>
                  <w:jc w:val="center"/>
                  <w:rPr>
                    <w:color w:val="000000" w:themeColor="text1"/>
                  </w:rPr>
                </w:pPr>
                <w:r>
                  <w:rPr>
                    <w:rFonts w:hint="eastAsia"/>
                    <w:color w:val="000000" w:themeColor="text1"/>
                  </w:rPr>
                  <w:t>宠物清洁湿巾</w:t>
                </w:r>
              </w:p>
              <w:p w:rsidR="000C5659" w:rsidRDefault="000E33C4">
                <w:pPr>
                  <w:jc w:val="center"/>
                  <w:rPr>
                    <w:color w:val="000000" w:themeColor="text1"/>
                  </w:rPr>
                </w:pPr>
                <w:r>
                  <w:rPr>
                    <w:rFonts w:hint="eastAsia"/>
                    <w:color w:val="000000" w:themeColor="text1"/>
                  </w:rPr>
                  <w:t>（宠物护理）</w:t>
                </w:r>
              </w:p>
            </w:tc>
            <w:tc>
              <w:tcPr>
                <w:tcW w:w="2016" w:type="pct"/>
                <w:shd w:val="clear" w:color="auto" w:fill="auto"/>
                <w:vAlign w:val="center"/>
              </w:tcPr>
              <w:p w:rsidR="000C5659" w:rsidRDefault="000E33C4">
                <w:pPr>
                  <w:jc w:val="both"/>
                  <w:rPr>
                    <w:color w:val="000000" w:themeColor="text1"/>
                  </w:rPr>
                </w:pPr>
                <w:r>
                  <w:rPr>
                    <w:rFonts w:hint="eastAsia"/>
                    <w:color w:val="000000" w:themeColor="text1"/>
                  </w:rPr>
                  <w:t>采用柔厚水刺无纺布为原料，医用级纯水精制，温和低敏，有效清洁宠物的爪、面部以及全身。</w:t>
                </w:r>
              </w:p>
            </w:tc>
            <w:tc>
              <w:tcPr>
                <w:tcW w:w="1555" w:type="pct"/>
                <w:shd w:val="clear" w:color="auto" w:fill="auto"/>
                <w:vAlign w:val="center"/>
              </w:tcPr>
              <w:p w:rsidR="000C5659" w:rsidRDefault="000E33C4">
                <w:pPr>
                  <w:jc w:val="center"/>
                  <w:rPr>
                    <w:b/>
                    <w:color w:val="000000" w:themeColor="text1"/>
                  </w:rPr>
                </w:pPr>
                <w:r>
                  <w:rPr>
                    <w:noProof/>
                    <w:color w:val="000000" w:themeColor="text1"/>
                  </w:rPr>
                  <w:drawing>
                    <wp:inline distT="0" distB="0" distL="0" distR="0" wp14:anchorId="4914BD14" wp14:editId="3BA6760B">
                      <wp:extent cx="1333500" cy="723900"/>
                      <wp:effectExtent l="0" t="0" r="0" b="0"/>
                      <wp:docPr id="7" name="图片 7" descr="IMG_9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9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33500" cy="723900"/>
                              </a:xfrm>
                              <a:prstGeom prst="rect">
                                <a:avLst/>
                              </a:prstGeom>
                              <a:noFill/>
                              <a:ln>
                                <a:noFill/>
                              </a:ln>
                            </pic:spPr>
                          </pic:pic>
                        </a:graphicData>
                      </a:graphic>
                    </wp:inline>
                  </w:drawing>
                </w:r>
              </w:p>
            </w:tc>
          </w:tr>
          <w:tr w:rsidR="000C5659">
            <w:trPr>
              <w:trHeight w:val="2802"/>
              <w:jc w:val="center"/>
            </w:trPr>
            <w:tc>
              <w:tcPr>
                <w:tcW w:w="568" w:type="pct"/>
                <w:vMerge/>
                <w:vAlign w:val="center"/>
              </w:tcPr>
              <w:p w:rsidR="000C5659" w:rsidRDefault="000C5659">
                <w:pPr>
                  <w:ind w:firstLineChars="200" w:firstLine="422"/>
                  <w:rPr>
                    <w:b/>
                    <w:color w:val="000000" w:themeColor="text1"/>
                  </w:rPr>
                </w:pPr>
              </w:p>
            </w:tc>
            <w:tc>
              <w:tcPr>
                <w:tcW w:w="861" w:type="pct"/>
                <w:shd w:val="clear" w:color="auto" w:fill="auto"/>
                <w:vAlign w:val="center"/>
              </w:tcPr>
              <w:p w:rsidR="000C5659" w:rsidRDefault="000E33C4">
                <w:pPr>
                  <w:jc w:val="center"/>
                  <w:rPr>
                    <w:color w:val="000000" w:themeColor="text1"/>
                  </w:rPr>
                </w:pPr>
                <w:r>
                  <w:rPr>
                    <w:rFonts w:hint="eastAsia"/>
                    <w:color w:val="000000" w:themeColor="text1"/>
                  </w:rPr>
                  <w:t>家居清洁湿巾</w:t>
                </w:r>
              </w:p>
              <w:p w:rsidR="000C5659" w:rsidRDefault="000E33C4">
                <w:pPr>
                  <w:jc w:val="center"/>
                  <w:rPr>
                    <w:color w:val="000000" w:themeColor="text1"/>
                  </w:rPr>
                </w:pPr>
                <w:r>
                  <w:rPr>
                    <w:rFonts w:hint="eastAsia"/>
                    <w:color w:val="000000" w:themeColor="text1"/>
                  </w:rPr>
                  <w:t>（家居护理）</w:t>
                </w:r>
              </w:p>
            </w:tc>
            <w:tc>
              <w:tcPr>
                <w:tcW w:w="2016" w:type="pct"/>
                <w:shd w:val="clear" w:color="auto" w:fill="auto"/>
                <w:vAlign w:val="center"/>
              </w:tcPr>
              <w:p w:rsidR="000C5659" w:rsidRDefault="000E33C4">
                <w:pPr>
                  <w:jc w:val="both"/>
                  <w:rPr>
                    <w:color w:val="000000" w:themeColor="text1"/>
                  </w:rPr>
                </w:pPr>
                <w:r>
                  <w:rPr>
                    <w:color w:val="000000" w:themeColor="text1"/>
                  </w:rPr>
                  <w:t>采用清洁力强的网孔水刺无纺布，精制RO纯水生产</w:t>
                </w:r>
                <w:r>
                  <w:rPr>
                    <w:rFonts w:hint="eastAsia"/>
                    <w:color w:val="000000" w:themeColor="text1"/>
                  </w:rPr>
                  <w:t>，</w:t>
                </w:r>
                <w:r>
                  <w:rPr>
                    <w:color w:val="000000" w:themeColor="text1"/>
                  </w:rPr>
                  <w:t>含有表面活性剂成分和有机溶剂，清新香型</w:t>
                </w:r>
                <w:r>
                  <w:rPr>
                    <w:rFonts w:hint="eastAsia"/>
                    <w:color w:val="000000" w:themeColor="text1"/>
                  </w:rPr>
                  <w:t>，</w:t>
                </w:r>
                <w:r>
                  <w:rPr>
                    <w:color w:val="000000" w:themeColor="text1"/>
                  </w:rPr>
                  <w:t>快速有效清除</w:t>
                </w:r>
                <w:r>
                  <w:rPr>
                    <w:rFonts w:hint="eastAsia"/>
                    <w:color w:val="000000" w:themeColor="text1"/>
                  </w:rPr>
                  <w:t>家庭各种表面的</w:t>
                </w:r>
                <w:r>
                  <w:rPr>
                    <w:color w:val="000000" w:themeColor="text1"/>
                  </w:rPr>
                  <w:t>残留油渍污垢</w:t>
                </w:r>
                <w:r>
                  <w:rPr>
                    <w:rFonts w:hint="eastAsia"/>
                    <w:color w:val="000000" w:themeColor="text1"/>
                  </w:rPr>
                  <w:t>。</w:t>
                </w:r>
              </w:p>
            </w:tc>
            <w:tc>
              <w:tcPr>
                <w:tcW w:w="1555" w:type="pct"/>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7C0B4C4C" wp14:editId="587B0AAD">
                      <wp:extent cx="1333500" cy="781050"/>
                      <wp:effectExtent l="0" t="0" r="0" b="0"/>
                      <wp:docPr id="8" name="图片 8" descr="household副本 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ousehold副本 好.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333500" cy="781050"/>
                              </a:xfrm>
                              <a:prstGeom prst="rect">
                                <a:avLst/>
                              </a:prstGeom>
                              <a:noFill/>
                              <a:ln>
                                <a:noFill/>
                              </a:ln>
                            </pic:spPr>
                          </pic:pic>
                        </a:graphicData>
                      </a:graphic>
                    </wp:inline>
                  </w:drawing>
                </w:r>
              </w:p>
            </w:tc>
          </w:tr>
        </w:tbl>
        <w:p w:rsidR="000C5659" w:rsidRDefault="000E33C4">
          <w:pPr>
            <w:ind w:firstLineChars="200" w:firstLine="420"/>
            <w:rPr>
              <w:color w:val="000000" w:themeColor="text1"/>
            </w:rPr>
          </w:pPr>
          <w:r>
            <w:rPr>
              <w:rFonts w:hint="eastAsia"/>
              <w:color w:val="000000" w:themeColor="text1"/>
            </w:rPr>
            <w:t>（</w:t>
          </w:r>
          <w:r>
            <w:rPr>
              <w:color w:val="000000" w:themeColor="text1"/>
            </w:rPr>
            <w:t>3</w:t>
          </w:r>
          <w:r>
            <w:rPr>
              <w:rFonts w:hint="eastAsia"/>
              <w:color w:val="000000" w:themeColor="text1"/>
            </w:rPr>
            <w:t>）益生菌制品</w:t>
          </w:r>
        </w:p>
        <w:tbl>
          <w:tblPr>
            <w:tblStyle w:val="g1"/>
            <w:tblW w:w="8699" w:type="dxa"/>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45"/>
            <w:gridCol w:w="2850"/>
          </w:tblGrid>
          <w:tr w:rsidR="000C5659">
            <w:trPr>
              <w:trHeight w:val="340"/>
              <w:jc w:val="center"/>
            </w:trPr>
            <w:tc>
              <w:tcPr>
                <w:tcW w:w="979" w:type="pct"/>
                <w:vAlign w:val="center"/>
              </w:tcPr>
              <w:p w:rsidR="000C5659" w:rsidRDefault="000E33C4">
                <w:pPr>
                  <w:jc w:val="center"/>
                  <w:rPr>
                    <w:b/>
                    <w:color w:val="000000" w:themeColor="text1"/>
                  </w:rPr>
                </w:pPr>
                <w:r>
                  <w:rPr>
                    <w:b/>
                    <w:color w:val="000000" w:themeColor="text1"/>
                  </w:rPr>
                  <w:t>产品系列</w:t>
                </w:r>
              </w:p>
            </w:tc>
            <w:tc>
              <w:tcPr>
                <w:tcW w:w="2382" w:type="pct"/>
                <w:shd w:val="clear" w:color="auto" w:fill="auto"/>
                <w:vAlign w:val="center"/>
              </w:tcPr>
              <w:p w:rsidR="000C5659" w:rsidRDefault="000E33C4">
                <w:pPr>
                  <w:jc w:val="center"/>
                  <w:rPr>
                    <w:b/>
                    <w:color w:val="000000" w:themeColor="text1"/>
                  </w:rPr>
                </w:pPr>
                <w:r>
                  <w:rPr>
                    <w:b/>
                    <w:color w:val="000000" w:themeColor="text1"/>
                  </w:rPr>
                  <w:t>主要特点</w:t>
                </w:r>
              </w:p>
            </w:tc>
            <w:tc>
              <w:tcPr>
                <w:tcW w:w="1638" w:type="pct"/>
                <w:shd w:val="clear" w:color="auto" w:fill="auto"/>
                <w:vAlign w:val="center"/>
              </w:tcPr>
              <w:p w:rsidR="000C5659" w:rsidRDefault="000E33C4">
                <w:pPr>
                  <w:jc w:val="center"/>
                  <w:rPr>
                    <w:b/>
                    <w:color w:val="000000" w:themeColor="text1"/>
                  </w:rPr>
                </w:pPr>
                <w:r>
                  <w:rPr>
                    <w:b/>
                    <w:color w:val="000000" w:themeColor="text1"/>
                  </w:rPr>
                  <w:t>图例</w:t>
                </w:r>
              </w:p>
            </w:tc>
          </w:tr>
          <w:tr w:rsidR="000C5659">
            <w:trPr>
              <w:trHeight w:val="1888"/>
              <w:jc w:val="center"/>
            </w:trPr>
            <w:tc>
              <w:tcPr>
                <w:tcW w:w="979" w:type="pct"/>
                <w:vAlign w:val="center"/>
              </w:tcPr>
              <w:p w:rsidR="000C5659" w:rsidRDefault="000E33C4">
                <w:pPr>
                  <w:jc w:val="center"/>
                  <w:rPr>
                    <w:color w:val="000000" w:themeColor="text1"/>
                  </w:rPr>
                </w:pPr>
                <w:r>
                  <w:rPr>
                    <w:rFonts w:hint="eastAsia"/>
                    <w:color w:val="000000" w:themeColor="text1"/>
                  </w:rPr>
                  <w:t>益生菌原料菌粉</w:t>
                </w:r>
              </w:p>
            </w:tc>
            <w:tc>
              <w:tcPr>
                <w:tcW w:w="2382" w:type="pct"/>
                <w:shd w:val="clear" w:color="auto" w:fill="auto"/>
                <w:vAlign w:val="center"/>
              </w:tcPr>
              <w:p w:rsidR="000C5659" w:rsidRDefault="000E33C4">
                <w:pPr>
                  <w:jc w:val="both"/>
                  <w:rPr>
                    <w:color w:val="000000" w:themeColor="text1"/>
                  </w:rPr>
                </w:pPr>
                <w:r>
                  <w:rPr>
                    <w:rFonts w:hint="eastAsia"/>
                    <w:b/>
                    <w:color w:val="000000" w:themeColor="text1"/>
                  </w:rPr>
                  <w:t>传统益生菌：</w:t>
                </w:r>
                <w:r>
                  <w:rPr>
                    <w:rFonts w:hint="eastAsia"/>
                    <w:color w:val="000000" w:themeColor="text1"/>
                  </w:rPr>
                  <w:t>可广泛用于膳食补充剂、即食型益生菌、固体饮料、特色发酵剂、功能性食品等。以植物乳植杆菌、鼠李糖乳酪杆菌、动物双歧杆菌乳亚种为代表的传统乳酸菌，善恩康的原料菌粉活性高、货架期稳定性高。</w:t>
                </w:r>
              </w:p>
              <w:p w:rsidR="000C5659" w:rsidRDefault="000E33C4">
                <w:pPr>
                  <w:jc w:val="both"/>
                  <w:rPr>
                    <w:color w:val="000000" w:themeColor="text1"/>
                  </w:rPr>
                </w:pPr>
                <w:r>
                  <w:rPr>
                    <w:rFonts w:hint="eastAsia"/>
                    <w:b/>
                    <w:color w:val="000000" w:themeColor="text1"/>
                  </w:rPr>
                  <w:t>后生元和凝结魏茨曼氏菌：</w:t>
                </w:r>
                <w:r>
                  <w:rPr>
                    <w:rFonts w:hint="eastAsia"/>
                    <w:color w:val="000000" w:themeColor="text1"/>
                  </w:rPr>
                  <w:t>可广泛用于饮料与乳制品、烘焙食品、休闲食品、方便食品、化妆品领域、日化领域等。</w:t>
                </w:r>
              </w:p>
              <w:p w:rsidR="000C5659" w:rsidRDefault="000E33C4">
                <w:pPr>
                  <w:jc w:val="both"/>
                  <w:rPr>
                    <w:color w:val="000000" w:themeColor="text1"/>
                  </w:rPr>
                </w:pPr>
                <w:r>
                  <w:rPr>
                    <w:rFonts w:hint="eastAsia"/>
                    <w:b/>
                    <w:color w:val="000000" w:themeColor="text1"/>
                  </w:rPr>
                  <w:t>嗜黏蛋白阿克曼氏菌：</w:t>
                </w:r>
                <w:r>
                  <w:rPr>
                    <w:rFonts w:hint="eastAsia"/>
                    <w:color w:val="000000" w:themeColor="text1"/>
                  </w:rPr>
                  <w:t>可用于国外膳食补充剂、功能性食品等。善恩康是国内最早产业化嗜黏蛋白阿克曼氏菌的益生菌企业之一。</w:t>
                </w:r>
              </w:p>
            </w:tc>
            <w:tc>
              <w:tcPr>
                <w:tcW w:w="1638" w:type="pct"/>
                <w:shd w:val="clear" w:color="auto" w:fill="auto"/>
                <w:vAlign w:val="center"/>
              </w:tcPr>
              <w:p w:rsidR="000C5659" w:rsidRDefault="000E33C4">
                <w:pPr>
                  <w:jc w:val="center"/>
                  <w:rPr>
                    <w:color w:val="000000" w:themeColor="text1"/>
                  </w:rPr>
                </w:pPr>
                <w:r>
                  <w:rPr>
                    <w:noProof/>
                    <w:color w:val="000000" w:themeColor="text1"/>
                  </w:rPr>
                  <w:drawing>
                    <wp:inline distT="0" distB="0" distL="0" distR="0" wp14:anchorId="03556D7C" wp14:editId="7F55F154">
                      <wp:extent cx="1527175" cy="1176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527175" cy="1176655"/>
                              </a:xfrm>
                              <a:prstGeom prst="rect">
                                <a:avLst/>
                              </a:prstGeom>
                              <a:noFill/>
                            </pic:spPr>
                          </pic:pic>
                        </a:graphicData>
                      </a:graphic>
                    </wp:inline>
                  </w:drawing>
                </w:r>
              </w:p>
            </w:tc>
          </w:tr>
          <w:tr w:rsidR="000C5659">
            <w:trPr>
              <w:trHeight w:val="2128"/>
              <w:jc w:val="center"/>
            </w:trPr>
            <w:tc>
              <w:tcPr>
                <w:tcW w:w="979" w:type="pct"/>
                <w:vAlign w:val="center"/>
              </w:tcPr>
              <w:p w:rsidR="000C5659" w:rsidRDefault="000E33C4">
                <w:pPr>
                  <w:rPr>
                    <w:color w:val="000000" w:themeColor="text1"/>
                  </w:rPr>
                </w:pPr>
                <w:r>
                  <w:rPr>
                    <w:rFonts w:hint="eastAsia"/>
                    <w:color w:val="000000" w:themeColor="text1"/>
                  </w:rPr>
                  <w:lastRenderedPageBreak/>
                  <w:t>益生菌</w:t>
                </w:r>
                <w:r>
                  <w:rPr>
                    <w:color w:val="000000" w:themeColor="text1"/>
                  </w:rPr>
                  <w:t>OEM/ODM代工</w:t>
                </w:r>
              </w:p>
            </w:tc>
            <w:tc>
              <w:tcPr>
                <w:tcW w:w="2382" w:type="pct"/>
                <w:shd w:val="clear" w:color="auto" w:fill="auto"/>
                <w:vAlign w:val="center"/>
              </w:tcPr>
              <w:p w:rsidR="000C5659" w:rsidRDefault="000E33C4">
                <w:pPr>
                  <w:jc w:val="both"/>
                  <w:rPr>
                    <w:color w:val="000000" w:themeColor="text1"/>
                  </w:rPr>
                </w:pPr>
                <w:r>
                  <w:rPr>
                    <w:rFonts w:hint="eastAsia"/>
                    <w:color w:val="000000" w:themeColor="text1"/>
                  </w:rPr>
                  <w:t>添加公司明星菌株凝结魏茨曼氏菌</w:t>
                </w:r>
                <w:r>
                  <w:rPr>
                    <w:color w:val="000000" w:themeColor="text1"/>
                  </w:rPr>
                  <w:t>BC01、植物乳植杆菌H6、短双歧杆菌BB05、卷曲乳杆菌23396、植物乳植杆菌SG5、嗜酸乳杆菌LA-10A等益生菌，与益生元等辅料配料组方制成即食益生菌粉、固体饮料、压片糖果、晶球益生菌等。</w:t>
                </w:r>
              </w:p>
            </w:tc>
            <w:tc>
              <w:tcPr>
                <w:tcW w:w="1638" w:type="pct"/>
                <w:shd w:val="clear" w:color="auto" w:fill="auto"/>
                <w:vAlign w:val="center"/>
              </w:tcPr>
              <w:p w:rsidR="000C5659" w:rsidRDefault="000E33C4">
                <w:pPr>
                  <w:rPr>
                    <w:color w:val="000000" w:themeColor="text1"/>
                  </w:rPr>
                </w:pPr>
                <w:r>
                  <w:rPr>
                    <w:noProof/>
                    <w:color w:val="000000" w:themeColor="text1"/>
                  </w:rPr>
                  <w:drawing>
                    <wp:inline distT="0" distB="0" distL="0" distR="0" wp14:anchorId="1F182812" wp14:editId="7CC5EB04">
                      <wp:extent cx="1672590" cy="1091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72590" cy="1091565"/>
                              </a:xfrm>
                              <a:prstGeom prst="rect">
                                <a:avLst/>
                              </a:prstGeom>
                              <a:noFill/>
                            </pic:spPr>
                          </pic:pic>
                        </a:graphicData>
                      </a:graphic>
                    </wp:inline>
                  </w:drawing>
                </w:r>
              </w:p>
            </w:tc>
          </w:tr>
          <w:tr w:rsidR="000C5659">
            <w:trPr>
              <w:trHeight w:val="1508"/>
              <w:jc w:val="center"/>
            </w:trPr>
            <w:tc>
              <w:tcPr>
                <w:tcW w:w="979" w:type="pct"/>
                <w:vAlign w:val="center"/>
              </w:tcPr>
              <w:p w:rsidR="000C5659" w:rsidRDefault="000E33C4">
                <w:pPr>
                  <w:rPr>
                    <w:color w:val="000000" w:themeColor="text1"/>
                  </w:rPr>
                </w:pPr>
                <w:r>
                  <w:rPr>
                    <w:rFonts w:hint="eastAsia"/>
                    <w:color w:val="000000" w:themeColor="text1"/>
                  </w:rPr>
                  <w:t>益生菌</w:t>
                </w:r>
                <w:r>
                  <w:rPr>
                    <w:color w:val="000000" w:themeColor="text1"/>
                  </w:rPr>
                  <w:t>CDMO</w:t>
                </w:r>
              </w:p>
            </w:tc>
            <w:tc>
              <w:tcPr>
                <w:tcW w:w="2382" w:type="pct"/>
                <w:shd w:val="clear" w:color="auto" w:fill="auto"/>
                <w:vAlign w:val="center"/>
              </w:tcPr>
              <w:p w:rsidR="000C5659" w:rsidRDefault="000E33C4">
                <w:pPr>
                  <w:jc w:val="both"/>
                  <w:rPr>
                    <w:color w:val="000000" w:themeColor="text1"/>
                  </w:rPr>
                </w:pPr>
                <w:r>
                  <w:rPr>
                    <w:rFonts w:hint="eastAsia"/>
                    <w:color w:val="000000" w:themeColor="text1"/>
                  </w:rPr>
                  <w:t>主要为药企、乳企、大健康企业提供益生菌</w:t>
                </w:r>
                <w:r>
                  <w:rPr>
                    <w:color w:val="000000" w:themeColor="text1"/>
                  </w:rPr>
                  <w:t>CRO和CDMO服务，为客户提供专利菌株转让、菌株筛选、安全和功能评价、临床实</w:t>
                </w:r>
                <w:r>
                  <w:rPr>
                    <w:rFonts w:hint="eastAsia"/>
                    <w:color w:val="000000" w:themeColor="text1"/>
                  </w:rPr>
                  <w:t>施、工艺优化、产业化生产一条龙服务。</w:t>
                </w:r>
              </w:p>
            </w:tc>
            <w:tc>
              <w:tcPr>
                <w:tcW w:w="1638" w:type="pct"/>
                <w:shd w:val="clear" w:color="auto" w:fill="auto"/>
                <w:vAlign w:val="center"/>
              </w:tcPr>
              <w:p w:rsidR="000C5659" w:rsidRDefault="000E33C4">
                <w:pPr>
                  <w:rPr>
                    <w:color w:val="000000" w:themeColor="text1"/>
                  </w:rPr>
                </w:pPr>
                <w:r>
                  <w:rPr>
                    <w:rFonts w:hint="eastAsia"/>
                    <w:color w:val="000000" w:themeColor="text1"/>
                  </w:rPr>
                  <w:t>/</w:t>
                </w:r>
              </w:p>
            </w:tc>
          </w:tr>
        </w:tbl>
        <w:p w:rsidR="000C5659" w:rsidRDefault="000E33C4">
          <w:pPr>
            <w:rPr>
              <w:color w:val="000000" w:themeColor="text1"/>
            </w:rPr>
          </w:pPr>
          <w:r>
            <w:rPr>
              <w:rFonts w:hint="eastAsia"/>
              <w:color w:val="000000" w:themeColor="text1"/>
            </w:rPr>
            <w:t>（三）公司经营模式</w:t>
          </w:r>
        </w:p>
        <w:p w:rsidR="000C5659" w:rsidRDefault="000E33C4">
          <w:pPr>
            <w:ind w:firstLineChars="200" w:firstLine="420"/>
            <w:jc w:val="both"/>
            <w:rPr>
              <w:color w:val="000000" w:themeColor="text1"/>
            </w:rPr>
          </w:pPr>
          <w:r>
            <w:rPr>
              <w:color w:val="000000" w:themeColor="text1"/>
            </w:rPr>
            <w:t>1</w:t>
          </w:r>
          <w:r>
            <w:rPr>
              <w:rFonts w:hint="eastAsia"/>
              <w:color w:val="000000" w:themeColor="text1"/>
            </w:rPr>
            <w:t>.口腔清洁护理用品及湿巾业务</w:t>
          </w:r>
        </w:p>
        <w:p w:rsidR="000C5659" w:rsidRDefault="000E33C4">
          <w:pPr>
            <w:ind w:firstLineChars="200" w:firstLine="420"/>
            <w:jc w:val="both"/>
            <w:rPr>
              <w:color w:val="000000" w:themeColor="text1"/>
            </w:rPr>
          </w:pPr>
          <w:r>
            <w:rPr>
              <w:rFonts w:hint="eastAsia"/>
              <w:color w:val="000000" w:themeColor="text1"/>
            </w:rPr>
            <w:t>（1）经营模式</w:t>
          </w:r>
        </w:p>
        <w:p w:rsidR="000C5659" w:rsidRDefault="000E33C4">
          <w:pPr>
            <w:ind w:firstLineChars="200" w:firstLine="420"/>
            <w:jc w:val="both"/>
            <w:rPr>
              <w:color w:val="000000" w:themeColor="text1"/>
            </w:rPr>
          </w:pPr>
          <w:r>
            <w:rPr>
              <w:rFonts w:hint="eastAsia"/>
              <w:color w:val="000000" w:themeColor="text1"/>
            </w:rPr>
            <w:t>公司经营模式主要包括：以产品研发设计为核心竞争优势的</w:t>
          </w:r>
          <w:r>
            <w:rPr>
              <w:color w:val="000000" w:themeColor="text1"/>
            </w:rPr>
            <w:t>ODM</w:t>
          </w:r>
          <w:r>
            <w:rPr>
              <w:rFonts w:hint="eastAsia"/>
              <w:color w:val="000000" w:themeColor="text1"/>
            </w:rPr>
            <w:t>业务</w:t>
          </w:r>
          <w:r>
            <w:rPr>
              <w:color w:val="000000" w:themeColor="text1"/>
            </w:rPr>
            <w:t>和自主品牌</w:t>
          </w:r>
          <w:r>
            <w:rPr>
              <w:rFonts w:hint="eastAsia"/>
              <w:color w:val="000000" w:themeColor="text1"/>
            </w:rPr>
            <w:t>业务</w:t>
          </w:r>
          <w:r>
            <w:rPr>
              <w:color w:val="000000" w:themeColor="text1"/>
            </w:rPr>
            <w:t>。</w:t>
          </w:r>
        </w:p>
        <w:p w:rsidR="000C5659" w:rsidRDefault="000E33C4">
          <w:pPr>
            <w:ind w:firstLineChars="200" w:firstLine="420"/>
            <w:jc w:val="both"/>
            <w:rPr>
              <w:color w:val="000000" w:themeColor="text1"/>
            </w:rPr>
          </w:pPr>
          <w:r>
            <w:rPr>
              <w:rFonts w:hint="eastAsia"/>
              <w:color w:val="000000" w:themeColor="text1"/>
            </w:rPr>
            <w:t>以产品研发设计为核心竞争优势的</w:t>
          </w:r>
          <w:r>
            <w:rPr>
              <w:color w:val="000000" w:themeColor="text1"/>
            </w:rPr>
            <w:t>ODM，在OEM较为成熟的基础上，着重发展研发设计，为第三方品牌公司设计、生产制造出以其品牌出售的商品。此种经营模式通过自身的创新获得竞争优势及溢价权，从而为公司在生产制造的基础上实现更大的盈利。</w:t>
          </w:r>
        </w:p>
        <w:p w:rsidR="000C5659" w:rsidRDefault="000E33C4">
          <w:pPr>
            <w:ind w:firstLineChars="200" w:firstLine="420"/>
            <w:jc w:val="both"/>
            <w:rPr>
              <w:color w:val="000000" w:themeColor="text1"/>
            </w:rPr>
          </w:pPr>
          <w:r>
            <w:rPr>
              <w:rFonts w:hint="eastAsia"/>
              <w:color w:val="000000" w:themeColor="text1"/>
            </w:rPr>
            <w:t>公司自主品牌为“倍加洁”、“</w:t>
          </w:r>
          <w:r>
            <w:rPr>
              <w:color w:val="000000" w:themeColor="text1"/>
            </w:rPr>
            <w:t>HEY PERFECT”。“倍加洁”商标已连续多年被评为江苏省著名商标，公司聚焦于自主品牌核心价值打造，注重产品研发、市场营销与品牌推广，有完善的营销网络做支撑，为消费趋势的市场主导者。“HEY PERFECT”为公司在</w:t>
          </w:r>
          <w:r>
            <w:rPr>
              <w:rFonts w:hint="eastAsia"/>
              <w:color w:val="000000" w:themeColor="text1"/>
            </w:rPr>
            <w:t>近年新消费背景下</w:t>
          </w:r>
          <w:r>
            <w:rPr>
              <w:color w:val="000000" w:themeColor="text1"/>
            </w:rPr>
            <w:t>新启用的商标，以一种更亲近的方式拉近与消费者的距离，在产品设计、研发方面充分考虑广大消费群体的需求，致力于满足并超越消费者期望</w:t>
          </w:r>
          <w:r>
            <w:rPr>
              <w:rFonts w:hint="eastAsia"/>
              <w:color w:val="000000" w:themeColor="text1"/>
            </w:rPr>
            <w:t>。</w:t>
          </w:r>
        </w:p>
        <w:p w:rsidR="000C5659" w:rsidRDefault="000E33C4">
          <w:pPr>
            <w:ind w:firstLineChars="200" w:firstLine="420"/>
            <w:jc w:val="both"/>
            <w:rPr>
              <w:color w:val="000000" w:themeColor="text1"/>
            </w:rPr>
          </w:pPr>
          <w:r>
            <w:rPr>
              <w:rFonts w:hint="eastAsia"/>
              <w:color w:val="000000" w:themeColor="text1"/>
            </w:rPr>
            <w:t>（2）生产模式</w:t>
          </w:r>
        </w:p>
        <w:p w:rsidR="000C5659" w:rsidRDefault="000E33C4">
          <w:pPr>
            <w:ind w:firstLineChars="200" w:firstLine="420"/>
            <w:jc w:val="both"/>
            <w:rPr>
              <w:color w:val="000000" w:themeColor="text1"/>
            </w:rPr>
          </w:pPr>
          <w:r>
            <w:rPr>
              <w:rFonts w:hint="eastAsia"/>
              <w:color w:val="000000" w:themeColor="text1"/>
            </w:rPr>
            <w:t>公司实行“以销定产”的经营方针，即每年根据上年销售情况和本年接单情况制定本年度销售计划，根据销售计划安排生产计划，每月的生产计划根据上月的生产销售情况和下月销售计划作适当调整。在质量控制体系基础上，与外部加工厂商建立合作关系，以便在订单旺季期间，通过委托加工（外协加工）方式解决短期产能不足的问题。</w:t>
          </w:r>
        </w:p>
        <w:p w:rsidR="000C5659" w:rsidRDefault="000E33C4">
          <w:pPr>
            <w:ind w:firstLineChars="200" w:firstLine="420"/>
            <w:jc w:val="both"/>
            <w:rPr>
              <w:color w:val="000000" w:themeColor="text1"/>
            </w:rPr>
          </w:pPr>
          <w:r>
            <w:rPr>
              <w:rFonts w:hint="eastAsia"/>
              <w:color w:val="000000" w:themeColor="text1"/>
            </w:rPr>
            <w:t>（3）销售模式</w:t>
          </w:r>
        </w:p>
        <w:p w:rsidR="000C5659" w:rsidRDefault="000E33C4">
          <w:pPr>
            <w:ind w:firstLineChars="200" w:firstLine="420"/>
            <w:jc w:val="both"/>
            <w:rPr>
              <w:color w:val="000000" w:themeColor="text1"/>
            </w:rPr>
          </w:pPr>
          <w:r>
            <w:rPr>
              <w:rFonts w:hint="eastAsia"/>
              <w:color w:val="000000" w:themeColor="text1"/>
            </w:rPr>
            <w:t>经过多年发展，公司形成了以</w:t>
          </w:r>
          <w:r>
            <w:rPr>
              <w:color w:val="000000" w:themeColor="text1"/>
            </w:rPr>
            <w:t>ODM为主兼顾自主品牌、国内和国外市场并重的业务格局，国内市场主要包括贴牌销售、自主品牌销售两种模式。自主品牌销售一般包括经销、代销和直销模式，前两者主要包括国际性大卖场、本土大型连锁超市、中小型超市、便利店、食杂店等，后者主要是在天猫、京东</w:t>
          </w:r>
          <w:r>
            <w:rPr>
              <w:rFonts w:hint="eastAsia"/>
              <w:color w:val="000000" w:themeColor="text1"/>
            </w:rPr>
            <w:t>、抖音、拼多多</w:t>
          </w:r>
          <w:r>
            <w:rPr>
              <w:color w:val="000000" w:themeColor="text1"/>
            </w:rPr>
            <w:t>等电商平台上进行自主品牌直销。</w:t>
          </w:r>
        </w:p>
        <w:p w:rsidR="000C5659" w:rsidRDefault="000E33C4">
          <w:pPr>
            <w:ind w:firstLineChars="200" w:firstLine="420"/>
            <w:jc w:val="both"/>
            <w:rPr>
              <w:color w:val="000000" w:themeColor="text1"/>
            </w:rPr>
          </w:pPr>
          <w:r>
            <w:rPr>
              <w:color w:val="000000" w:themeColor="text1"/>
            </w:rPr>
            <w:t>2</w:t>
          </w:r>
          <w:r>
            <w:rPr>
              <w:rFonts w:hint="eastAsia"/>
              <w:color w:val="000000" w:themeColor="text1"/>
            </w:rPr>
            <w:t>.益生菌制品业务</w:t>
          </w:r>
        </w:p>
        <w:p w:rsidR="000C5659" w:rsidRDefault="000E33C4">
          <w:pPr>
            <w:ind w:firstLineChars="200" w:firstLine="420"/>
            <w:jc w:val="both"/>
            <w:rPr>
              <w:color w:val="000000" w:themeColor="text1"/>
            </w:rPr>
          </w:pPr>
          <w:r>
            <w:rPr>
              <w:rFonts w:hint="eastAsia"/>
              <w:color w:val="000000" w:themeColor="text1"/>
            </w:rPr>
            <w:t>（1）经营模式</w:t>
          </w:r>
        </w:p>
        <w:p w:rsidR="000C5659" w:rsidRDefault="000E33C4">
          <w:pPr>
            <w:ind w:firstLineChars="200" w:firstLine="420"/>
            <w:jc w:val="both"/>
            <w:rPr>
              <w:color w:val="000000" w:themeColor="text1"/>
            </w:rPr>
          </w:pPr>
          <w:r>
            <w:rPr>
              <w:rFonts w:hint="eastAsia"/>
              <w:color w:val="000000" w:themeColor="text1"/>
            </w:rPr>
            <w:t>善恩康是一家专注于微生物益生菌全产业链研发、生产和销售的高新技术企业，经营模式以研发创新为核心，注重生产保障和市场销售，同时积极拓展合作与拓展领域。</w:t>
          </w:r>
        </w:p>
        <w:p w:rsidR="000C5659" w:rsidRDefault="000E33C4">
          <w:pPr>
            <w:ind w:firstLineChars="200" w:firstLine="420"/>
            <w:jc w:val="both"/>
            <w:rPr>
              <w:color w:val="000000" w:themeColor="text1"/>
            </w:rPr>
          </w:pPr>
          <w:r>
            <w:rPr>
              <w:rFonts w:hint="eastAsia"/>
              <w:color w:val="000000" w:themeColor="text1"/>
            </w:rPr>
            <w:t>（2）生产模式</w:t>
          </w:r>
        </w:p>
        <w:p w:rsidR="000C5659" w:rsidRDefault="000E33C4">
          <w:pPr>
            <w:ind w:firstLineChars="200" w:firstLine="420"/>
            <w:jc w:val="both"/>
            <w:rPr>
              <w:color w:val="000000" w:themeColor="text1"/>
            </w:rPr>
          </w:pPr>
          <w:r>
            <w:rPr>
              <w:rFonts w:hint="eastAsia"/>
              <w:color w:val="000000" w:themeColor="text1"/>
            </w:rPr>
            <w:t>善恩康的生产模式注重质量与安全，在安徽宿州建有标准的益生菌生产基地，总规划产能为年产益生菌原料菌粉</w:t>
          </w:r>
          <w:r>
            <w:rPr>
              <w:color w:val="000000" w:themeColor="text1"/>
            </w:rPr>
            <w:t>200吨、益生菌制剂及相关产品2000吨，是国内重要的益生菌生产基地之一。生产基地通过了NSF cGMP</w:t>
          </w:r>
          <w:r>
            <w:rPr>
              <w:rFonts w:hint="eastAsia"/>
              <w:color w:val="000000" w:themeColor="text1"/>
            </w:rPr>
            <w:t>（现行优良制造标准认证）</w:t>
          </w:r>
          <w:r>
            <w:rPr>
              <w:color w:val="000000" w:themeColor="text1"/>
            </w:rPr>
            <w:t>、FSSC 22000</w:t>
          </w:r>
          <w:r>
            <w:rPr>
              <w:rFonts w:hint="eastAsia"/>
              <w:color w:val="000000" w:themeColor="text1"/>
            </w:rPr>
            <w:t>（食品安全体系认证）</w:t>
          </w:r>
          <w:r>
            <w:rPr>
              <w:color w:val="000000" w:themeColor="text1"/>
            </w:rPr>
            <w:t>、ISO 22000</w:t>
          </w:r>
          <w:r>
            <w:rPr>
              <w:rFonts w:hint="eastAsia"/>
              <w:color w:val="000000" w:themeColor="text1"/>
            </w:rPr>
            <w:t>（食品安全管理体系）</w:t>
          </w:r>
          <w:r>
            <w:rPr>
              <w:color w:val="000000" w:themeColor="text1"/>
            </w:rPr>
            <w:t>、HACCP</w:t>
          </w:r>
          <w:r>
            <w:rPr>
              <w:rFonts w:hint="eastAsia"/>
              <w:color w:val="000000" w:themeColor="text1"/>
            </w:rPr>
            <w:t>（危害分析及关键控制点）</w:t>
          </w:r>
          <w:r>
            <w:rPr>
              <w:color w:val="000000" w:themeColor="text1"/>
            </w:rPr>
            <w:t>、HALAL</w:t>
          </w:r>
          <w:r>
            <w:rPr>
              <w:rFonts w:hint="eastAsia"/>
              <w:color w:val="000000" w:themeColor="text1"/>
            </w:rPr>
            <w:t>（清真认证）</w:t>
          </w:r>
          <w:r>
            <w:rPr>
              <w:color w:val="000000" w:themeColor="text1"/>
            </w:rPr>
            <w:t>、KOSHER</w:t>
          </w:r>
          <w:r>
            <w:rPr>
              <w:rFonts w:hint="eastAsia"/>
              <w:color w:val="000000" w:themeColor="text1"/>
            </w:rPr>
            <w:t>（犹太洁食认证）</w:t>
          </w:r>
          <w:r>
            <w:rPr>
              <w:color w:val="000000" w:themeColor="text1"/>
            </w:rPr>
            <w:t>等国际体系认证，并建有GMP标准建设的10万级和万级净化车间，确保生产环境的洁净度和产品的安全性。</w:t>
          </w:r>
        </w:p>
        <w:p w:rsidR="000C5659" w:rsidRDefault="000E33C4">
          <w:pPr>
            <w:ind w:firstLineChars="200" w:firstLine="420"/>
            <w:jc w:val="both"/>
            <w:rPr>
              <w:color w:val="000000" w:themeColor="text1"/>
            </w:rPr>
          </w:pPr>
          <w:r>
            <w:rPr>
              <w:rFonts w:hint="eastAsia"/>
              <w:color w:val="000000" w:themeColor="text1"/>
            </w:rPr>
            <w:t>在生产过程中，善恩康采用先进的生产设备和技术，严格控制生产流程，掌握益生菌发酵冻干核心制备技术，确保益生菌产品的活性和稳定性。还建立了完善的质量管理体系，对原材料采购、生产加工、成品检验等各个环节进行严格把控，确保产品质量符合国家和行业标准。</w:t>
          </w:r>
        </w:p>
        <w:p w:rsidR="000C5659" w:rsidRDefault="000E33C4">
          <w:pPr>
            <w:ind w:firstLineChars="200" w:firstLine="420"/>
            <w:jc w:val="both"/>
            <w:rPr>
              <w:color w:val="000000" w:themeColor="text1"/>
            </w:rPr>
          </w:pPr>
          <w:r>
            <w:rPr>
              <w:rFonts w:hint="eastAsia"/>
              <w:color w:val="000000" w:themeColor="text1"/>
            </w:rPr>
            <w:t>（3）销售模式</w:t>
          </w:r>
        </w:p>
        <w:p w:rsidR="000C5659" w:rsidRDefault="000E33C4">
          <w:pPr>
            <w:ind w:firstLineChars="200" w:firstLine="420"/>
            <w:jc w:val="both"/>
            <w:rPr>
              <w:color w:val="000000" w:themeColor="text1"/>
            </w:rPr>
          </w:pPr>
          <w:r>
            <w:rPr>
              <w:rFonts w:hint="eastAsia"/>
              <w:color w:val="000000" w:themeColor="text1"/>
            </w:rPr>
            <w:lastRenderedPageBreak/>
            <w:t>善恩康的销售模式以市场需求为导向，注重品牌建设和渠道拓展，面向企业客户提供食品级益生菌原粉、益生菌整体解决方案的</w:t>
          </w:r>
          <w:r>
            <w:rPr>
              <w:color w:val="000000" w:themeColor="text1"/>
            </w:rPr>
            <w:t>OEM和ODM、益生菌CDMO服务模式。</w:t>
          </w:r>
          <w:r>
            <w:rPr>
              <w:rFonts w:hint="eastAsia"/>
              <w:color w:val="000000" w:themeColor="text1"/>
            </w:rPr>
            <w:t>善恩康直</w:t>
          </w:r>
          <w:r>
            <w:rPr>
              <w:color w:val="000000" w:themeColor="text1"/>
            </w:rPr>
            <w:t>接与客户或经销商签订销售合同或订单。在品牌建设方面，</w:t>
          </w:r>
          <w:r>
            <w:rPr>
              <w:rFonts w:hint="eastAsia"/>
              <w:color w:val="000000" w:themeColor="text1"/>
            </w:rPr>
            <w:t>善恩康</w:t>
          </w:r>
          <w:r>
            <w:rPr>
              <w:color w:val="000000" w:themeColor="text1"/>
            </w:rPr>
            <w:t>注重提升品牌知名度和美誉度。积极参加各类行业展会和论坛，与业内专家和同行交流经验，分享成果；同时，</w:t>
          </w:r>
          <w:r>
            <w:rPr>
              <w:rFonts w:hint="eastAsia"/>
              <w:color w:val="000000" w:themeColor="text1"/>
            </w:rPr>
            <w:t>善恩康</w:t>
          </w:r>
          <w:r>
            <w:rPr>
              <w:color w:val="000000" w:themeColor="text1"/>
            </w:rPr>
            <w:t>还通过媒体宣传、公关活动等方式提升品牌曝光度，增强消费者对品牌的认知和信任。</w:t>
          </w:r>
        </w:p>
        <w:p w:rsidR="000C5659" w:rsidRDefault="000E33C4">
          <w:pPr>
            <w:ind w:firstLineChars="200" w:firstLine="420"/>
            <w:jc w:val="both"/>
            <w:rPr>
              <w:color w:val="000000" w:themeColor="text1"/>
            </w:rPr>
          </w:pPr>
          <w:r>
            <w:rPr>
              <w:rFonts w:hint="eastAsia"/>
              <w:color w:val="000000" w:themeColor="text1"/>
            </w:rPr>
            <w:t>善恩康为大健康、医药、乳品、食品饮料、日用日化提供解决方案，产品包括益生菌原粉、即食型益生菌、固体饮料、特色发酵剂、功能性食品及衍生品，提供益生菌糖果、烘焙、饮料和休闲零食等益生菌</w:t>
          </w:r>
          <w:r>
            <w:rPr>
              <w:color w:val="000000" w:themeColor="text1"/>
            </w:rPr>
            <w:t>+食品解决方案。提供益生菌CDMO服务，为客户提供专利菌株转让、菌株筛选、功能评价、临床实施、工艺优化、产业化生产一条龙服务。</w:t>
          </w:r>
        </w:p>
      </w:sdtContent>
    </w:sdt>
    <w:p w:rsidR="000C5659" w:rsidRDefault="000C5659">
      <w:pPr>
        <w:rPr>
          <w:color w:val="000000" w:themeColor="text1"/>
        </w:rPr>
      </w:pPr>
    </w:p>
    <w:p w:rsidR="000C5659" w:rsidRDefault="000E33C4">
      <w:pPr>
        <w:pStyle w:val="2"/>
        <w:numPr>
          <w:ilvl w:val="0"/>
          <w:numId w:val="6"/>
        </w:numPr>
        <w:tabs>
          <w:tab w:val="left" w:pos="426"/>
        </w:tabs>
        <w:ind w:left="422" w:hanging="422"/>
        <w:jc w:val="left"/>
        <w:rPr>
          <w:rFonts w:ascii="宋体" w:hAnsi="宋体"/>
          <w:color w:val="000000" w:themeColor="text1"/>
        </w:rPr>
      </w:pPr>
      <w:r>
        <w:rPr>
          <w:rFonts w:ascii="宋体" w:hAnsi="宋体" w:hint="eastAsia"/>
          <w:color w:val="000000" w:themeColor="text1"/>
        </w:rPr>
        <w:t>报告期内核心竞争力分析</w:t>
      </w:r>
    </w:p>
    <w:sdt>
      <w:sdtPr>
        <w:rPr>
          <w:color w:val="000000" w:themeColor="text1"/>
        </w:rPr>
        <w:alias w:val="是否适用：报告期内核心竞争力分析[双击切换]"/>
        <w:tag w:val="_GBC_f5e4beedb06c4dedb1da9c7f429d840e"/>
        <w:id w:val="6792876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报告期内核心竞争力分析"/>
        <w:tag w:val="_GBC_2aded0644185447a9ec788ba0b35ac4f"/>
        <w:id w:val="-2070419999"/>
        <w:placeholder>
          <w:docPart w:val="GBC22222222222222222222222222222"/>
        </w:placeholder>
      </w:sdtPr>
      <w:sdtEndPr/>
      <w:sdtContent>
        <w:p w:rsidR="000C5659" w:rsidRDefault="000E33C4">
          <w:pPr>
            <w:ind w:firstLineChars="200" w:firstLine="420"/>
            <w:rPr>
              <w:color w:val="000000" w:themeColor="text1"/>
            </w:rPr>
          </w:pPr>
          <w:r>
            <w:rPr>
              <w:color w:val="000000" w:themeColor="text1"/>
            </w:rPr>
            <w:t>1.</w:t>
          </w:r>
          <w:r>
            <w:rPr>
              <w:rFonts w:hint="eastAsia"/>
              <w:color w:val="000000" w:themeColor="text1"/>
            </w:rPr>
            <w:t>口腔清洁护理用品及湿巾业务</w:t>
          </w:r>
        </w:p>
        <w:p w:rsidR="000C5659" w:rsidRDefault="000E33C4">
          <w:pPr>
            <w:ind w:firstLineChars="200" w:firstLine="420"/>
            <w:rPr>
              <w:color w:val="000000" w:themeColor="text1"/>
            </w:rPr>
          </w:pPr>
          <w:r>
            <w:rPr>
              <w:rFonts w:hint="eastAsia"/>
              <w:color w:val="000000" w:themeColor="text1"/>
            </w:rPr>
            <w:t>（1）技术研发优势</w:t>
          </w:r>
        </w:p>
        <w:p w:rsidR="000C5659" w:rsidRDefault="000E33C4">
          <w:pPr>
            <w:ind w:firstLineChars="200" w:firstLine="420"/>
            <w:jc w:val="both"/>
            <w:rPr>
              <w:color w:val="000000" w:themeColor="text1"/>
            </w:rPr>
          </w:pPr>
          <w:r>
            <w:rPr>
              <w:rFonts w:hint="eastAsia"/>
              <w:color w:val="000000" w:themeColor="text1"/>
            </w:rPr>
            <w:t>倍加洁是国内知名的口腔及个人护理用品企业，具有较强的研发实力，公司拥有江苏省口腔清洁护理用品工程技术中心；同时建有经</w:t>
          </w:r>
          <w:r>
            <w:rPr>
              <w:color w:val="000000" w:themeColor="text1"/>
            </w:rPr>
            <w:t>CNAS认证的研发检测中心，全资子公司倍加洁日化与恒生模具是国家高新技术企业。</w:t>
          </w:r>
        </w:p>
        <w:p w:rsidR="000C5659" w:rsidRDefault="000E33C4">
          <w:pPr>
            <w:ind w:firstLineChars="200" w:firstLine="420"/>
            <w:jc w:val="both"/>
            <w:rPr>
              <w:color w:val="000000" w:themeColor="text1"/>
            </w:rPr>
          </w:pPr>
          <w:r>
            <w:rPr>
              <w:rFonts w:hint="eastAsia"/>
              <w:color w:val="000000" w:themeColor="text1"/>
            </w:rPr>
            <w:t>从研发团队看，公司一直以来注重产品开发。公司拥有</w:t>
          </w:r>
          <w:r>
            <w:rPr>
              <w:color w:val="000000" w:themeColor="text1"/>
            </w:rPr>
            <w:t>200多名研发及技术人员，拥有300</w:t>
          </w:r>
          <w:r>
            <w:rPr>
              <w:rFonts w:hint="eastAsia"/>
              <w:color w:val="000000" w:themeColor="text1"/>
            </w:rPr>
            <w:t>余</w:t>
          </w:r>
          <w:r>
            <w:rPr>
              <w:color w:val="000000" w:themeColor="text1"/>
            </w:rPr>
            <w:t>项具有自主知识产权的各类专利，形成生产一批、开发一批和储存一批的梯次发展格局，并对产品的前沿进行探索和评估，为公司未来发展提供空间。</w:t>
          </w:r>
        </w:p>
        <w:p w:rsidR="000C5659" w:rsidRDefault="000E33C4">
          <w:pPr>
            <w:ind w:firstLineChars="200" w:firstLine="420"/>
            <w:jc w:val="both"/>
            <w:rPr>
              <w:color w:val="000000" w:themeColor="text1"/>
            </w:rPr>
          </w:pPr>
          <w:r>
            <w:rPr>
              <w:rFonts w:hint="eastAsia"/>
              <w:color w:val="000000" w:themeColor="text1"/>
            </w:rPr>
            <w:t>公司不断开拓创新，持续对设备、工艺和流程进行优化，形成注塑注胶自动化、双色注塑、四色注胶、热流道等方面的专业技术，尤其是注塑产品的工艺改造，不仅提高了生产效率，同时也进一步降低了生产成本。另外，公司具有较强的模具开发能力，子公司恒生模具是国家高新技术企业，设有扬州市非金属精密模具工程技术研究中心，建立了完善的研发管理体系。公司在</w:t>
          </w:r>
          <w:r>
            <w:rPr>
              <w:color w:val="000000" w:themeColor="text1"/>
            </w:rPr>
            <w:t>CNC（全自动化加工中心）、检测、测绘等方面投入了大量资金，在产品设计、开发、成型、模具制作等各方面实现技术提升，拥有各种数量不等的精加工设备，具备年产300</w:t>
          </w:r>
          <w:r>
            <w:rPr>
              <w:rFonts w:hint="eastAsia"/>
              <w:color w:val="000000" w:themeColor="text1"/>
            </w:rPr>
            <w:t>余</w:t>
          </w:r>
          <w:r>
            <w:rPr>
              <w:color w:val="000000" w:themeColor="text1"/>
            </w:rPr>
            <w:t>套各类模具和治具的能力，</w:t>
          </w:r>
          <w:r>
            <w:rPr>
              <w:rFonts w:hint="eastAsia"/>
              <w:color w:val="000000" w:themeColor="text1"/>
            </w:rPr>
            <w:t>为市场拓展和生产的稳定性提供充足保障。</w:t>
          </w:r>
        </w:p>
        <w:p w:rsidR="000C5659" w:rsidRDefault="000E33C4">
          <w:pPr>
            <w:ind w:firstLineChars="200" w:firstLine="420"/>
            <w:jc w:val="both"/>
            <w:rPr>
              <w:color w:val="000000" w:themeColor="text1"/>
            </w:rPr>
          </w:pPr>
          <w:r>
            <w:rPr>
              <w:rFonts w:hint="eastAsia"/>
              <w:color w:val="000000" w:themeColor="text1"/>
            </w:rPr>
            <w:t>从检验检测方面看，全资子公司倍加洁日化的研发检测中心具备一批检测和分析人员，具有各类检测仪器</w:t>
          </w:r>
          <w:r>
            <w:rPr>
              <w:color w:val="000000" w:themeColor="text1"/>
            </w:rPr>
            <w:t>140余台</w:t>
          </w:r>
          <w:r>
            <w:rPr>
              <w:rFonts w:hint="eastAsia"/>
              <w:color w:val="000000" w:themeColor="text1"/>
            </w:rPr>
            <w:t>，</w:t>
          </w:r>
          <w:r>
            <w:rPr>
              <w:color w:val="000000" w:themeColor="text1"/>
            </w:rPr>
            <w:t>包括离子色谱仪（Thermo）、原子吸收光谱仪（PE）、TOC检测仪（GE）、TOC检测仪（Shimadzu）、气相色谱仪（Agilent）、高效液相（Water）、红外光谱检测仪（Thermo）、微生物过滤器（Millipore）、培养箱（Panasonic）、灭菌器（ZEALWAY）、药品稳定性实验箱（STIK）等，检测中心具备产品活性物含量检测、活性物鉴别、COD检测、微生物限度检测、杀菌测试、防腐挑战测试等一系列理化与微生物检测能力，已通过CNAS认证，可出具国际互认的权</w:t>
          </w:r>
          <w:r>
            <w:rPr>
              <w:rFonts w:hint="eastAsia"/>
              <w:color w:val="000000" w:themeColor="text1"/>
            </w:rPr>
            <w:t>威检测报告。</w:t>
          </w:r>
        </w:p>
        <w:p w:rsidR="000C5659" w:rsidRDefault="000E33C4">
          <w:pPr>
            <w:ind w:firstLineChars="200" w:firstLine="420"/>
            <w:jc w:val="both"/>
            <w:rPr>
              <w:color w:val="000000" w:themeColor="text1"/>
            </w:rPr>
          </w:pPr>
          <w:r>
            <w:rPr>
              <w:rFonts w:hint="eastAsia"/>
              <w:color w:val="000000" w:themeColor="text1"/>
            </w:rPr>
            <w:t>此外，公司作为</w:t>
          </w:r>
          <w:r>
            <w:rPr>
              <w:color w:val="000000" w:themeColor="text1"/>
            </w:rPr>
            <w:t>GB 19342-2013《牙刷》、GB 30002-2013《儿童牙刷》、GB 30003-2013《磨尖丝牙刷》、QB/T4543-2013《牙刷用磨尖丝》等多项牙刷领域国家标准主要起草单位，积累了大量行业知识及经验。公司尤其注重产品研发的投入，积极与各口腔护理领域的学术单位交流、合作以及引进国际领先技术和设备，并不断进行自主研发开发新品，既提高了自主创新能力及行业影响力，又为今后的发展奠定了基础。</w:t>
          </w:r>
        </w:p>
        <w:p w:rsidR="000C5659" w:rsidRDefault="000E33C4">
          <w:pPr>
            <w:ind w:firstLineChars="200" w:firstLine="420"/>
            <w:rPr>
              <w:color w:val="000000" w:themeColor="text1"/>
            </w:rPr>
          </w:pPr>
          <w:r>
            <w:rPr>
              <w:rFonts w:hint="eastAsia"/>
              <w:color w:val="000000" w:themeColor="text1"/>
            </w:rPr>
            <w:t>（2）</w:t>
          </w:r>
          <w:r>
            <w:rPr>
              <w:color w:val="000000" w:themeColor="text1"/>
            </w:rPr>
            <w:t>行业地位及丰富的产品线优势</w:t>
          </w:r>
        </w:p>
        <w:p w:rsidR="000C5659" w:rsidRDefault="000E33C4">
          <w:pPr>
            <w:ind w:firstLineChars="200" w:firstLine="420"/>
            <w:jc w:val="both"/>
            <w:rPr>
              <w:color w:val="000000" w:themeColor="text1"/>
            </w:rPr>
          </w:pPr>
          <w:r>
            <w:rPr>
              <w:rFonts w:hint="eastAsia"/>
              <w:color w:val="000000" w:themeColor="text1"/>
            </w:rPr>
            <w:t>目前，公司具备年产</w:t>
          </w:r>
          <w:r>
            <w:rPr>
              <w:color w:val="000000" w:themeColor="text1"/>
            </w:rPr>
            <w:t>6.72亿支牙刷、180亿片湿巾的生产能力，在口腔清洁护理用品和一次性卫生用品行业中均占有重要地位。公司现有口腔清洁护理用品和一次性卫生用品两大产品系列，口腔清洁护理用品涵盖</w:t>
          </w:r>
          <w:r>
            <w:rPr>
              <w:rFonts w:hint="eastAsia"/>
              <w:color w:val="000000" w:themeColor="text1"/>
            </w:rPr>
            <w:t>牙膏、牙刷、</w:t>
          </w:r>
          <w:r>
            <w:rPr>
              <w:color w:val="000000" w:themeColor="text1"/>
            </w:rPr>
            <w:t>牙线、牙线签、齿间刷、假牙清洁片、漱口水、口喷等全系列产品，可以为广大客户提供一站式口腔护理用品产品和服务。另外，一次性卫生用品（湿巾）已覆盖婴儿、妇女、老年、通用、医用等系列，助力公司</w:t>
          </w:r>
          <w:r>
            <w:rPr>
              <w:rFonts w:hint="eastAsia"/>
              <w:color w:val="000000" w:themeColor="text1"/>
            </w:rPr>
            <w:t>主营业务稳定可持续发展。</w:t>
          </w:r>
        </w:p>
        <w:p w:rsidR="000C5659" w:rsidRDefault="000E33C4">
          <w:pPr>
            <w:ind w:firstLineChars="200" w:firstLine="420"/>
            <w:jc w:val="both"/>
            <w:rPr>
              <w:color w:val="000000" w:themeColor="text1"/>
            </w:rPr>
          </w:pPr>
          <w:r>
            <w:rPr>
              <w:rFonts w:hint="eastAsia"/>
              <w:color w:val="000000" w:themeColor="text1"/>
            </w:rPr>
            <w:t>对于口腔清洁护理用品，公司配方类口腔护理产品涵盖牙膏、漱口水、口喷等品类，面向成人和全年龄段儿童需求开发，其中牙膏涉及清洁、防龋、抗敏、护龈等功效，明星产品包含甘草徐长卿草本牙膏、</w:t>
          </w:r>
          <w:r>
            <w:rPr>
              <w:color w:val="000000" w:themeColor="text1"/>
            </w:rPr>
            <w:t>39度热感无水牙膏、益生菌小苏打牙膏、儿童奥拉氟牙膏等</w:t>
          </w:r>
          <w:r>
            <w:rPr>
              <w:rFonts w:hint="eastAsia"/>
              <w:color w:val="000000" w:themeColor="text1"/>
            </w:rPr>
            <w:t>，</w:t>
          </w:r>
          <w:r>
            <w:rPr>
              <w:color w:val="000000" w:themeColor="text1"/>
            </w:rPr>
            <w:t>漱口水及口喷产品种类繁多，具有持久清新、有效减菌、温和0添加等多种功效</w:t>
          </w:r>
          <w:r>
            <w:rPr>
              <w:rFonts w:hint="eastAsia"/>
              <w:color w:val="000000" w:themeColor="text1"/>
            </w:rPr>
            <w:t>；公司牙刷系列产品涵盖儿童全</w:t>
          </w:r>
          <w:r>
            <w:rPr>
              <w:rFonts w:hint="eastAsia"/>
              <w:color w:val="000000" w:themeColor="text1"/>
            </w:rPr>
            <w:lastRenderedPageBreak/>
            <w:t>年龄段及成人不同状态下口腔护理需求产品，其中明星产品有整束牙刷、无铜牙刷、宽头牙刷、秸秆牙刷、炭丝刷毛牙刷等，品类丰富。</w:t>
          </w:r>
        </w:p>
        <w:p w:rsidR="000C5659" w:rsidRDefault="000E33C4">
          <w:pPr>
            <w:ind w:firstLineChars="200" w:firstLine="420"/>
            <w:jc w:val="both"/>
            <w:rPr>
              <w:color w:val="000000" w:themeColor="text1"/>
            </w:rPr>
          </w:pPr>
          <w:r>
            <w:rPr>
              <w:rFonts w:hint="eastAsia"/>
              <w:color w:val="000000" w:themeColor="text1"/>
            </w:rPr>
            <w:t>对于湿巾产品，公司拥有</w:t>
          </w:r>
          <w:r>
            <w:rPr>
              <w:color w:val="000000" w:themeColor="text1"/>
            </w:rPr>
            <w:t>20年湿巾制造的专业经验，研发团队在技术领域深耕并不断创新，在湿巾的设计研发、制造标准、质量管控上，</w:t>
          </w:r>
          <w:r>
            <w:rPr>
              <w:rFonts w:hint="eastAsia"/>
              <w:color w:val="000000" w:themeColor="text1"/>
            </w:rPr>
            <w:t>公司</w:t>
          </w:r>
          <w:r>
            <w:rPr>
              <w:color w:val="000000" w:themeColor="text1"/>
            </w:rPr>
            <w:t>一直走在行业的前端</w:t>
          </w:r>
          <w:r>
            <w:rPr>
              <w:rFonts w:hint="eastAsia"/>
              <w:color w:val="000000" w:themeColor="text1"/>
            </w:rPr>
            <w:t>，产品出口量长期位于国内前列</w:t>
          </w:r>
          <w:r>
            <w:rPr>
              <w:color w:val="000000" w:themeColor="text1"/>
            </w:rPr>
            <w:t>。湿巾产品覆盖范围广泛，现有产品包括婴儿湿巾、卸妆洁面湿巾、杀菌卫生湿巾等，所有产品均严格按照相关法律法规和标准进行生产和质量控制。同时倍加洁日化也是美国医疗市场湿巾的主流供应商之一，销往美国的OTC类医用湿巾产品均严格遵守美国FDA《联邦规章典集》第21篇中相关篇章和美国药典等法规标准要求。</w:t>
          </w:r>
        </w:p>
        <w:p w:rsidR="000C5659" w:rsidRDefault="000E33C4">
          <w:pPr>
            <w:ind w:firstLineChars="200" w:firstLine="420"/>
            <w:jc w:val="both"/>
            <w:rPr>
              <w:color w:val="000000" w:themeColor="text1"/>
            </w:rPr>
          </w:pPr>
          <w:r>
            <w:rPr>
              <w:color w:val="000000" w:themeColor="text1"/>
            </w:rPr>
            <w:t>2020年，倍加洁日化荣获“全国卫生和母婴用品行业湿巾综合竞争力十强企业”称号。2021年，倍加洁日化荣获“2021年度全国卫生和母婴用品擦拭材料综合竞争力十强企业”称号。2022年，倍加洁日化被扬州市地方金融监督管理局评为“扬州市高成长性科技型企业”。2023年，倍加洁日化被江苏省工业和信息化厅评为“省级专精特新企业”。</w:t>
          </w:r>
        </w:p>
        <w:p w:rsidR="000C5659" w:rsidRDefault="000E33C4">
          <w:pPr>
            <w:ind w:firstLineChars="200" w:firstLine="420"/>
            <w:rPr>
              <w:color w:val="000000" w:themeColor="text1"/>
            </w:rPr>
          </w:pPr>
          <w:r>
            <w:rPr>
              <w:rFonts w:hint="eastAsia"/>
              <w:color w:val="000000" w:themeColor="text1"/>
            </w:rPr>
            <w:t>（3）质量控制优势</w:t>
          </w:r>
        </w:p>
        <w:p w:rsidR="000C5659" w:rsidRDefault="000E33C4">
          <w:pPr>
            <w:ind w:firstLineChars="200" w:firstLine="420"/>
            <w:jc w:val="both"/>
            <w:rPr>
              <w:color w:val="000000" w:themeColor="text1"/>
            </w:rPr>
          </w:pPr>
          <w:r>
            <w:rPr>
              <w:rFonts w:hint="eastAsia"/>
              <w:color w:val="000000" w:themeColor="text1"/>
            </w:rPr>
            <w:t>从质量控制看，公司质量控制体系涵盖了新产品开发、验证、供应商管理、制程检验、转序检验、成品检验、客户反馈、数据分析等。公司拥有</w:t>
          </w:r>
          <w:r>
            <w:rPr>
              <w:color w:val="000000" w:themeColor="text1"/>
            </w:rPr>
            <w:t>ISO9001、ISO13485、BRC、ISO22716、GMPC-US体系认证证书，研发检测实验室已通过CNAS认证，可出具国际互认的权威检测报告，多项检测能力和检测设备在国内领先。公司主导和参与了多项国家标准、行业标准的制定，产品质量稳定，在客户中享有较高声誉。</w:t>
          </w:r>
        </w:p>
        <w:p w:rsidR="000C5659" w:rsidRDefault="000E33C4">
          <w:pPr>
            <w:ind w:firstLineChars="200" w:firstLine="420"/>
            <w:rPr>
              <w:color w:val="000000" w:themeColor="text1"/>
            </w:rPr>
          </w:pPr>
          <w:r>
            <w:rPr>
              <w:rFonts w:hint="eastAsia"/>
              <w:color w:val="000000" w:themeColor="text1"/>
            </w:rPr>
            <w:t>（4）</w:t>
          </w:r>
          <w:r>
            <w:rPr>
              <w:color w:val="000000" w:themeColor="text1"/>
            </w:rPr>
            <w:t>客户资源优势</w:t>
          </w:r>
        </w:p>
        <w:p w:rsidR="000C5659" w:rsidRDefault="000E33C4">
          <w:pPr>
            <w:ind w:firstLineChars="200" w:firstLine="420"/>
            <w:jc w:val="both"/>
            <w:rPr>
              <w:color w:val="000000" w:themeColor="text1"/>
            </w:rPr>
          </w:pPr>
          <w:r>
            <w:rPr>
              <w:rFonts w:hint="eastAsia"/>
              <w:color w:val="000000" w:themeColor="text1"/>
            </w:rPr>
            <w:t>公司成立以来，开发并积累了一批优质客户资源，并与之保持了长期稳定的合伙关系。口腔护理产品方面，公司与重庆登康、薇美姿、云南白药、屈臣氏等重点客户建立了合作关系；湿巾产品方面，公司与</w:t>
          </w:r>
          <w:r>
            <w:rPr>
              <w:color w:val="000000" w:themeColor="text1"/>
            </w:rPr>
            <w:t>Medline、CARDINAL HEALTH等客户建立了合作关系。同时，公司聚焦于大客户开发战略，近年来先后开发了多个重点客户</w:t>
          </w:r>
          <w:r>
            <w:rPr>
              <w:rFonts w:hint="eastAsia"/>
              <w:color w:val="000000" w:themeColor="text1"/>
            </w:rPr>
            <w:t>。</w:t>
          </w:r>
        </w:p>
        <w:p w:rsidR="000C5659" w:rsidRDefault="000E33C4">
          <w:pPr>
            <w:ind w:firstLineChars="200" w:firstLine="420"/>
            <w:rPr>
              <w:color w:val="000000" w:themeColor="text1"/>
            </w:rPr>
          </w:pPr>
          <w:r>
            <w:rPr>
              <w:color w:val="000000" w:themeColor="text1"/>
            </w:rPr>
            <w:t>2.</w:t>
          </w:r>
          <w:r>
            <w:rPr>
              <w:rFonts w:hint="eastAsia"/>
              <w:color w:val="000000" w:themeColor="text1"/>
            </w:rPr>
            <w:t>益生菌制品业务</w:t>
          </w:r>
        </w:p>
        <w:p w:rsidR="000C5659" w:rsidRDefault="000E33C4">
          <w:pPr>
            <w:ind w:firstLineChars="200" w:firstLine="420"/>
            <w:jc w:val="both"/>
            <w:rPr>
              <w:color w:val="000000" w:themeColor="text1"/>
            </w:rPr>
          </w:pPr>
          <w:r>
            <w:rPr>
              <w:rFonts w:hint="eastAsia"/>
              <w:color w:val="000000" w:themeColor="text1"/>
            </w:rPr>
            <w:t>（1）研发和技术优势</w:t>
          </w:r>
        </w:p>
        <w:p w:rsidR="000C5659" w:rsidRDefault="000E33C4">
          <w:pPr>
            <w:ind w:firstLineChars="200" w:firstLine="420"/>
            <w:jc w:val="both"/>
            <w:rPr>
              <w:color w:val="000000" w:themeColor="text1"/>
            </w:rPr>
          </w:pPr>
          <w:r>
            <w:rPr>
              <w:rFonts w:hint="eastAsia"/>
              <w:color w:val="000000" w:themeColor="text1"/>
            </w:rPr>
            <w:t>善恩康在江苏苏州、安徽宿州拥有</w:t>
          </w:r>
          <w:r>
            <w:rPr>
              <w:color w:val="000000" w:themeColor="text1"/>
            </w:rPr>
            <w:t>2个研发中心，拥有博硕士及专业研发技术人员40余人、苏州市益生菌应用工程技术中心。拥有5大核心技术平台，掌握益生菌发酵冻干核心制备技术，</w:t>
          </w:r>
          <w:r>
            <w:rPr>
              <w:rFonts w:hint="eastAsia"/>
              <w:color w:val="000000" w:themeColor="text1"/>
            </w:rPr>
            <w:t>主要</w:t>
          </w:r>
          <w:r>
            <w:rPr>
              <w:color w:val="000000" w:themeColor="text1"/>
            </w:rPr>
            <w:t>原</w:t>
          </w:r>
          <w:r>
            <w:rPr>
              <w:rFonts w:hint="eastAsia"/>
              <w:color w:val="000000" w:themeColor="text1"/>
            </w:rPr>
            <w:t>料</w:t>
          </w:r>
          <w:r>
            <w:rPr>
              <w:color w:val="000000" w:themeColor="text1"/>
            </w:rPr>
            <w:t>菌粉</w:t>
          </w:r>
          <w:r>
            <w:rPr>
              <w:rFonts w:hint="eastAsia"/>
              <w:color w:val="000000" w:themeColor="text1"/>
            </w:rPr>
            <w:t>（如鼠李糖乳酪杆菌、植物乳植杆菌）</w:t>
          </w:r>
          <w:r>
            <w:rPr>
              <w:color w:val="000000" w:themeColor="text1"/>
            </w:rPr>
            <w:t>货架期稳定性在中国领先。</w:t>
          </w:r>
          <w:r>
            <w:rPr>
              <w:rFonts w:hint="eastAsia"/>
              <w:color w:val="000000" w:themeColor="text1"/>
            </w:rPr>
            <w:t>善恩康</w:t>
          </w:r>
          <w:r>
            <w:rPr>
              <w:color w:val="000000" w:themeColor="text1"/>
            </w:rPr>
            <w:t>建设了自有知识产权的菌库，包含乳酸菌、双歧杆菌及下一代益生菌8000余株菌</w:t>
          </w:r>
          <w:r>
            <w:rPr>
              <w:rFonts w:hint="eastAsia"/>
              <w:color w:val="000000" w:themeColor="text1"/>
            </w:rPr>
            <w:t>，</w:t>
          </w:r>
          <w:r>
            <w:rPr>
              <w:color w:val="000000" w:themeColor="text1"/>
            </w:rPr>
            <w:t>是国内首家产业化耐温型孢子益生菌BC01和下一代AKK益生菌的企业。</w:t>
          </w:r>
        </w:p>
        <w:p w:rsidR="000C5659" w:rsidRDefault="000E33C4">
          <w:pPr>
            <w:ind w:firstLineChars="200" w:firstLine="420"/>
            <w:jc w:val="both"/>
            <w:rPr>
              <w:color w:val="000000" w:themeColor="text1"/>
            </w:rPr>
          </w:pPr>
          <w:r>
            <w:rPr>
              <w:rFonts w:hint="eastAsia"/>
              <w:color w:val="000000" w:themeColor="text1"/>
            </w:rPr>
            <w:t>善恩康参与制定的《食品用菌种制剂》行业标准</w:t>
          </w:r>
          <w:r>
            <w:rPr>
              <w:color w:val="000000" w:themeColor="text1"/>
            </w:rPr>
            <w:t>QB/T 4575-2023于2023年12月10日发布，2024年7月1日实施</w:t>
          </w:r>
          <w:r>
            <w:rPr>
              <w:rFonts w:hint="eastAsia"/>
              <w:color w:val="000000" w:themeColor="text1"/>
            </w:rPr>
            <w:t>；</w:t>
          </w:r>
          <w:r>
            <w:rPr>
              <w:color w:val="000000" w:themeColor="text1"/>
            </w:rPr>
            <w:t>主导并参与制定的《凝结魏茨曼氏菌计数方法》行业标准QB/T 5949-2023于2023年12月20日发布，2024年7月1日实施</w:t>
          </w:r>
          <w:r>
            <w:rPr>
              <w:rFonts w:hint="eastAsia"/>
              <w:color w:val="000000" w:themeColor="text1"/>
            </w:rPr>
            <w:t>；</w:t>
          </w:r>
          <w:r>
            <w:rPr>
              <w:color w:val="000000" w:themeColor="text1"/>
            </w:rPr>
            <w:t>主导并参与制定的《凝结魏茨曼氏菌菌粉》行业标准QB/T 5940-2024将于2024年10月1日实施</w:t>
          </w:r>
          <w:r>
            <w:rPr>
              <w:rFonts w:hint="eastAsia"/>
              <w:color w:val="000000" w:themeColor="text1"/>
            </w:rPr>
            <w:t>；</w:t>
          </w:r>
          <w:r>
            <w:rPr>
              <w:color w:val="000000" w:themeColor="text1"/>
            </w:rPr>
            <w:t>参与制定的《益生菌制品乳酸菌类后生元》团体标准T/CBFIA 09001-2023、《晶球益生菌》T/CIET 253-2023团体标准，分别</w:t>
          </w:r>
          <w:r>
            <w:rPr>
              <w:rFonts w:hint="eastAsia"/>
              <w:color w:val="000000" w:themeColor="text1"/>
            </w:rPr>
            <w:t>于</w:t>
          </w:r>
          <w:r>
            <w:rPr>
              <w:color w:val="000000" w:themeColor="text1"/>
            </w:rPr>
            <w:t>2023年1月9日、2023年10月25日发布。</w:t>
          </w:r>
        </w:p>
        <w:p w:rsidR="000C5659" w:rsidRDefault="000E33C4">
          <w:pPr>
            <w:ind w:firstLineChars="200" w:firstLine="420"/>
            <w:jc w:val="both"/>
            <w:rPr>
              <w:color w:val="000000" w:themeColor="text1"/>
            </w:rPr>
          </w:pPr>
          <w:r>
            <w:rPr>
              <w:rFonts w:hint="eastAsia"/>
              <w:color w:val="000000" w:themeColor="text1"/>
            </w:rPr>
            <w:t>（2）丰富的技术成果积累</w:t>
          </w:r>
        </w:p>
        <w:p w:rsidR="000C5659" w:rsidRDefault="000E33C4">
          <w:pPr>
            <w:ind w:firstLineChars="200" w:firstLine="420"/>
            <w:jc w:val="both"/>
            <w:rPr>
              <w:color w:val="000000" w:themeColor="text1"/>
            </w:rPr>
          </w:pPr>
          <w:r>
            <w:rPr>
              <w:rFonts w:hint="eastAsia"/>
              <w:color w:val="000000" w:themeColor="text1"/>
            </w:rPr>
            <w:t>善恩康凭借其深厚的技术积累、广泛的业务布局以及卓越的市场表现，逐渐成为了行业内有影响力的企业。截至</w:t>
          </w:r>
          <w:r>
            <w:rPr>
              <w:color w:val="000000" w:themeColor="text1"/>
            </w:rPr>
            <w:t>2024年6月30日，</w:t>
          </w:r>
          <w:r>
            <w:rPr>
              <w:rFonts w:hint="eastAsia"/>
              <w:color w:val="000000" w:themeColor="text1"/>
            </w:rPr>
            <w:t>善恩康</w:t>
          </w:r>
          <w:r>
            <w:rPr>
              <w:color w:val="000000" w:themeColor="text1"/>
            </w:rPr>
            <w:t>已授权拥有与益生菌相关的中国发明专利57项、中国实用新型专利21项</w:t>
          </w:r>
          <w:r>
            <w:rPr>
              <w:rFonts w:hint="eastAsia"/>
              <w:color w:val="000000" w:themeColor="text1"/>
            </w:rPr>
            <w:t>、</w:t>
          </w:r>
          <w:r>
            <w:rPr>
              <w:color w:val="000000" w:themeColor="text1"/>
            </w:rPr>
            <w:t>中国外观设计专利1项</w:t>
          </w:r>
          <w:r>
            <w:rPr>
              <w:rFonts w:hint="eastAsia"/>
              <w:color w:val="000000" w:themeColor="text1"/>
            </w:rPr>
            <w:t>、</w:t>
          </w:r>
          <w:r>
            <w:rPr>
              <w:color w:val="000000" w:themeColor="text1"/>
            </w:rPr>
            <w:t>中国香港发明专利6项、澳大利亚专利4项，申请了4项PCT国际专利。</w:t>
          </w:r>
        </w:p>
        <w:p w:rsidR="000C5659" w:rsidRDefault="000E33C4">
          <w:pPr>
            <w:ind w:firstLineChars="200" w:firstLine="420"/>
            <w:jc w:val="both"/>
            <w:rPr>
              <w:color w:val="000000" w:themeColor="text1"/>
            </w:rPr>
          </w:pPr>
          <w:r>
            <w:rPr>
              <w:rFonts w:hint="eastAsia"/>
              <w:color w:val="000000" w:themeColor="text1"/>
            </w:rPr>
            <w:t>作为科研创新的前沿，高校拥有雄厚的科研实力、丰富的学术资源和先进的研究平台。善恩康与中国农业大学、华东理工大学、南昌大学、西南大学、暨南大学等高校紧密合作，取得了一系列显著成果，针对便秘、肠炎、结直肠癌预防、高脂血症、代谢综合征、高胆固醇管理以及肾炎治疗等多个健康领域的关键作用靶点，成功开展了多项动物实验与临床试验，并参与发表了</w:t>
          </w:r>
          <w:r>
            <w:rPr>
              <w:color w:val="000000" w:themeColor="text1"/>
            </w:rPr>
            <w:t>34篇SCI学术论文及7篇中文核心期刊论文。这些成就不仅彰显了</w:t>
          </w:r>
          <w:r>
            <w:rPr>
              <w:rFonts w:hint="eastAsia"/>
              <w:color w:val="000000" w:themeColor="text1"/>
            </w:rPr>
            <w:t>善恩康</w:t>
          </w:r>
          <w:r>
            <w:rPr>
              <w:color w:val="000000" w:themeColor="text1"/>
            </w:rPr>
            <w:t>的技术实力与创新能力，还促进了产学研的深度融合，推动了行业的技术进步与产业升级。同时，这些成果也将极大提升</w:t>
          </w:r>
          <w:r>
            <w:rPr>
              <w:rFonts w:hint="eastAsia"/>
              <w:color w:val="000000" w:themeColor="text1"/>
            </w:rPr>
            <w:t>善恩康</w:t>
          </w:r>
          <w:r>
            <w:rPr>
              <w:color w:val="000000" w:themeColor="text1"/>
            </w:rPr>
            <w:t>的品牌价</w:t>
          </w:r>
          <w:r>
            <w:rPr>
              <w:rFonts w:hint="eastAsia"/>
              <w:color w:val="000000" w:themeColor="text1"/>
            </w:rPr>
            <w:t>值和市场竞争力，为其长远发展奠定坚实的基础。</w:t>
          </w:r>
        </w:p>
        <w:p w:rsidR="000C5659" w:rsidRDefault="000E33C4">
          <w:pPr>
            <w:ind w:firstLineChars="200" w:firstLine="420"/>
            <w:jc w:val="both"/>
            <w:rPr>
              <w:color w:val="000000" w:themeColor="text1"/>
            </w:rPr>
          </w:pPr>
          <w:r>
            <w:rPr>
              <w:rFonts w:hint="eastAsia"/>
              <w:color w:val="000000" w:themeColor="text1"/>
            </w:rPr>
            <w:t>（3）产品特色及优势</w:t>
          </w:r>
        </w:p>
        <w:p w:rsidR="000C5659" w:rsidRDefault="000E33C4">
          <w:pPr>
            <w:ind w:firstLineChars="200" w:firstLine="420"/>
            <w:jc w:val="both"/>
            <w:rPr>
              <w:color w:val="000000" w:themeColor="text1"/>
            </w:rPr>
          </w:pPr>
          <w:r>
            <w:rPr>
              <w:rFonts w:hint="eastAsia"/>
              <w:color w:val="000000" w:themeColor="text1"/>
            </w:rPr>
            <w:t>善恩康技术和产品具有“三新”特色和“三好”优势。</w:t>
          </w:r>
        </w:p>
        <w:p w:rsidR="000C5659" w:rsidRDefault="000E33C4">
          <w:pPr>
            <w:ind w:firstLineChars="200" w:firstLine="420"/>
            <w:jc w:val="both"/>
            <w:rPr>
              <w:color w:val="000000" w:themeColor="text1"/>
            </w:rPr>
          </w:pPr>
          <w:r>
            <w:rPr>
              <w:rFonts w:hint="eastAsia"/>
              <w:color w:val="000000" w:themeColor="text1"/>
            </w:rPr>
            <w:lastRenderedPageBreak/>
            <w:t>善恩康产品三新特色为：新一代益生菌制备核心技术、新一代益生菌明星产品、新型</w:t>
          </w:r>
          <w:r>
            <w:rPr>
              <w:color w:val="000000" w:themeColor="text1"/>
            </w:rPr>
            <w:t>CDMO业务模式。</w:t>
          </w:r>
        </w:p>
        <w:p w:rsidR="000C5659" w:rsidRDefault="000E33C4">
          <w:pPr>
            <w:ind w:firstLineChars="200" w:firstLine="420"/>
            <w:jc w:val="both"/>
            <w:rPr>
              <w:color w:val="000000" w:themeColor="text1"/>
            </w:rPr>
          </w:pPr>
          <w:r>
            <w:rPr>
              <w:rFonts w:hint="eastAsia"/>
              <w:color w:val="000000" w:themeColor="text1"/>
            </w:rPr>
            <w:t>善恩康产品践行“三好”标准：安全性好、科学性好、活性好。安全性好包括菌株来源清晰、有安全性评估报告、有全基因组监测报告；科学性好包括有体外细胞试验、有动物模型验证、有临床验证；活性好包括货架期稳定性好、耐胃肠液能力好、抗逆性好（温度）。</w:t>
          </w:r>
        </w:p>
        <w:p w:rsidR="000C5659" w:rsidRDefault="000E33C4">
          <w:pPr>
            <w:ind w:firstLineChars="200" w:firstLine="420"/>
            <w:jc w:val="both"/>
            <w:rPr>
              <w:color w:val="000000" w:themeColor="text1"/>
            </w:rPr>
          </w:pPr>
          <w:r>
            <w:rPr>
              <w:rFonts w:hint="eastAsia"/>
              <w:color w:val="000000" w:themeColor="text1"/>
            </w:rPr>
            <w:t>益生菌对于肠道、免疫、代谢、精神、女性等健康有积极作用，而优质的益生菌是发挥这些健康功效的基础，善恩康通过建立益生菌三好标准，解决优质益生菌的标准问题，从而为消费者提供优质有效的益生菌产品。</w:t>
          </w:r>
        </w:p>
        <w:p w:rsidR="000C5659" w:rsidRDefault="000E33C4">
          <w:pPr>
            <w:ind w:firstLineChars="200" w:firstLine="420"/>
            <w:jc w:val="both"/>
            <w:rPr>
              <w:color w:val="000000" w:themeColor="text1"/>
            </w:rPr>
          </w:pPr>
          <w:r>
            <w:rPr>
              <w:rFonts w:hint="eastAsia"/>
              <w:color w:val="000000" w:themeColor="text1"/>
            </w:rPr>
            <w:t>（4）食品安全与质量管理</w:t>
          </w:r>
        </w:p>
        <w:p w:rsidR="000C5659" w:rsidRDefault="000E33C4">
          <w:pPr>
            <w:ind w:firstLineChars="200" w:firstLine="420"/>
            <w:jc w:val="both"/>
            <w:rPr>
              <w:color w:val="000000" w:themeColor="text1"/>
            </w:rPr>
          </w:pPr>
          <w:r>
            <w:rPr>
              <w:rFonts w:hint="eastAsia"/>
              <w:color w:val="000000" w:themeColor="text1"/>
            </w:rPr>
            <w:t>食品安全与质量管理直接关系到消费者的健康、企业的声誉以及整个行业的健康发展。善恩康高度重视质量安全工作，不断加强质量管理和技术创新，为消费者提供更加安全、有效的益生菌产品。善恩康建立了严格、完善的质量和食品安全管理体系，通过了</w:t>
          </w:r>
          <w:r>
            <w:rPr>
              <w:color w:val="000000" w:themeColor="text1"/>
            </w:rPr>
            <w:t>NSF cGMP（现行优良制造标准认证）、FSSC 22000（食品安全体系认证）、ISO 22000（食品安全管理体系）、HACCP（危害分析及关键控制点）、HALAL（清真认证）、KOSHER（犹太洁食认证）等国际体系认证，</w:t>
          </w:r>
          <w:r>
            <w:rPr>
              <w:rFonts w:hint="eastAsia"/>
              <w:color w:val="000000" w:themeColor="text1"/>
            </w:rPr>
            <w:t>善恩康</w:t>
          </w:r>
          <w:r>
            <w:rPr>
              <w:color w:val="000000" w:themeColor="text1"/>
            </w:rPr>
            <w:t>的食品安全管理和产品质量管理标准较为完善，获得客户的广泛</w:t>
          </w:r>
          <w:r>
            <w:rPr>
              <w:rFonts w:hint="eastAsia"/>
              <w:color w:val="000000" w:themeColor="text1"/>
            </w:rPr>
            <w:t>认可。</w:t>
          </w:r>
        </w:p>
        <w:p w:rsidR="000C5659" w:rsidRDefault="000E33C4">
          <w:pPr>
            <w:ind w:firstLineChars="200" w:firstLine="420"/>
            <w:jc w:val="both"/>
            <w:rPr>
              <w:color w:val="000000" w:themeColor="text1"/>
            </w:rPr>
          </w:pPr>
          <w:r>
            <w:rPr>
              <w:rFonts w:hint="eastAsia"/>
              <w:color w:val="000000" w:themeColor="text1"/>
            </w:rPr>
            <w:t>（5）经验丰富的管理团队</w:t>
          </w:r>
        </w:p>
        <w:p w:rsidR="000C5659" w:rsidRDefault="000E33C4">
          <w:pPr>
            <w:ind w:firstLineChars="200" w:firstLine="420"/>
            <w:jc w:val="both"/>
            <w:rPr>
              <w:color w:val="000000" w:themeColor="text1"/>
            </w:rPr>
          </w:pPr>
          <w:r>
            <w:rPr>
              <w:rFonts w:hint="eastAsia"/>
              <w:color w:val="000000" w:themeColor="text1"/>
            </w:rPr>
            <w:t>善恩康的管理团队由具有丰富经验和深厚专业知识的核心管理层、研发、销售和供应链团队成员组成，他们共同推动技术创新和业务发展。同时，善恩康与多家科研院校、科研单位和医院的紧密合作也为其长远发展提供了有力保障，主要高级管理人员、核心技术人员均在善恩康或益生菌行业服务多年，积累了丰度的益生菌原料及衍生品的行业经验。掌握益生菌发酵冻干核心制备技术，对行业发展趋势有良好的专业判断，可较敏锐地抓住市场机会。</w:t>
          </w:r>
        </w:p>
        <w:p w:rsidR="000C5659" w:rsidRDefault="000E33C4">
          <w:pPr>
            <w:ind w:firstLineChars="200" w:firstLine="420"/>
            <w:jc w:val="both"/>
            <w:rPr>
              <w:color w:val="000000" w:themeColor="text1"/>
            </w:rPr>
          </w:pPr>
          <w:r>
            <w:rPr>
              <w:rFonts w:hint="eastAsia"/>
              <w:color w:val="000000" w:themeColor="text1"/>
            </w:rPr>
            <w:t>（6）先进的生产工艺和装备</w:t>
          </w:r>
        </w:p>
        <w:p w:rsidR="000C5659" w:rsidRDefault="000E33C4">
          <w:pPr>
            <w:ind w:firstLineChars="200" w:firstLine="420"/>
            <w:jc w:val="both"/>
            <w:rPr>
              <w:color w:val="000000" w:themeColor="text1"/>
            </w:rPr>
          </w:pPr>
          <w:r>
            <w:rPr>
              <w:rFonts w:hint="eastAsia"/>
              <w:color w:val="000000" w:themeColor="text1"/>
            </w:rPr>
            <w:t>善恩康经过多年的技术研发投入，积累了多项先进的生产工艺技术，包含基于多尺度代谢调控的高密度发酵技术、冻干包埋保护技术、制剂稳定性技术等。配备先进的生产装备，包含全自动发酵系统、进口蝶式高效分离设备、自动灭菌翻板式冻干机、</w:t>
          </w:r>
          <w:r>
            <w:rPr>
              <w:color w:val="000000" w:themeColor="text1"/>
            </w:rPr>
            <w:t>15列全自动包装机等。</w:t>
          </w:r>
        </w:p>
      </w:sdtContent>
    </w:sdt>
    <w:p w:rsidR="000C5659" w:rsidRDefault="000C5659">
      <w:pPr>
        <w:rPr>
          <w:color w:val="000000" w:themeColor="text1"/>
        </w:rPr>
      </w:pPr>
    </w:p>
    <w:p w:rsidR="000C5659" w:rsidRDefault="000E33C4">
      <w:pPr>
        <w:pStyle w:val="2"/>
        <w:numPr>
          <w:ilvl w:val="0"/>
          <w:numId w:val="6"/>
        </w:numPr>
        <w:tabs>
          <w:tab w:val="left" w:pos="426"/>
        </w:tabs>
        <w:ind w:left="422" w:hanging="422"/>
        <w:jc w:val="left"/>
        <w:rPr>
          <w:rFonts w:ascii="宋体" w:hAnsi="宋体" w:cs="宋体"/>
          <w:color w:val="000000" w:themeColor="text1"/>
          <w:kern w:val="0"/>
          <w:szCs w:val="24"/>
        </w:rPr>
      </w:pPr>
      <w:r>
        <w:rPr>
          <w:rFonts w:ascii="宋体" w:hAnsi="宋体" w:cs="宋体"/>
          <w:color w:val="000000" w:themeColor="text1"/>
          <w:kern w:val="0"/>
          <w:szCs w:val="24"/>
        </w:rPr>
        <w:t>经营情况的讨论与分析</w:t>
      </w:r>
    </w:p>
    <w:sdt>
      <w:sdtPr>
        <w:rPr>
          <w:rFonts w:hint="eastAsia"/>
          <w:color w:val="000000" w:themeColor="text1"/>
        </w:rPr>
        <w:alias w:val="管理层讨论与分析"/>
        <w:tag w:val="_GBC_886258ec69e240da99b57ac102afbda6"/>
        <w:id w:val="1519189747"/>
        <w:placeholder>
          <w:docPart w:val="GBC22222222222222222222222222222"/>
        </w:placeholder>
      </w:sdtPr>
      <w:sdtEndPr/>
      <w:sdtContent>
        <w:p w:rsidR="000C5659" w:rsidRDefault="000E33C4">
          <w:pPr>
            <w:ind w:firstLineChars="200" w:firstLine="420"/>
            <w:jc w:val="both"/>
            <w:rPr>
              <w:color w:val="000000" w:themeColor="text1"/>
            </w:rPr>
          </w:pPr>
          <w:r>
            <w:rPr>
              <w:rFonts w:hint="eastAsia"/>
              <w:color w:val="000000" w:themeColor="text1"/>
            </w:rPr>
            <w:t>202</w:t>
          </w:r>
          <w:r>
            <w:rPr>
              <w:color w:val="000000" w:themeColor="text1"/>
            </w:rPr>
            <w:t>4</w:t>
          </w:r>
          <w:r>
            <w:rPr>
              <w:rFonts w:hint="eastAsia"/>
              <w:color w:val="000000" w:themeColor="text1"/>
            </w:rPr>
            <w:t>年上半年，公司在年度经营计划的目标牵引下，积极开展各项工作。尽管面临着行业竞争日趋激烈、国际政治及经济形势复杂多变等诸多不确定性因素，在公司管理团队的带领下，公司上</w:t>
          </w:r>
          <w:r w:rsidR="00D7346F">
            <w:rPr>
              <w:rFonts w:hint="eastAsia"/>
              <w:color w:val="000000" w:themeColor="text1"/>
            </w:rPr>
            <w:t>下一心，积极应对，采取多种行之有效的措施，公司实现了营业收入大幅</w:t>
          </w:r>
          <w:r>
            <w:rPr>
              <w:rFonts w:hint="eastAsia"/>
              <w:color w:val="000000" w:themeColor="text1"/>
            </w:rPr>
            <w:t>增长，归母净利润有一定下降。</w:t>
          </w:r>
        </w:p>
        <w:p w:rsidR="000C5659" w:rsidRDefault="000E33C4">
          <w:pPr>
            <w:ind w:firstLineChars="200" w:firstLine="420"/>
            <w:jc w:val="both"/>
            <w:rPr>
              <w:color w:val="000000" w:themeColor="text1"/>
            </w:rPr>
          </w:pPr>
          <w:r>
            <w:rPr>
              <w:color w:val="000000" w:themeColor="text1"/>
            </w:rPr>
            <w:t>2024年上半年</w:t>
          </w:r>
          <w:r>
            <w:rPr>
              <w:rFonts w:hint="eastAsia"/>
              <w:color w:val="000000" w:themeColor="text1"/>
            </w:rPr>
            <w:t>，公</w:t>
          </w:r>
          <w:r>
            <w:rPr>
              <w:color w:val="000000" w:themeColor="text1"/>
            </w:rPr>
            <w:t>司实现营业收入620,160,522.82元</w:t>
          </w:r>
          <w:r>
            <w:rPr>
              <w:rFonts w:hint="eastAsia"/>
              <w:color w:val="000000" w:themeColor="text1"/>
            </w:rPr>
            <w:t>，</w:t>
          </w:r>
          <w:r>
            <w:rPr>
              <w:color w:val="000000" w:themeColor="text1"/>
            </w:rPr>
            <w:t>同比增长28.60%；实现</w:t>
          </w:r>
          <w:r>
            <w:rPr>
              <w:rFonts w:hint="eastAsia"/>
              <w:color w:val="000000" w:themeColor="text1"/>
            </w:rPr>
            <w:t>归母</w:t>
          </w:r>
          <w:r>
            <w:rPr>
              <w:color w:val="000000" w:themeColor="text1"/>
            </w:rPr>
            <w:t>净利润33,142,878.09元，同比</w:t>
          </w:r>
          <w:r>
            <w:rPr>
              <w:rFonts w:hint="eastAsia"/>
              <w:color w:val="000000" w:themeColor="text1"/>
            </w:rPr>
            <w:t>减少</w:t>
          </w:r>
          <w:r>
            <w:rPr>
              <w:color w:val="000000" w:themeColor="text1"/>
            </w:rPr>
            <w:t>9.36%</w:t>
          </w:r>
          <w:r>
            <w:rPr>
              <w:rFonts w:hint="eastAsia"/>
              <w:color w:val="000000" w:themeColor="text1"/>
            </w:rPr>
            <w:t>。</w:t>
          </w:r>
          <w:r>
            <w:rPr>
              <w:color w:val="000000" w:themeColor="text1"/>
            </w:rPr>
            <w:t>报告期内开展的主要工作有</w:t>
          </w:r>
          <w:r>
            <w:rPr>
              <w:rFonts w:hint="eastAsia"/>
              <w:color w:val="000000" w:themeColor="text1"/>
            </w:rPr>
            <w:t>：</w:t>
          </w:r>
        </w:p>
        <w:p w:rsidR="000C5659" w:rsidRDefault="000E33C4">
          <w:pPr>
            <w:ind w:firstLineChars="200" w:firstLine="420"/>
            <w:jc w:val="both"/>
            <w:rPr>
              <w:color w:val="000000" w:themeColor="text1"/>
            </w:rPr>
          </w:pPr>
          <w:r>
            <w:rPr>
              <w:rFonts w:hint="eastAsia"/>
              <w:color w:val="000000" w:themeColor="text1"/>
            </w:rPr>
            <w:t>一是公司产品中心通过人才培养和组织架构调整，实现了人才梯度的优化。以产品管理部P</w:t>
          </w:r>
          <w:r>
            <w:rPr>
              <w:color w:val="000000" w:themeColor="text1"/>
            </w:rPr>
            <w:t>DT</w:t>
          </w:r>
          <w:r>
            <w:rPr>
              <w:rFonts w:hint="eastAsia"/>
              <w:color w:val="000000" w:themeColor="text1"/>
            </w:rPr>
            <w:t>拉通团队和资源，为项目按时高质量达成提供了保障，新品准交率达到9</w:t>
          </w:r>
          <w:r>
            <w:rPr>
              <w:color w:val="000000" w:themeColor="text1"/>
            </w:rPr>
            <w:t>5%</w:t>
          </w:r>
          <w:r>
            <w:rPr>
              <w:rFonts w:hint="eastAsia"/>
              <w:color w:val="000000" w:themeColor="text1"/>
            </w:rPr>
            <w:t>。研发技术领域推进持续创新，上半年获得发明专利6项；设计领域获得世界三大设计奖之一的“红点设计大奖”；另编写各类知识文档上百篇。在产品标准化上，优化精简多品类物料，推进产品平台和技术平台建设。</w:t>
          </w:r>
        </w:p>
        <w:p w:rsidR="000C5659" w:rsidRDefault="000E33C4">
          <w:pPr>
            <w:ind w:firstLineChars="200" w:firstLine="420"/>
            <w:jc w:val="both"/>
            <w:rPr>
              <w:color w:val="000000" w:themeColor="text1"/>
            </w:rPr>
          </w:pPr>
          <w:r>
            <w:rPr>
              <w:rFonts w:hint="eastAsia"/>
              <w:color w:val="000000" w:themeColor="text1"/>
            </w:rPr>
            <w:t>二是公司充分认识信息化环境下打造新型能力的重要性和必要性，围绕订单快速响应与交付能力，在现有工业化设备设施、</w:t>
          </w:r>
          <w:r>
            <w:rPr>
              <w:color w:val="000000" w:themeColor="text1"/>
            </w:rPr>
            <w:t>IT&amp;OT网络等基础设施基础上，通过SAP、CRM、SRM、MES、WMS系统的集成</w:t>
          </w:r>
          <w:r>
            <w:rPr>
              <w:rFonts w:hint="eastAsia"/>
              <w:color w:val="000000" w:themeColor="text1"/>
            </w:rPr>
            <w:t>，</w:t>
          </w:r>
          <w:r>
            <w:rPr>
              <w:color w:val="000000" w:themeColor="text1"/>
            </w:rPr>
            <w:t>实现了基于生产订单的快速响应与交付管理</w:t>
          </w:r>
          <w:r>
            <w:rPr>
              <w:rFonts w:hint="eastAsia"/>
              <w:color w:val="000000" w:themeColor="text1"/>
            </w:rPr>
            <w:t>。公司</w:t>
          </w:r>
          <w:r>
            <w:rPr>
              <w:color w:val="000000" w:themeColor="text1"/>
            </w:rPr>
            <w:t>始终坚持信息化建设，牙膏作为2024年的战略性业务，公司信息部门牵头完成牙膏产品防串货采集系统实施，建立</w:t>
          </w:r>
          <w:r>
            <w:rPr>
              <w:rFonts w:hint="eastAsia"/>
              <w:color w:val="000000" w:themeColor="text1"/>
            </w:rPr>
            <w:t>倍加洁</w:t>
          </w:r>
          <w:r>
            <w:rPr>
              <w:color w:val="000000" w:themeColor="text1"/>
            </w:rPr>
            <w:t>牙膏产品一物一码系统，加强内部生产质量追溯能力，为客户市场监督防串货管理、渠道库存管理、以及消费者营销数字化提供数据支撑。</w:t>
          </w:r>
        </w:p>
        <w:p w:rsidR="000C5659" w:rsidRDefault="000E33C4">
          <w:pPr>
            <w:ind w:firstLineChars="200" w:firstLine="420"/>
            <w:jc w:val="both"/>
            <w:rPr>
              <w:color w:val="000000" w:themeColor="text1"/>
            </w:rPr>
          </w:pPr>
          <w:r>
            <w:rPr>
              <w:rFonts w:hint="eastAsia"/>
              <w:color w:val="000000" w:themeColor="text1"/>
            </w:rPr>
            <w:t>三是公司制造中心持续攻坚自动化技术突破，工艺设备革新实现减员</w:t>
          </w:r>
          <w:r>
            <w:rPr>
              <w:color w:val="000000" w:themeColor="text1"/>
            </w:rPr>
            <w:t>137人，沉淀了126</w:t>
          </w:r>
          <w:r w:rsidR="00D7346F">
            <w:rPr>
              <w:color w:val="000000" w:themeColor="text1"/>
            </w:rPr>
            <w:t>项改善</w:t>
          </w:r>
          <w:r w:rsidR="00D7346F">
            <w:rPr>
              <w:rFonts w:hint="eastAsia"/>
              <w:color w:val="000000" w:themeColor="text1"/>
            </w:rPr>
            <w:t>成果</w:t>
          </w:r>
          <w:r>
            <w:rPr>
              <w:color w:val="000000" w:themeColor="text1"/>
            </w:rPr>
            <w:t>，获得6项专利，人均营收同比去年稳步提升；成立12个专项改善小组，通过团队合作，解决了多个困扰生产的疑难问题，构建持续改善氛围，持续提升客户满意</w:t>
          </w:r>
          <w:r>
            <w:rPr>
              <w:rFonts w:hint="eastAsia"/>
              <w:color w:val="000000" w:themeColor="text1"/>
            </w:rPr>
            <w:t>度</w:t>
          </w:r>
          <w:r>
            <w:rPr>
              <w:color w:val="000000" w:themeColor="text1"/>
            </w:rPr>
            <w:t>；在准期交付方面，通过高效产能规划、缩短生产时间、半成品平衡管控，实现所有产品线准期交付率始终保持在96%，生产周期缩短10%</w:t>
          </w:r>
          <w:r>
            <w:rPr>
              <w:rFonts w:hint="eastAsia"/>
              <w:color w:val="000000" w:themeColor="text1"/>
            </w:rPr>
            <w:t>；</w:t>
          </w:r>
          <w:r>
            <w:rPr>
              <w:color w:val="000000" w:themeColor="text1"/>
            </w:rPr>
            <w:t>节能降耗技术持续创新，储能项目导入，注塑远红外加热技术引入，实现万元产值能耗对比同期下降15%</w:t>
          </w:r>
          <w:r>
            <w:rPr>
              <w:rFonts w:hint="eastAsia"/>
              <w:color w:val="000000" w:themeColor="text1"/>
            </w:rPr>
            <w:t>。</w:t>
          </w:r>
        </w:p>
        <w:p w:rsidR="000C5659" w:rsidRDefault="000E33C4">
          <w:pPr>
            <w:ind w:firstLineChars="200" w:firstLine="420"/>
            <w:jc w:val="both"/>
            <w:rPr>
              <w:color w:val="000000" w:themeColor="text1"/>
            </w:rPr>
          </w:pPr>
          <w:r>
            <w:rPr>
              <w:rFonts w:hint="eastAsia"/>
              <w:color w:val="000000" w:themeColor="text1"/>
            </w:rPr>
            <w:lastRenderedPageBreak/>
            <w:t>四是公司质量管理涵盖了质量文化建设、质量体系改进与流程优化、开发质量、供方质量、制程质量、成品检验、市场质量等。公司通过</w:t>
          </w:r>
          <w:r w:rsidR="00D7346F">
            <w:rPr>
              <w:color w:val="000000" w:themeColor="text1"/>
            </w:rPr>
            <w:t>ISO90</w:t>
          </w:r>
          <w:r>
            <w:rPr>
              <w:color w:val="000000" w:themeColor="text1"/>
            </w:rPr>
            <w:t>01、ISO13485、BRC、ISO22716等体系认证，并成立近15个质量专项改善小组，通过团队合作，解决了多个疑难问题</w:t>
          </w:r>
          <w:r>
            <w:rPr>
              <w:rFonts w:hint="eastAsia"/>
              <w:color w:val="000000" w:themeColor="text1"/>
            </w:rPr>
            <w:t>。</w:t>
          </w:r>
        </w:p>
        <w:p w:rsidR="000C5659" w:rsidRDefault="000E33C4">
          <w:pPr>
            <w:ind w:firstLineChars="200" w:firstLine="420"/>
            <w:jc w:val="both"/>
            <w:rPr>
              <w:color w:val="000000" w:themeColor="text1"/>
            </w:rPr>
          </w:pPr>
          <w:r>
            <w:rPr>
              <w:rFonts w:hint="eastAsia"/>
              <w:color w:val="000000" w:themeColor="text1"/>
            </w:rPr>
            <w:t>五是公司对绩效管理工作进行了进一步落地细化，对经营指标分解合理性、绩效管理过程及结果应用等环节进行不断优化，牵引组织及员工不断实现绩效改善提升、导向公司经营目标实现；同时公司根据年度经营需求对营销、产品、制造组织架构进一步优化，各组织的干部人选配置也进行了年度审视及调整，以确保各经营单元的架构机制、流程以及组织建设具备承接经营目标的能力；人力资源中心在报告期内还引进了一批高级管理、专业技术人才，扩大招聘了重点院校本科及硕士应届毕业生，通过这三支队伍的引进、培养发展及留用，提升了公司人才队伍的厚度及高度，优化了整体人才结构，人力资源产出效能与去年同期相比也有了显著提升。</w:t>
          </w:r>
        </w:p>
        <w:p w:rsidR="000C5659" w:rsidRDefault="00D7346F" w:rsidP="00D7346F">
          <w:pPr>
            <w:ind w:firstLineChars="200" w:firstLine="420"/>
            <w:rPr>
              <w:color w:val="000000" w:themeColor="text1"/>
            </w:rPr>
          </w:pPr>
          <w:r w:rsidRPr="00D7346F">
            <w:rPr>
              <w:rFonts w:hint="eastAsia"/>
              <w:color w:val="000000" w:themeColor="text1"/>
            </w:rPr>
            <w:t>六是除内生式增长外，公司还坚持外延式发展策略。2024年4月7日，公司通过股权转让及增资方式取得善恩康52.0006%</w:t>
          </w:r>
          <w:r w:rsidR="000E63A5">
            <w:rPr>
              <w:rFonts w:hint="eastAsia"/>
              <w:color w:val="000000" w:themeColor="text1"/>
            </w:rPr>
            <w:t>股权</w:t>
          </w:r>
          <w:r>
            <w:rPr>
              <w:rFonts w:hint="eastAsia"/>
              <w:color w:val="000000" w:themeColor="text1"/>
            </w:rPr>
            <w:t>，</w:t>
          </w:r>
          <w:r w:rsidRPr="00D7346F">
            <w:rPr>
              <w:rFonts w:hint="eastAsia"/>
              <w:color w:val="000000" w:themeColor="text1"/>
            </w:rPr>
            <w:t>完成相关工商变更、登记手续，并取得昆山市行政审批局换发的《</w:t>
          </w:r>
          <w:r>
            <w:rPr>
              <w:rFonts w:hint="eastAsia"/>
              <w:color w:val="000000" w:themeColor="text1"/>
            </w:rPr>
            <w:t>营业执照》，正式成为公司的控股子公司，纳入公司合并财务报表范围。</w:t>
          </w:r>
          <w:r w:rsidRPr="00D7346F">
            <w:rPr>
              <w:rFonts w:hint="eastAsia"/>
              <w:color w:val="000000" w:themeColor="text1"/>
            </w:rPr>
            <w:t>公司全资子公司南京沄洁参与了薇美姿1.59%股权的网络竞拍，最终以起拍价2,531.47万元人民币成功竞得，待南京沄洁取得拍卖成交裁定及各方办结其他相关股权转让手续后，公司合计持有薇美姿的股权比例将增加至33.8612%，有利于进一步提升整个供应链的协同价值，更好地满足消费者的需求。</w:t>
          </w:r>
        </w:p>
      </w:sdtContent>
    </w:sdt>
    <w:p w:rsidR="000C5659" w:rsidRDefault="000C5659">
      <w:pPr>
        <w:rPr>
          <w:color w:val="000000" w:themeColor="text1"/>
        </w:rPr>
      </w:pPr>
    </w:p>
    <w:p w:rsidR="000C5659" w:rsidRDefault="000E33C4">
      <w:pPr>
        <w:rPr>
          <w:b/>
          <w:bCs/>
          <w:color w:val="000000" w:themeColor="text1"/>
        </w:rPr>
      </w:pPr>
      <w:r>
        <w:rPr>
          <w:rFonts w:hint="eastAsia"/>
          <w:b/>
          <w:color w:val="000000" w:themeColor="text1"/>
        </w:rPr>
        <w:t>报告期内公司经营情况的重大变化，以及报告期内发生的对公司经营情况有重大影响和预计未来会有重大影响的事项</w:t>
      </w:r>
    </w:p>
    <w:sdt>
      <w:sdtPr>
        <w:rPr>
          <w:rFonts w:hint="eastAsia"/>
          <w:color w:val="000000" w:themeColor="text1"/>
        </w:rPr>
        <w:alias w:val="是否适用：报告期内公司经营情况的重大变化，以及报告期内发生的对公司经营情况有重大影响和预计未来会有重大影响的事项[双击切换]"/>
        <w:tag w:val="_GBC_0f91ff55b5a9406ea662149119d7e23c"/>
        <w:id w:val="29650063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Pr="00D7346F" w:rsidRDefault="000E33C4" w:rsidP="00D7346F">
      <w:pPr>
        <w:pStyle w:val="2"/>
        <w:numPr>
          <w:ilvl w:val="0"/>
          <w:numId w:val="6"/>
        </w:numPr>
        <w:tabs>
          <w:tab w:val="left" w:pos="426"/>
        </w:tabs>
        <w:ind w:left="422" w:hanging="422"/>
        <w:jc w:val="left"/>
        <w:rPr>
          <w:rFonts w:ascii="宋体" w:hAnsi="宋体" w:cs="宋体"/>
          <w:color w:val="000000" w:themeColor="text1"/>
          <w:kern w:val="0"/>
          <w:szCs w:val="24"/>
        </w:rPr>
      </w:pPr>
      <w:r w:rsidRPr="00D7346F">
        <w:rPr>
          <w:rFonts w:ascii="宋体" w:hAnsi="宋体" w:cs="宋体" w:hint="eastAsia"/>
          <w:color w:val="000000" w:themeColor="text1"/>
          <w:kern w:val="0"/>
          <w:szCs w:val="24"/>
        </w:rPr>
        <w:t>报告期内主要经营情况</w:t>
      </w:r>
    </w:p>
    <w:p w:rsidR="000C5659" w:rsidRDefault="000E33C4" w:rsidP="000743DD">
      <w:pPr>
        <w:pStyle w:val="35"/>
        <w:numPr>
          <w:ilvl w:val="0"/>
          <w:numId w:val="7"/>
        </w:numPr>
        <w:rPr>
          <w:rFonts w:ascii="宋体" w:hAnsi="宋体"/>
          <w:color w:val="000000" w:themeColor="text1"/>
        </w:rPr>
      </w:pPr>
      <w:bookmarkStart w:id="30" w:name="_Toc342559738"/>
      <w:bookmarkStart w:id="31" w:name="_Toc342565895"/>
      <w:r>
        <w:rPr>
          <w:rFonts w:ascii="宋体" w:hAnsi="宋体" w:hint="eastAsia"/>
          <w:color w:val="000000" w:themeColor="text1"/>
        </w:rPr>
        <w:t>主营业务分析</w:t>
      </w:r>
      <w:bookmarkEnd w:id="30"/>
      <w:bookmarkEnd w:id="31"/>
    </w:p>
    <w:p w:rsidR="000C5659" w:rsidRDefault="000E33C4" w:rsidP="000743DD">
      <w:pPr>
        <w:pStyle w:val="43"/>
        <w:numPr>
          <w:ilvl w:val="0"/>
          <w:numId w:val="8"/>
        </w:numPr>
        <w:rPr>
          <w:rFonts w:ascii="宋体" w:hAnsi="宋体"/>
          <w:color w:val="000000" w:themeColor="text1"/>
        </w:rPr>
      </w:pPr>
      <w:bookmarkStart w:id="32" w:name="_Toc342565896"/>
      <w:bookmarkStart w:id="33" w:name="_Toc342559739"/>
      <w:r>
        <w:rPr>
          <w:rFonts w:ascii="宋体" w:hAnsi="宋体" w:hint="eastAsia"/>
          <w:color w:val="000000" w:themeColor="text1"/>
        </w:rPr>
        <w:t>财务报表相关科目变动分析表</w:t>
      </w:r>
      <w:bookmarkEnd w:id="32"/>
      <w:bookmarkEnd w:id="33"/>
    </w:p>
    <w:p w:rsidR="000C5659" w:rsidRDefault="000E33C4">
      <w:pPr>
        <w:pStyle w:val="Style175"/>
        <w:ind w:left="360" w:firstLineChars="0" w:firstLine="0"/>
        <w:jc w:val="right"/>
        <w:rPr>
          <w:rFonts w:ascii="宋体" w:hAnsi="宋体"/>
          <w:color w:val="000000" w:themeColor="text1"/>
        </w:rPr>
      </w:pPr>
      <w:bookmarkStart w:id="34" w:name="_Hlk10208083"/>
      <w:r>
        <w:rPr>
          <w:rFonts w:ascii="宋体" w:hAnsi="宋体" w:hint="eastAsia"/>
          <w:color w:val="000000" w:themeColor="text1"/>
          <w:szCs w:val="21"/>
        </w:rPr>
        <w:t>单位</w:t>
      </w:r>
      <w:r>
        <w:rPr>
          <w:rFonts w:ascii="宋体" w:hAnsi="宋体"/>
          <w:color w:val="000000" w:themeColor="text1"/>
          <w:szCs w:val="21"/>
        </w:rPr>
        <w:t>：</w:t>
      </w:r>
      <w:sdt>
        <w:sdtPr>
          <w:rPr>
            <w:rFonts w:ascii="宋体" w:hAnsi="宋体"/>
            <w:color w:val="000000" w:themeColor="text1"/>
            <w:szCs w:val="21"/>
          </w:rPr>
          <w:alias w:val="单位：利润表及现金流量表相关科目变动分析表"/>
          <w:tag w:val="_GBC_ece1a77905b94e6db0c76206578fe2db"/>
          <w:id w:val="2379156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r>
        <w:rPr>
          <w:rFonts w:ascii="宋体" w:hAnsi="宋体"/>
          <w:color w:val="000000" w:themeColor="text1"/>
          <w:szCs w:val="21"/>
        </w:rPr>
        <w:t>：</w:t>
      </w:r>
      <w:sdt>
        <w:sdtPr>
          <w:rPr>
            <w:rFonts w:ascii="宋体" w:hAnsi="宋体"/>
            <w:color w:val="000000" w:themeColor="text1"/>
            <w:szCs w:val="21"/>
          </w:rPr>
          <w:alias w:val="币种：利润表及现金流量表相关科目变动分析表"/>
          <w:tag w:val="_GBC_6c86f79f9e2349b09f37ad908cd43f73"/>
          <w:id w:val="-582301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2"/>
        <w:tblW w:w="4992" w:type="pct"/>
        <w:tblLook w:val="04A0" w:firstRow="1" w:lastRow="0" w:firstColumn="1" w:lastColumn="0" w:noHBand="0" w:noVBand="1"/>
      </w:tblPr>
      <w:tblGrid>
        <w:gridCol w:w="3007"/>
        <w:gridCol w:w="2073"/>
        <w:gridCol w:w="1934"/>
        <w:gridCol w:w="1795"/>
      </w:tblGrid>
      <w:tr w:rsidR="000C5659">
        <w:sdt>
          <w:sdtPr>
            <w:rPr>
              <w:rFonts w:ascii="宋体" w:hAnsi="宋体"/>
              <w:color w:val="000000" w:themeColor="text1"/>
            </w:rPr>
            <w:tag w:val="_PLD_2e2e0d1bb8d44a278061305ea6808979"/>
            <w:id w:val="1775516481"/>
          </w:sdtPr>
          <w:sdtEndPr/>
          <w:sdtContent>
            <w:tc>
              <w:tcPr>
                <w:tcW w:w="1705" w:type="pct"/>
              </w:tcPr>
              <w:p w:rsidR="000C5659" w:rsidRDefault="000E33C4">
                <w:pPr>
                  <w:pStyle w:val="Style175"/>
                  <w:ind w:firstLineChars="0" w:firstLine="0"/>
                  <w:rPr>
                    <w:rFonts w:ascii="宋体" w:hAnsi="宋体"/>
                    <w:color w:val="000000" w:themeColor="text1"/>
                    <w:szCs w:val="21"/>
                  </w:rPr>
                </w:pPr>
                <w:r>
                  <w:rPr>
                    <w:rFonts w:ascii="宋体" w:hAnsi="宋体" w:hint="eastAsia"/>
                    <w:color w:val="000000" w:themeColor="text1"/>
                    <w:szCs w:val="21"/>
                  </w:rPr>
                  <w:t>科目</w:t>
                </w:r>
              </w:p>
            </w:tc>
          </w:sdtContent>
        </w:sdt>
        <w:sdt>
          <w:sdtPr>
            <w:rPr>
              <w:rFonts w:ascii="宋体" w:hAnsi="宋体"/>
              <w:color w:val="000000" w:themeColor="text1"/>
            </w:rPr>
            <w:tag w:val="_PLD_37391874ab08430b841a55f53c4d20e6"/>
            <w:id w:val="2002854622"/>
          </w:sdtPr>
          <w:sdtEndPr/>
          <w:sdtContent>
            <w:tc>
              <w:tcPr>
                <w:tcW w:w="1176" w:type="pct"/>
                <w:vAlign w:val="center"/>
              </w:tcPr>
              <w:p w:rsidR="000C5659" w:rsidRDefault="000E33C4">
                <w:pPr>
                  <w:pStyle w:val="Style175"/>
                  <w:ind w:firstLineChars="0" w:firstLine="0"/>
                  <w:jc w:val="center"/>
                  <w:rPr>
                    <w:rFonts w:ascii="宋体" w:hAnsi="宋体"/>
                    <w:color w:val="000000" w:themeColor="text1"/>
                    <w:szCs w:val="21"/>
                  </w:rPr>
                </w:pPr>
                <w:r>
                  <w:rPr>
                    <w:rFonts w:ascii="宋体" w:hAnsi="宋体" w:hint="eastAsia"/>
                    <w:color w:val="000000" w:themeColor="text1"/>
                    <w:szCs w:val="21"/>
                  </w:rPr>
                  <w:t>本期数</w:t>
                </w:r>
              </w:p>
            </w:tc>
          </w:sdtContent>
        </w:sdt>
        <w:sdt>
          <w:sdtPr>
            <w:rPr>
              <w:rFonts w:ascii="宋体" w:hAnsi="宋体"/>
              <w:color w:val="000000" w:themeColor="text1"/>
            </w:rPr>
            <w:tag w:val="_PLD_d061bf6d7e824e93a5540d2e36feb15d"/>
            <w:id w:val="-476461794"/>
          </w:sdtPr>
          <w:sdtEndPr/>
          <w:sdtContent>
            <w:tc>
              <w:tcPr>
                <w:tcW w:w="1098" w:type="pct"/>
                <w:vAlign w:val="center"/>
              </w:tcPr>
              <w:p w:rsidR="000C5659" w:rsidRDefault="000E33C4">
                <w:pPr>
                  <w:pStyle w:val="Style175"/>
                  <w:ind w:firstLineChars="0" w:firstLine="0"/>
                  <w:jc w:val="center"/>
                  <w:rPr>
                    <w:rFonts w:ascii="宋体" w:hAnsi="宋体"/>
                    <w:color w:val="000000" w:themeColor="text1"/>
                    <w:szCs w:val="21"/>
                  </w:rPr>
                </w:pPr>
                <w:r>
                  <w:rPr>
                    <w:rFonts w:ascii="宋体" w:hAnsi="宋体" w:hint="eastAsia"/>
                    <w:color w:val="000000" w:themeColor="text1"/>
                    <w:szCs w:val="21"/>
                  </w:rPr>
                  <w:t>上年同期数</w:t>
                </w:r>
              </w:p>
            </w:tc>
          </w:sdtContent>
        </w:sdt>
        <w:sdt>
          <w:sdtPr>
            <w:rPr>
              <w:rFonts w:ascii="宋体" w:hAnsi="宋体"/>
              <w:color w:val="000000" w:themeColor="text1"/>
            </w:rPr>
            <w:tag w:val="_PLD_1792b71106c34c75af22292391c96e49"/>
            <w:id w:val="1694648995"/>
          </w:sdtPr>
          <w:sdtEndPr/>
          <w:sdtContent>
            <w:tc>
              <w:tcPr>
                <w:tcW w:w="1019" w:type="pct"/>
                <w:vAlign w:val="center"/>
              </w:tcPr>
              <w:p w:rsidR="000C5659" w:rsidRDefault="000E33C4">
                <w:pPr>
                  <w:pStyle w:val="Style175"/>
                  <w:ind w:firstLineChars="0" w:firstLine="0"/>
                  <w:jc w:val="center"/>
                  <w:rPr>
                    <w:rFonts w:ascii="宋体" w:hAnsi="宋体"/>
                    <w:color w:val="000000" w:themeColor="text1"/>
                    <w:szCs w:val="21"/>
                  </w:rPr>
                </w:pPr>
                <w:r>
                  <w:rPr>
                    <w:rFonts w:ascii="宋体" w:hAnsi="宋体" w:hint="eastAsia"/>
                    <w:color w:val="000000" w:themeColor="text1"/>
                    <w:szCs w:val="21"/>
                  </w:rPr>
                  <w:t>变动比例（%）</w:t>
                </w:r>
              </w:p>
            </w:tc>
          </w:sdtContent>
        </w:sdt>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hint="eastAsia"/>
                <w:color w:val="000000" w:themeColor="text1"/>
                <w:szCs w:val="21"/>
              </w:rPr>
              <w:t>营业收入</w:t>
            </w:r>
          </w:p>
        </w:tc>
        <w:tc>
          <w:tcPr>
            <w:tcW w:w="1176" w:type="pct"/>
          </w:tcPr>
          <w:p w:rsidR="000C5659" w:rsidRDefault="000E33C4">
            <w:pPr>
              <w:pStyle w:val="Style175"/>
              <w:ind w:firstLineChars="0" w:firstLine="0"/>
              <w:jc w:val="right"/>
              <w:rPr>
                <w:rFonts w:ascii="宋体" w:hAnsi="宋体" w:cs="宋体"/>
                <w:szCs w:val="21"/>
              </w:rPr>
            </w:pPr>
            <w:r>
              <w:rPr>
                <w:rFonts w:ascii="宋体" w:hAnsi="宋体" w:cs="宋体" w:hint="eastAsia"/>
              </w:rPr>
              <w:t>620,160,522.82</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482,250,410.36</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rPr>
              <w:t>2</w:t>
            </w:r>
            <w:r>
              <w:rPr>
                <w:rFonts w:ascii="宋体" w:hAnsi="宋体" w:cs="宋体"/>
              </w:rPr>
              <w:t>8.60</w:t>
            </w:r>
          </w:p>
        </w:tc>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color w:val="000000" w:themeColor="text1"/>
                <w:szCs w:val="21"/>
              </w:rPr>
              <w:t>营业成本</w:t>
            </w:r>
          </w:p>
        </w:tc>
        <w:tc>
          <w:tcPr>
            <w:tcW w:w="1176" w:type="pct"/>
          </w:tcPr>
          <w:p w:rsidR="000C5659" w:rsidRDefault="000E33C4">
            <w:pPr>
              <w:pStyle w:val="Style175"/>
              <w:ind w:firstLineChars="0" w:firstLine="0"/>
              <w:jc w:val="right"/>
              <w:rPr>
                <w:rFonts w:ascii="宋体" w:hAnsi="宋体" w:cs="宋体"/>
                <w:szCs w:val="21"/>
              </w:rPr>
            </w:pPr>
            <w:r>
              <w:rPr>
                <w:rFonts w:ascii="宋体" w:hAnsi="宋体" w:cs="宋体" w:hint="eastAsia"/>
              </w:rPr>
              <w:t>463,448,932.88</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372,733,091.96</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rPr>
              <w:t>24.</w:t>
            </w:r>
            <w:r>
              <w:rPr>
                <w:rFonts w:ascii="宋体" w:hAnsi="宋体" w:cs="宋体"/>
              </w:rPr>
              <w:t>3</w:t>
            </w:r>
            <w:r>
              <w:rPr>
                <w:rFonts w:ascii="宋体" w:hAnsi="宋体" w:cs="宋体" w:hint="eastAsia"/>
              </w:rPr>
              <w:t>4</w:t>
            </w:r>
          </w:p>
        </w:tc>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color w:val="000000" w:themeColor="text1"/>
                <w:szCs w:val="21"/>
              </w:rPr>
              <w:t>销售费用</w:t>
            </w:r>
          </w:p>
        </w:tc>
        <w:tc>
          <w:tcPr>
            <w:tcW w:w="1176" w:type="pct"/>
          </w:tcPr>
          <w:p w:rsidR="000C5659" w:rsidRDefault="000E33C4">
            <w:pPr>
              <w:pStyle w:val="Style175"/>
              <w:ind w:firstLineChars="0" w:firstLine="0"/>
              <w:jc w:val="right"/>
              <w:rPr>
                <w:rFonts w:ascii="宋体" w:hAnsi="宋体" w:cs="宋体"/>
                <w:szCs w:val="21"/>
              </w:rPr>
            </w:pPr>
            <w:r>
              <w:rPr>
                <w:rFonts w:ascii="宋体" w:hAnsi="宋体" w:cs="宋体" w:hint="eastAsia"/>
              </w:rPr>
              <w:t>44,104,877.71</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31,031,777.51</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rPr>
              <w:t>42</w:t>
            </w:r>
            <w:r>
              <w:rPr>
                <w:rFonts w:ascii="宋体" w:hAnsi="宋体" w:cs="宋体"/>
              </w:rPr>
              <w:t>.13</w:t>
            </w:r>
          </w:p>
        </w:tc>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color w:val="000000" w:themeColor="text1"/>
                <w:szCs w:val="21"/>
              </w:rPr>
              <w:t>管理费用</w:t>
            </w:r>
          </w:p>
        </w:tc>
        <w:tc>
          <w:tcPr>
            <w:tcW w:w="1176" w:type="pct"/>
          </w:tcPr>
          <w:p w:rsidR="000C5659" w:rsidRDefault="000E33C4">
            <w:pPr>
              <w:pStyle w:val="Style175"/>
              <w:ind w:firstLineChars="0" w:firstLine="0"/>
              <w:jc w:val="right"/>
              <w:rPr>
                <w:rFonts w:ascii="宋体" w:hAnsi="宋体" w:cs="宋体"/>
                <w:szCs w:val="21"/>
              </w:rPr>
            </w:pPr>
            <w:r>
              <w:rPr>
                <w:rFonts w:ascii="宋体" w:hAnsi="宋体" w:cs="宋体" w:hint="eastAsia"/>
              </w:rPr>
              <w:t>25,906,967.51</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24,660,931.26</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rPr>
              <w:t>5</w:t>
            </w:r>
            <w:r>
              <w:rPr>
                <w:rFonts w:ascii="宋体" w:hAnsi="宋体" w:cs="宋体"/>
              </w:rPr>
              <w:t>.</w:t>
            </w:r>
            <w:r>
              <w:rPr>
                <w:rFonts w:ascii="宋体" w:hAnsi="宋体" w:cs="宋体" w:hint="eastAsia"/>
              </w:rPr>
              <w:t>05</w:t>
            </w:r>
          </w:p>
        </w:tc>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color w:val="000000" w:themeColor="text1"/>
                <w:szCs w:val="21"/>
              </w:rPr>
              <w:t>财务费用</w:t>
            </w:r>
          </w:p>
        </w:tc>
        <w:tc>
          <w:tcPr>
            <w:tcW w:w="1176" w:type="pct"/>
          </w:tcPr>
          <w:p w:rsidR="000C5659" w:rsidRDefault="000E33C4">
            <w:pPr>
              <w:pStyle w:val="Style175"/>
              <w:ind w:firstLineChars="0" w:firstLine="0"/>
              <w:jc w:val="right"/>
              <w:rPr>
                <w:rFonts w:ascii="宋体" w:hAnsi="宋体" w:cs="宋体"/>
                <w:szCs w:val="21"/>
              </w:rPr>
            </w:pPr>
            <w:r>
              <w:rPr>
                <w:rFonts w:ascii="宋体" w:hAnsi="宋体" w:cs="宋体" w:hint="eastAsia"/>
              </w:rPr>
              <w:t>652,177.84</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-2,041,092.28</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szCs w:val="21"/>
              </w:rPr>
              <w:t>不适用</w:t>
            </w:r>
          </w:p>
        </w:tc>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hint="eastAsia"/>
                <w:color w:val="000000" w:themeColor="text1"/>
                <w:szCs w:val="21"/>
              </w:rPr>
              <w:t>研发费用</w:t>
            </w:r>
          </w:p>
        </w:tc>
        <w:tc>
          <w:tcPr>
            <w:tcW w:w="1176" w:type="pct"/>
          </w:tcPr>
          <w:p w:rsidR="000C5659" w:rsidRDefault="000E33C4">
            <w:pPr>
              <w:pStyle w:val="Style175"/>
              <w:ind w:firstLineChars="0" w:firstLine="0"/>
              <w:jc w:val="right"/>
              <w:rPr>
                <w:rFonts w:ascii="宋体" w:hAnsi="宋体" w:cs="宋体"/>
                <w:szCs w:val="21"/>
              </w:rPr>
            </w:pPr>
            <w:r>
              <w:rPr>
                <w:rFonts w:ascii="宋体" w:hAnsi="宋体" w:cs="宋体" w:hint="eastAsia"/>
              </w:rPr>
              <w:t>20,729,096.00</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13,974,699.93</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szCs w:val="21"/>
              </w:rPr>
              <w:t>48.33</w:t>
            </w:r>
          </w:p>
        </w:tc>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color w:val="000000" w:themeColor="text1"/>
                <w:szCs w:val="21"/>
              </w:rPr>
              <w:t>经营活动产生的现金流量净额</w:t>
            </w:r>
          </w:p>
        </w:tc>
        <w:tc>
          <w:tcPr>
            <w:tcW w:w="1176" w:type="pct"/>
            <w:shd w:val="clear" w:color="auto" w:fill="auto"/>
            <w:vAlign w:val="bottom"/>
          </w:tcPr>
          <w:p w:rsidR="000C5659" w:rsidRDefault="000E33C4">
            <w:pPr>
              <w:jc w:val="right"/>
              <w:textAlignment w:val="bottom"/>
              <w:rPr>
                <w:rFonts w:ascii="等线" w:eastAsia="等线" w:hAnsi="等线" w:cs="等线"/>
                <w:color w:val="000000"/>
                <w:sz w:val="22"/>
                <w:szCs w:val="22"/>
              </w:rPr>
            </w:pPr>
            <w:r>
              <w:rPr>
                <w:rFonts w:asciiTheme="minorEastAsia" w:eastAsiaTheme="minorEastAsia" w:hAnsiTheme="minorEastAsia" w:cstheme="minorEastAsia" w:hint="eastAsia"/>
                <w:color w:val="000000"/>
                <w:lang w:bidi="ar"/>
              </w:rPr>
              <w:t xml:space="preserve"> 65,410,112.97</w:t>
            </w:r>
            <w:r>
              <w:rPr>
                <w:rFonts w:ascii="等线" w:eastAsia="等线" w:hAnsi="等线" w:cs="等线" w:hint="eastAsia"/>
                <w:color w:val="000000"/>
                <w:sz w:val="22"/>
                <w:szCs w:val="22"/>
                <w:lang w:bidi="ar"/>
              </w:rPr>
              <w:t xml:space="preserve"> </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52,400,223.28</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rPr>
              <w:t>2</w:t>
            </w:r>
            <w:r>
              <w:rPr>
                <w:rFonts w:ascii="宋体" w:hAnsi="宋体" w:cs="宋体"/>
              </w:rPr>
              <w:t>4.</w:t>
            </w:r>
            <w:r>
              <w:rPr>
                <w:rFonts w:ascii="宋体" w:hAnsi="宋体" w:cs="宋体" w:hint="eastAsia"/>
              </w:rPr>
              <w:t>83</w:t>
            </w:r>
          </w:p>
        </w:tc>
      </w:tr>
      <w:tr w:rsidR="000C5659">
        <w:trPr>
          <w:trHeight w:val="90"/>
        </w:trPr>
        <w:tc>
          <w:tcPr>
            <w:tcW w:w="1705" w:type="pct"/>
          </w:tcPr>
          <w:p w:rsidR="000C5659" w:rsidRDefault="000E33C4">
            <w:pPr>
              <w:pStyle w:val="Style175"/>
              <w:ind w:firstLineChars="0" w:firstLine="0"/>
              <w:rPr>
                <w:rFonts w:ascii="宋体" w:hAnsi="宋体"/>
                <w:color w:val="000000" w:themeColor="text1"/>
                <w:szCs w:val="21"/>
              </w:rPr>
            </w:pPr>
            <w:r>
              <w:rPr>
                <w:rFonts w:ascii="宋体" w:hAnsi="宋体"/>
                <w:color w:val="000000" w:themeColor="text1"/>
                <w:szCs w:val="21"/>
              </w:rPr>
              <w:t>投资活动产生的现金流量净额</w:t>
            </w:r>
          </w:p>
        </w:tc>
        <w:tc>
          <w:tcPr>
            <w:tcW w:w="1176" w:type="pct"/>
            <w:shd w:val="clear" w:color="auto" w:fill="auto"/>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-145,864,105.72 </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-64,736,671.36</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rPr>
              <w:t>不适用</w:t>
            </w:r>
          </w:p>
        </w:tc>
      </w:tr>
      <w:tr w:rsidR="000C5659">
        <w:tc>
          <w:tcPr>
            <w:tcW w:w="1705" w:type="pct"/>
          </w:tcPr>
          <w:p w:rsidR="000C5659" w:rsidRDefault="000E33C4">
            <w:pPr>
              <w:pStyle w:val="Style175"/>
              <w:ind w:firstLineChars="0" w:firstLine="0"/>
              <w:rPr>
                <w:rFonts w:ascii="宋体" w:hAnsi="宋体"/>
                <w:color w:val="000000" w:themeColor="text1"/>
                <w:szCs w:val="21"/>
              </w:rPr>
            </w:pPr>
            <w:r>
              <w:rPr>
                <w:rFonts w:ascii="宋体" w:hAnsi="宋体"/>
                <w:color w:val="000000" w:themeColor="text1"/>
                <w:szCs w:val="21"/>
              </w:rPr>
              <w:t>筹资活动产生的现金流量净额</w:t>
            </w:r>
          </w:p>
        </w:tc>
        <w:tc>
          <w:tcPr>
            <w:tcW w:w="1176" w:type="pct"/>
            <w:shd w:val="clear" w:color="auto" w:fill="auto"/>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77,336,329.21 </w:t>
            </w:r>
          </w:p>
        </w:tc>
        <w:tc>
          <w:tcPr>
            <w:tcW w:w="1098" w:type="pct"/>
          </w:tcPr>
          <w:p w:rsidR="000C5659" w:rsidRDefault="000E33C4">
            <w:pPr>
              <w:pStyle w:val="Style175"/>
              <w:ind w:firstLineChars="0" w:firstLine="0"/>
              <w:jc w:val="right"/>
              <w:rPr>
                <w:rFonts w:ascii="宋体" w:hAnsi="宋体" w:cs="宋体"/>
                <w:szCs w:val="21"/>
              </w:rPr>
            </w:pPr>
            <w:r>
              <w:rPr>
                <w:rFonts w:ascii="宋体" w:hAnsi="宋体" w:cs="宋体" w:hint="eastAsia"/>
              </w:rPr>
              <w:t>159,526,953.05</w:t>
            </w:r>
          </w:p>
        </w:tc>
        <w:tc>
          <w:tcPr>
            <w:tcW w:w="1019" w:type="pct"/>
          </w:tcPr>
          <w:p w:rsidR="000C5659" w:rsidRDefault="000E33C4">
            <w:pPr>
              <w:pStyle w:val="Style175"/>
              <w:ind w:firstLineChars="0" w:firstLine="0"/>
              <w:jc w:val="right"/>
              <w:rPr>
                <w:rFonts w:ascii="宋体" w:hAnsi="宋体" w:cs="宋体"/>
                <w:szCs w:val="21"/>
              </w:rPr>
            </w:pPr>
            <w:r>
              <w:rPr>
                <w:rFonts w:ascii="宋体" w:hAnsi="宋体" w:cs="宋体" w:hint="eastAsia"/>
              </w:rPr>
              <w:t>-5</w:t>
            </w:r>
            <w:r>
              <w:rPr>
                <w:rFonts w:ascii="宋体" w:hAnsi="宋体" w:cs="宋体"/>
              </w:rPr>
              <w:t>1.52</w:t>
            </w:r>
          </w:p>
        </w:tc>
      </w:tr>
    </w:tbl>
    <w:p w:rsidR="000C5659" w:rsidRDefault="000C5659">
      <w:pPr>
        <w:pStyle w:val="Style325"/>
      </w:pPr>
    </w:p>
    <w:p w:rsidR="000C5659" w:rsidRDefault="000E33C4">
      <w:pPr>
        <w:pStyle w:val="Style175"/>
        <w:ind w:firstLineChars="0" w:firstLine="0"/>
        <w:jc w:val="left"/>
        <w:rPr>
          <w:rFonts w:ascii="宋体" w:hAnsi="宋体"/>
          <w:color w:val="000000" w:themeColor="text1"/>
        </w:rPr>
      </w:pPr>
      <w:r>
        <w:rPr>
          <w:rFonts w:ascii="宋体" w:hAnsi="宋体" w:hint="eastAsia"/>
          <w:color w:val="000000" w:themeColor="text1"/>
        </w:rPr>
        <w:t>营业收入变动原因说明：</w:t>
      </w:r>
      <w:sdt>
        <w:sdtPr>
          <w:rPr>
            <w:rFonts w:ascii="宋体" w:hAnsi="宋体"/>
            <w:color w:val="000000" w:themeColor="text1"/>
            <w:szCs w:val="21"/>
          </w:rPr>
          <w:alias w:val="营业收入变动原因说明"/>
          <w:tag w:val="_GBC_f42c61e6c2ef46fe886ea6ecdd4ea15b"/>
          <w:id w:val="-1254736369"/>
          <w:placeholder>
            <w:docPart w:val="GBC22222222222222222222222222222"/>
          </w:placeholder>
        </w:sdtPr>
        <w:sdtEndPr/>
        <w:sdtContent>
          <w:r>
            <w:rPr>
              <w:rFonts w:ascii="宋体" w:hAnsi="宋体" w:hint="eastAsia"/>
              <w:color w:val="000000" w:themeColor="text1"/>
              <w:szCs w:val="21"/>
            </w:rPr>
            <w:t>主要系口腔护理产品销售增长影响及新合并入益生菌销售的影响。</w:t>
          </w:r>
        </w:sdtContent>
      </w:sdt>
    </w:p>
    <w:p w:rsidR="000C5659" w:rsidRDefault="000E33C4">
      <w:pPr>
        <w:pStyle w:val="Style175"/>
        <w:ind w:firstLineChars="0" w:firstLine="0"/>
        <w:jc w:val="left"/>
        <w:rPr>
          <w:rFonts w:ascii="宋体" w:hAnsi="宋体"/>
          <w:color w:val="000000" w:themeColor="text1"/>
        </w:rPr>
      </w:pPr>
      <w:r>
        <w:rPr>
          <w:rFonts w:ascii="宋体" w:hAnsi="宋体" w:hint="eastAsia"/>
          <w:color w:val="000000" w:themeColor="text1"/>
        </w:rPr>
        <w:t>营业成本变动原因说明：</w:t>
      </w:r>
      <w:sdt>
        <w:sdtPr>
          <w:rPr>
            <w:rFonts w:ascii="宋体" w:hAnsi="宋体" w:hint="eastAsia"/>
            <w:color w:val="000000" w:themeColor="text1"/>
          </w:rPr>
          <w:alias w:val="营业成本变动原因说明"/>
          <w:tag w:val="_GBC_4ab47071f9844da58abe164f6bd272aa"/>
          <w:id w:val="676546097"/>
          <w:placeholder>
            <w:docPart w:val="GBC22222222222222222222222222222"/>
          </w:placeholder>
        </w:sdtPr>
        <w:sdtEndPr/>
        <w:sdtContent>
          <w:r>
            <w:rPr>
              <w:rFonts w:ascii="宋体" w:hAnsi="宋体" w:hint="eastAsia"/>
              <w:color w:val="000000" w:themeColor="text1"/>
            </w:rPr>
            <w:t xml:space="preserve">主要系口腔护理产品销售增长带来的成本同趋势增长。　　</w:t>
          </w:r>
        </w:sdtContent>
      </w:sdt>
    </w:p>
    <w:p w:rsidR="000C5659" w:rsidRDefault="000E33C4">
      <w:pPr>
        <w:pStyle w:val="Style175"/>
        <w:ind w:firstLineChars="0" w:firstLine="0"/>
        <w:jc w:val="left"/>
        <w:rPr>
          <w:rFonts w:ascii="宋体" w:hAnsi="宋体"/>
          <w:color w:val="000000" w:themeColor="text1"/>
        </w:rPr>
      </w:pPr>
      <w:r>
        <w:rPr>
          <w:rFonts w:ascii="宋体" w:hAnsi="宋体" w:hint="eastAsia"/>
          <w:color w:val="000000" w:themeColor="text1"/>
        </w:rPr>
        <w:t>销售费用变动原因说明：</w:t>
      </w:r>
      <w:sdt>
        <w:sdtPr>
          <w:rPr>
            <w:rFonts w:ascii="宋体" w:hAnsi="宋体" w:hint="eastAsia"/>
            <w:color w:val="000000" w:themeColor="text1"/>
          </w:rPr>
          <w:alias w:val="销售费用变动原因说明"/>
          <w:tag w:val="_GBC_d8f3d3236009445ca57b171f1c954fae"/>
          <w:id w:val="439958259"/>
          <w:placeholder>
            <w:docPart w:val="GBC22222222222222222222222222222"/>
          </w:placeholder>
        </w:sdtPr>
        <w:sdtEndPr/>
        <w:sdtContent>
          <w:r>
            <w:rPr>
              <w:rFonts w:ascii="宋体" w:hAnsi="宋体" w:hint="eastAsia"/>
              <w:color w:val="000000" w:themeColor="text1"/>
            </w:rPr>
            <w:t>主要系自有品牌运营费投入增加影响。</w:t>
          </w:r>
        </w:sdtContent>
      </w:sdt>
    </w:p>
    <w:p w:rsidR="000C5659" w:rsidRDefault="000E33C4">
      <w:pPr>
        <w:pStyle w:val="Style175"/>
        <w:ind w:firstLineChars="0" w:firstLine="0"/>
        <w:jc w:val="left"/>
        <w:rPr>
          <w:rFonts w:ascii="宋体" w:hAnsi="宋体"/>
          <w:color w:val="000000" w:themeColor="text1"/>
        </w:rPr>
      </w:pPr>
      <w:r>
        <w:rPr>
          <w:rFonts w:ascii="宋体" w:hAnsi="宋体" w:hint="eastAsia"/>
          <w:color w:val="000000" w:themeColor="text1"/>
        </w:rPr>
        <w:t>管理费用变动原因说明：</w:t>
      </w:r>
      <w:sdt>
        <w:sdtPr>
          <w:rPr>
            <w:rFonts w:ascii="宋体" w:hAnsi="宋体" w:hint="eastAsia"/>
            <w:color w:val="000000" w:themeColor="text1"/>
          </w:rPr>
          <w:alias w:val="管理费用变动原因说明"/>
          <w:tag w:val="_GBC_13103bbe23ee4770b17eecdee03d38a1"/>
          <w:id w:val="-540443420"/>
          <w:placeholder>
            <w:docPart w:val="GBC22222222222222222222222222222"/>
          </w:placeholder>
        </w:sdtPr>
        <w:sdtEndPr/>
        <w:sdtContent>
          <w:r>
            <w:rPr>
              <w:rFonts w:ascii="宋体" w:hAnsi="宋体" w:hint="eastAsia"/>
              <w:color w:val="000000" w:themeColor="text1"/>
            </w:rPr>
            <w:t>主要系计入管理部门的薪酬增加影响。</w:t>
          </w:r>
        </w:sdtContent>
      </w:sdt>
    </w:p>
    <w:p w:rsidR="000C5659" w:rsidRDefault="000E33C4">
      <w:pPr>
        <w:pStyle w:val="Style175"/>
        <w:ind w:firstLineChars="0" w:firstLine="0"/>
        <w:jc w:val="left"/>
        <w:rPr>
          <w:rFonts w:ascii="宋体" w:hAnsi="宋体"/>
          <w:color w:val="000000" w:themeColor="text1"/>
        </w:rPr>
      </w:pPr>
      <w:r>
        <w:rPr>
          <w:rFonts w:ascii="宋体" w:hAnsi="宋体" w:hint="eastAsia"/>
          <w:color w:val="000000" w:themeColor="text1"/>
        </w:rPr>
        <w:t>财务费用变动原因说明：</w:t>
      </w:r>
      <w:sdt>
        <w:sdtPr>
          <w:rPr>
            <w:rFonts w:ascii="宋体" w:hAnsi="宋体" w:hint="eastAsia"/>
            <w:color w:val="000000" w:themeColor="text1"/>
          </w:rPr>
          <w:alias w:val="财务费用变动原因说明"/>
          <w:tag w:val="_GBC_2876360f1d844724b6ba84d6b9756580"/>
          <w:id w:val="-2080056252"/>
          <w:placeholder>
            <w:docPart w:val="GBC22222222222222222222222222222"/>
          </w:placeholder>
        </w:sdtPr>
        <w:sdtEndPr/>
        <w:sdtContent>
          <w:r>
            <w:rPr>
              <w:rFonts w:ascii="宋体" w:hAnsi="宋体" w:hint="eastAsia"/>
              <w:color w:val="000000" w:themeColor="text1"/>
            </w:rPr>
            <w:t>主要系银行借款金额增加产生的利息支出增加影响。</w:t>
          </w:r>
        </w:sdtContent>
      </w:sdt>
    </w:p>
    <w:p w:rsidR="000C5659" w:rsidRDefault="000E33C4">
      <w:pPr>
        <w:pStyle w:val="Style175"/>
        <w:ind w:firstLineChars="0" w:firstLine="0"/>
        <w:jc w:val="left"/>
        <w:rPr>
          <w:rFonts w:ascii="宋体" w:hAnsi="宋体"/>
          <w:color w:val="000000" w:themeColor="text1"/>
        </w:rPr>
      </w:pPr>
      <w:r>
        <w:rPr>
          <w:rFonts w:ascii="宋体" w:hAnsi="宋体" w:hint="eastAsia"/>
          <w:color w:val="000000" w:themeColor="text1"/>
        </w:rPr>
        <w:t>研发费用变动原因说明</w:t>
      </w:r>
      <w:r>
        <w:rPr>
          <w:rFonts w:ascii="宋体" w:hAnsi="宋体"/>
          <w:color w:val="000000" w:themeColor="text1"/>
        </w:rPr>
        <w:t>：</w:t>
      </w:r>
      <w:sdt>
        <w:sdtPr>
          <w:rPr>
            <w:rFonts w:ascii="宋体" w:hAnsi="宋体"/>
            <w:color w:val="000000" w:themeColor="text1"/>
          </w:rPr>
          <w:alias w:val="研发费用变动原因说明"/>
          <w:tag w:val="_GBC_b0b71742eb3f4715afa18751ce433454"/>
          <w:id w:val="-1952305980"/>
          <w:placeholder>
            <w:docPart w:val="GBC22222222222222222222222222222"/>
          </w:placeholder>
        </w:sdtPr>
        <w:sdtEndPr/>
        <w:sdtContent>
          <w:r>
            <w:rPr>
              <w:rFonts w:ascii="宋体" w:hAnsi="宋体" w:hint="eastAsia"/>
              <w:color w:val="000000" w:themeColor="text1"/>
            </w:rPr>
            <w:t xml:space="preserve">主要系研发项目投入材料及研发人员薪酬的增加影响。　</w:t>
          </w:r>
        </w:sdtContent>
      </w:sdt>
    </w:p>
    <w:p w:rsidR="000C5659" w:rsidRDefault="000E33C4">
      <w:pPr>
        <w:pStyle w:val="Style175"/>
        <w:ind w:firstLineChars="0" w:firstLine="0"/>
        <w:jc w:val="left"/>
        <w:rPr>
          <w:rFonts w:ascii="宋体" w:hAnsi="宋体"/>
          <w:color w:val="000000" w:themeColor="text1"/>
        </w:rPr>
      </w:pPr>
      <w:r>
        <w:rPr>
          <w:rFonts w:ascii="宋体" w:hAnsi="宋体"/>
          <w:color w:val="000000" w:themeColor="text1"/>
          <w:szCs w:val="21"/>
        </w:rPr>
        <w:t>经营活动产生的现金流量净额</w:t>
      </w:r>
      <w:r>
        <w:rPr>
          <w:rFonts w:ascii="宋体" w:hAnsi="宋体" w:hint="eastAsia"/>
          <w:color w:val="000000" w:themeColor="text1"/>
          <w:szCs w:val="21"/>
        </w:rPr>
        <w:t>变动原因说明：</w:t>
      </w:r>
      <w:sdt>
        <w:sdtPr>
          <w:rPr>
            <w:rFonts w:ascii="宋体" w:hAnsi="宋体" w:hint="eastAsia"/>
            <w:color w:val="000000" w:themeColor="text1"/>
            <w:szCs w:val="21"/>
          </w:rPr>
          <w:alias w:val="经营活动产生的现金流量净额变动原因说明"/>
          <w:tag w:val="_GBC_309323bb8b0046e9bb6afe0231994d50"/>
          <w:id w:val="-1374304466"/>
          <w:placeholder>
            <w:docPart w:val="GBC22222222222222222222222222222"/>
          </w:placeholder>
        </w:sdtPr>
        <w:sdtEndPr/>
        <w:sdtContent>
          <w:r>
            <w:rPr>
              <w:rFonts w:ascii="宋体" w:hAnsi="宋体" w:hint="eastAsia"/>
              <w:color w:val="000000" w:themeColor="text1"/>
              <w:szCs w:val="21"/>
            </w:rPr>
            <w:t>主要系销售增长带来的现金流入增加影响。</w:t>
          </w:r>
        </w:sdtContent>
      </w:sdt>
    </w:p>
    <w:p w:rsidR="000C5659" w:rsidRDefault="000E33C4">
      <w:pPr>
        <w:pStyle w:val="Style175"/>
        <w:ind w:firstLineChars="0" w:firstLine="0"/>
        <w:jc w:val="left"/>
        <w:rPr>
          <w:rFonts w:ascii="宋体" w:hAnsi="宋体"/>
          <w:color w:val="000000" w:themeColor="text1"/>
        </w:rPr>
      </w:pPr>
      <w:r>
        <w:rPr>
          <w:rFonts w:ascii="宋体" w:hAnsi="宋体"/>
          <w:color w:val="000000" w:themeColor="text1"/>
          <w:szCs w:val="21"/>
        </w:rPr>
        <w:t>投资活动产生的现金流量净额</w:t>
      </w:r>
      <w:r>
        <w:rPr>
          <w:rFonts w:ascii="宋体" w:hAnsi="宋体" w:hint="eastAsia"/>
          <w:color w:val="000000" w:themeColor="text1"/>
          <w:szCs w:val="21"/>
        </w:rPr>
        <w:t>变动原因说明：</w:t>
      </w:r>
      <w:sdt>
        <w:sdtPr>
          <w:rPr>
            <w:rFonts w:ascii="宋体" w:hAnsi="宋体" w:hint="eastAsia"/>
            <w:color w:val="000000" w:themeColor="text1"/>
            <w:szCs w:val="21"/>
          </w:rPr>
          <w:alias w:val="投资活动产生的现金流量净额变动原因说明"/>
          <w:tag w:val="_GBC_981bcb9573814b8080b52fae435fb1b0"/>
          <w:id w:val="-1838137495"/>
          <w:placeholder>
            <w:docPart w:val="GBC22222222222222222222222222222"/>
          </w:placeholder>
        </w:sdtPr>
        <w:sdtEndPr/>
        <w:sdtContent>
          <w:r>
            <w:rPr>
              <w:rFonts w:ascii="宋体" w:hAnsi="宋体" w:hint="eastAsia"/>
              <w:color w:val="000000" w:themeColor="text1"/>
              <w:szCs w:val="21"/>
            </w:rPr>
            <w:t>主要系本期支付善恩康投资款的影响。</w:t>
          </w:r>
        </w:sdtContent>
      </w:sdt>
    </w:p>
    <w:p w:rsidR="000C5659" w:rsidRDefault="000E33C4">
      <w:pPr>
        <w:pStyle w:val="Style175"/>
        <w:ind w:firstLineChars="0" w:firstLine="0"/>
        <w:jc w:val="left"/>
        <w:rPr>
          <w:rFonts w:ascii="宋体" w:hAnsi="宋体"/>
          <w:color w:val="000000" w:themeColor="text1"/>
        </w:rPr>
      </w:pPr>
      <w:r>
        <w:rPr>
          <w:rFonts w:ascii="宋体" w:hAnsi="宋体"/>
          <w:color w:val="000000" w:themeColor="text1"/>
          <w:szCs w:val="21"/>
        </w:rPr>
        <w:t>筹资活动产生的现金流量净额</w:t>
      </w:r>
      <w:r>
        <w:rPr>
          <w:rFonts w:ascii="宋体" w:hAnsi="宋体" w:hint="eastAsia"/>
          <w:color w:val="000000" w:themeColor="text1"/>
          <w:szCs w:val="21"/>
        </w:rPr>
        <w:t>变动原因说明：</w:t>
      </w:r>
      <w:sdt>
        <w:sdtPr>
          <w:rPr>
            <w:rFonts w:ascii="宋体" w:hAnsi="宋体" w:hint="eastAsia"/>
            <w:color w:val="000000" w:themeColor="text1"/>
            <w:szCs w:val="21"/>
          </w:rPr>
          <w:alias w:val="筹资活动产生的现金流量净额变动原因说明"/>
          <w:tag w:val="_GBC_900a9d8acfac4ec18a35c4034161c13e"/>
          <w:id w:val="85670016"/>
          <w:placeholder>
            <w:docPart w:val="GBC22222222222222222222222222222"/>
          </w:placeholder>
        </w:sdtPr>
        <w:sdtEndPr/>
        <w:sdtContent>
          <w:r>
            <w:rPr>
              <w:rFonts w:ascii="宋体" w:hAnsi="宋体" w:hint="eastAsia"/>
              <w:color w:val="000000" w:themeColor="text1"/>
              <w:szCs w:val="21"/>
            </w:rPr>
            <w:t>主要系去年同期银行借款增加影响。</w:t>
          </w:r>
        </w:sdtContent>
      </w:sdt>
    </w:p>
    <w:bookmarkEnd w:id="34"/>
    <w:p w:rsidR="000C5659" w:rsidRDefault="000C5659">
      <w:pPr>
        <w:pStyle w:val="Style175"/>
        <w:ind w:firstLineChars="0" w:firstLine="0"/>
        <w:jc w:val="left"/>
        <w:rPr>
          <w:rFonts w:ascii="宋体" w:hAnsi="宋体"/>
          <w:color w:val="000000" w:themeColor="text1"/>
        </w:rPr>
      </w:pPr>
    </w:p>
    <w:p w:rsidR="000C5659" w:rsidRDefault="000E33C4" w:rsidP="000743DD">
      <w:pPr>
        <w:pStyle w:val="4"/>
        <w:numPr>
          <w:ilvl w:val="0"/>
          <w:numId w:val="9"/>
        </w:numPr>
        <w:rPr>
          <w:rFonts w:ascii="宋体" w:hAnsi="宋体"/>
          <w:color w:val="000000" w:themeColor="text1"/>
        </w:rPr>
      </w:pPr>
      <w:r>
        <w:rPr>
          <w:rFonts w:ascii="宋体" w:hAnsi="宋体" w:hint="eastAsia"/>
          <w:color w:val="000000" w:themeColor="text1"/>
        </w:rPr>
        <w:t>本期</w:t>
      </w:r>
      <w:r>
        <w:rPr>
          <w:rFonts w:ascii="宋体" w:hAnsi="宋体"/>
          <w:color w:val="000000" w:themeColor="text1"/>
        </w:rPr>
        <w:t>公司</w:t>
      </w:r>
      <w:r>
        <w:rPr>
          <w:rFonts w:ascii="宋体" w:hAnsi="宋体" w:hint="eastAsia"/>
          <w:color w:val="000000" w:themeColor="text1"/>
        </w:rPr>
        <w:t>业务类型、</w:t>
      </w:r>
      <w:r>
        <w:rPr>
          <w:rFonts w:ascii="宋体" w:hAnsi="宋体"/>
          <w:color w:val="000000" w:themeColor="text1"/>
        </w:rPr>
        <w:t>利润构成或利润来源发生重大变动的详细说明</w:t>
      </w:r>
    </w:p>
    <w:sdt>
      <w:sdtPr>
        <w:rPr>
          <w:color w:val="000000" w:themeColor="text1"/>
        </w:rPr>
        <w:alias w:val="是否适用：公司利润构成或利润来源发生重大变动的详细说明[双击切换]"/>
        <w:tag w:val="_GBC_cf62b49cb7b54052a77aa6c4ec7218c8"/>
        <w:id w:val="-159485510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0"/>
          <w:numId w:val="10"/>
        </w:numPr>
        <w:rPr>
          <w:rFonts w:ascii="宋体" w:hAnsi="宋体"/>
          <w:color w:val="000000" w:themeColor="text1"/>
        </w:rPr>
      </w:pPr>
      <w:r>
        <w:rPr>
          <w:rFonts w:ascii="宋体" w:hAnsi="宋体"/>
          <w:color w:val="000000" w:themeColor="text1"/>
        </w:rPr>
        <w:t>非主营业务导致利润重大变化的说明</w:t>
      </w:r>
    </w:p>
    <w:sdt>
      <w:sdtPr>
        <w:rPr>
          <w:rFonts w:hint="eastAsia"/>
          <w:color w:val="000000" w:themeColor="text1"/>
        </w:rPr>
        <w:alias w:val="是否适用：非主营业务来源分析[双击切换]"/>
        <w:tag w:val="_GBC_45f0580c6f114551af0270412b25ccd0"/>
        <w:id w:val="76164777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7"/>
        </w:numPr>
        <w:rPr>
          <w:rFonts w:ascii="宋体" w:hAnsi="宋体"/>
          <w:color w:val="000000" w:themeColor="text1"/>
        </w:rPr>
      </w:pPr>
      <w:r>
        <w:rPr>
          <w:rFonts w:ascii="宋体" w:hAnsi="宋体" w:hint="eastAsia"/>
          <w:color w:val="000000" w:themeColor="text1"/>
        </w:rPr>
        <w:t>资产、负债情况分析</w:t>
      </w:r>
    </w:p>
    <w:p w:rsidR="000C5659" w:rsidRDefault="00220B84">
      <w:pPr>
        <w:rPr>
          <w:color w:val="000000" w:themeColor="text1"/>
        </w:rPr>
      </w:pPr>
      <w:sdt>
        <w:sdtPr>
          <w:rPr>
            <w:rFonts w:hint="eastAsia"/>
            <w:color w:val="000000" w:themeColor="text1"/>
          </w:rPr>
          <w:alias w:val="是否适用：资产、负债情况分析[双击切换]"/>
          <w:tag w:val="_GBC_7e768f46f428417e8696bff3cfaf9902"/>
          <w:id w:val="996384760"/>
          <w:lock w:val="contentLocked"/>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E33C4" w:rsidP="000743DD">
      <w:pPr>
        <w:pStyle w:val="43"/>
        <w:numPr>
          <w:ilvl w:val="0"/>
          <w:numId w:val="11"/>
        </w:numPr>
        <w:rPr>
          <w:rFonts w:ascii="宋体" w:hAnsi="宋体"/>
          <w:b w:val="0"/>
          <w:color w:val="000000" w:themeColor="text1"/>
        </w:rPr>
      </w:pPr>
      <w:bookmarkStart w:id="35" w:name="_Hlk74730011"/>
      <w:r>
        <w:rPr>
          <w:rFonts w:ascii="宋体" w:hAnsi="宋体"/>
          <w:color w:val="000000" w:themeColor="text1"/>
        </w:rPr>
        <w:t>资产</w:t>
      </w:r>
      <w:r>
        <w:rPr>
          <w:rFonts w:ascii="宋体" w:hAnsi="宋体" w:hint="eastAsia"/>
          <w:color w:val="000000" w:themeColor="text1"/>
        </w:rPr>
        <w:t>及</w:t>
      </w:r>
      <w:r>
        <w:rPr>
          <w:rFonts w:ascii="宋体" w:hAnsi="宋体"/>
          <w:color w:val="000000" w:themeColor="text1"/>
        </w:rPr>
        <w:t>负债</w:t>
      </w:r>
      <w:r>
        <w:rPr>
          <w:rFonts w:ascii="宋体" w:hAnsi="宋体" w:hint="eastAsia"/>
          <w:color w:val="000000" w:themeColor="text1"/>
          <w:szCs w:val="21"/>
        </w:rPr>
        <w:t>状</w:t>
      </w:r>
      <w:r>
        <w:rPr>
          <w:rFonts w:ascii="宋体" w:hAnsi="宋体"/>
          <w:color w:val="000000" w:themeColor="text1"/>
          <w:szCs w:val="21"/>
        </w:rPr>
        <w:t>况</w:t>
      </w:r>
    </w:p>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资产负债状况分析"/>
          <w:tag w:val="_GBC_21de4e2184d94baf8e19137a1d0d5b74"/>
          <w:id w:val="1432157426"/>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p>
    <w:tbl>
      <w:tblPr>
        <w:tblStyle w:val="g2"/>
        <w:tblW w:w="5000" w:type="pct"/>
        <w:jc w:val="center"/>
        <w:tblLook w:val="04A0" w:firstRow="1" w:lastRow="0" w:firstColumn="1" w:lastColumn="0" w:noHBand="0" w:noVBand="1"/>
      </w:tblPr>
      <w:tblGrid>
        <w:gridCol w:w="643"/>
        <w:gridCol w:w="1686"/>
        <w:gridCol w:w="818"/>
        <w:gridCol w:w="1686"/>
        <w:gridCol w:w="818"/>
        <w:gridCol w:w="958"/>
        <w:gridCol w:w="2214"/>
      </w:tblGrid>
      <w:tr w:rsidR="000C5659">
        <w:trPr>
          <w:trHeight w:val="180"/>
          <w:jc w:val="center"/>
        </w:trPr>
        <w:sdt>
          <w:sdtPr>
            <w:rPr>
              <w:rFonts w:asciiTheme="minorEastAsia" w:eastAsiaTheme="minorEastAsia" w:hAnsiTheme="minorEastAsia"/>
              <w:color w:val="000000" w:themeColor="text1"/>
            </w:rPr>
            <w:tag w:val="_PLD_d0f356a255cd4ad2a1d809f43b17afe4"/>
            <w:id w:val="882911441"/>
          </w:sdtPr>
          <w:sdtEndPr/>
          <w:sdtContent>
            <w:tc>
              <w:tcPr>
                <w:tcW w:w="371" w:type="pct"/>
                <w:vAlign w:val="center"/>
              </w:tcPr>
              <w:p w:rsidR="000C5659" w:rsidRDefault="000E33C4">
                <w:pPr>
                  <w:jc w:val="center"/>
                  <w:rPr>
                    <w:rStyle w:val="Style168"/>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项目名称</w:t>
                </w:r>
              </w:p>
            </w:tc>
          </w:sdtContent>
        </w:sdt>
        <w:sdt>
          <w:sdtPr>
            <w:rPr>
              <w:rFonts w:asciiTheme="minorEastAsia" w:eastAsiaTheme="minorEastAsia" w:hAnsiTheme="minorEastAsia"/>
              <w:color w:val="000000" w:themeColor="text1"/>
            </w:rPr>
            <w:tag w:val="_PLD_908740cf286747d79d5abbe407fef2b5"/>
            <w:id w:val="734743203"/>
          </w:sdtPr>
          <w:sdtEndPr/>
          <w:sdtContent>
            <w:tc>
              <w:tcPr>
                <w:tcW w:w="939" w:type="pct"/>
                <w:vAlign w:val="center"/>
              </w:tcPr>
              <w:p w:rsidR="000C5659" w:rsidRDefault="000E33C4">
                <w:pPr>
                  <w:jc w:val="center"/>
                  <w:rPr>
                    <w:rStyle w:val="Style168"/>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本期期末数</w:t>
                </w:r>
              </w:p>
            </w:tc>
          </w:sdtContent>
        </w:sdt>
        <w:sdt>
          <w:sdtPr>
            <w:rPr>
              <w:rFonts w:asciiTheme="minorEastAsia" w:eastAsiaTheme="minorEastAsia" w:hAnsiTheme="minorEastAsia"/>
              <w:color w:val="000000" w:themeColor="text1"/>
            </w:rPr>
            <w:tag w:val="_PLD_329bbbc9fa484c0990e705c4343b8bd2"/>
            <w:id w:val="-1633168796"/>
          </w:sdtPr>
          <w:sdtEndPr/>
          <w:sdtContent>
            <w:tc>
              <w:tcPr>
                <w:tcW w:w="470" w:type="pct"/>
                <w:vAlign w:val="center"/>
              </w:tcPr>
              <w:p w:rsidR="000C5659" w:rsidRDefault="000E33C4">
                <w:pPr>
                  <w:jc w:val="center"/>
                  <w:rPr>
                    <w:rStyle w:val="Style168"/>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本期期末数占总资产的比例（%）</w:t>
                </w:r>
              </w:p>
            </w:tc>
          </w:sdtContent>
        </w:sdt>
        <w:sdt>
          <w:sdtPr>
            <w:rPr>
              <w:rFonts w:asciiTheme="minorEastAsia" w:eastAsiaTheme="minorEastAsia" w:hAnsiTheme="minorEastAsia"/>
              <w:color w:val="000000" w:themeColor="text1"/>
            </w:rPr>
            <w:tag w:val="_PLD_56ec8d815a204f39816e77d18cf2ac7e"/>
            <w:id w:val="-1546064916"/>
          </w:sdtPr>
          <w:sdtEndPr/>
          <w:sdtContent>
            <w:tc>
              <w:tcPr>
                <w:tcW w:w="939" w:type="pct"/>
                <w:vAlign w:val="center"/>
              </w:tcPr>
              <w:p w:rsidR="000C5659" w:rsidRDefault="000E33C4">
                <w:pPr>
                  <w:jc w:val="center"/>
                  <w:rPr>
                    <w:rStyle w:val="Style168"/>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w:t>
                </w:r>
              </w:p>
            </w:tc>
          </w:sdtContent>
        </w:sdt>
        <w:sdt>
          <w:sdtPr>
            <w:rPr>
              <w:rFonts w:asciiTheme="minorEastAsia" w:eastAsiaTheme="minorEastAsia" w:hAnsiTheme="minorEastAsia"/>
              <w:color w:val="000000" w:themeColor="text1"/>
            </w:rPr>
            <w:tag w:val="_PLD_4bc2806364aa476db7b5ac96d585ad18"/>
            <w:id w:val="890779687"/>
          </w:sdtPr>
          <w:sdtEndPr/>
          <w:sdtContent>
            <w:tc>
              <w:tcPr>
                <w:tcW w:w="470" w:type="pct"/>
                <w:vAlign w:val="center"/>
              </w:tcPr>
              <w:p w:rsidR="000C5659" w:rsidRDefault="000E33C4">
                <w:pPr>
                  <w:jc w:val="center"/>
                  <w:rPr>
                    <w:rStyle w:val="Style168"/>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期末数占总资产的比例（%）</w:t>
                </w:r>
              </w:p>
            </w:tc>
          </w:sdtContent>
        </w:sdt>
        <w:sdt>
          <w:sdtPr>
            <w:rPr>
              <w:rFonts w:asciiTheme="minorEastAsia" w:eastAsiaTheme="minorEastAsia" w:hAnsiTheme="minorEastAsia"/>
              <w:color w:val="000000" w:themeColor="text1"/>
            </w:rPr>
            <w:tag w:val="_PLD_4cfcbfaae8d94f2d87cb33b122df7a82"/>
            <w:id w:val="-2045904609"/>
          </w:sdtPr>
          <w:sdtEndPr/>
          <w:sdtContent>
            <w:tc>
              <w:tcPr>
                <w:tcW w:w="549" w:type="pct"/>
                <w:vAlign w:val="center"/>
              </w:tcPr>
              <w:p w:rsidR="000C5659" w:rsidRDefault="000E33C4">
                <w:pPr>
                  <w:jc w:val="center"/>
                  <w:rPr>
                    <w:rStyle w:val="Style168"/>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本期期末金额较上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期末变动比例（%）</w:t>
                </w:r>
              </w:p>
            </w:tc>
          </w:sdtContent>
        </w:sdt>
        <w:sdt>
          <w:sdtPr>
            <w:rPr>
              <w:rFonts w:asciiTheme="minorEastAsia" w:eastAsiaTheme="minorEastAsia" w:hAnsiTheme="minorEastAsia"/>
              <w:color w:val="000000" w:themeColor="text1"/>
            </w:rPr>
            <w:tag w:val="_PLD_2acc4b359fa846d5bfb9939daf2ce46b"/>
            <w:id w:val="2142848595"/>
          </w:sdtPr>
          <w:sdtEndPr/>
          <w:sdtContent>
            <w:tc>
              <w:tcPr>
                <w:tcW w:w="1261" w:type="pct"/>
                <w:vAlign w:val="center"/>
              </w:tcPr>
              <w:p w:rsidR="000C5659" w:rsidRDefault="000E33C4">
                <w:pPr>
                  <w:jc w:val="center"/>
                  <w:rPr>
                    <w:rStyle w:val="Style168"/>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情况说明</w:t>
                </w:r>
              </w:p>
            </w:tc>
          </w:sdtContent>
        </w:sdt>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货币资金</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59,902,878.08</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2.65</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70,121,787.41</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3.48</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-14.57</w:t>
            </w:r>
          </w:p>
        </w:tc>
        <w:tc>
          <w:tcPr>
            <w:tcW w:w="1261" w:type="pct"/>
            <w:vAlign w:val="center"/>
          </w:tcPr>
          <w:p w:rsidR="000C5659" w:rsidRDefault="000E33C4">
            <w:pPr>
              <w:rPr>
                <w:rStyle w:val="Style168"/>
                <w:rFonts w:asciiTheme="minorEastAsia" w:eastAsiaTheme="minorEastAsia" w:hAnsiTheme="minorEastAsia"/>
                <w:b w:val="0"/>
                <w:szCs w:val="21"/>
              </w:rPr>
            </w:pPr>
            <w:r>
              <w:t>主要系本年度股权投资性的现金流流出较大影响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应收账款</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230,117,775.61</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10.17</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rPr>
              <w:t>192,792,107.86</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9.57</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19.36</w:t>
            </w:r>
          </w:p>
        </w:tc>
        <w:tc>
          <w:tcPr>
            <w:tcW w:w="1261" w:type="pct"/>
            <w:vAlign w:val="center"/>
          </w:tcPr>
          <w:p w:rsidR="000C5659" w:rsidRDefault="000E33C4">
            <w:pPr>
              <w:rPr>
                <w:rStyle w:val="Style168"/>
                <w:rFonts w:asciiTheme="minorEastAsia" w:eastAsiaTheme="minorEastAsia" w:hAnsiTheme="minorEastAsia"/>
                <w:b w:val="0"/>
                <w:szCs w:val="21"/>
              </w:rPr>
            </w:pPr>
            <w:r>
              <w:t>主要系销售增长影响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存货</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173,580,259.97</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7.67</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159,812,889.90</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7.93</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8.61</w:t>
            </w:r>
          </w:p>
        </w:tc>
        <w:tc>
          <w:tcPr>
            <w:tcW w:w="1261" w:type="pct"/>
            <w:vAlign w:val="center"/>
          </w:tcPr>
          <w:p w:rsidR="000C5659" w:rsidRDefault="000E33C4">
            <w:pPr>
              <w:rPr>
                <w:rStyle w:val="Style168"/>
                <w:rFonts w:asciiTheme="minorEastAsia" w:eastAsiaTheme="minorEastAsia" w:hAnsiTheme="minorEastAsia"/>
                <w:b w:val="0"/>
                <w:szCs w:val="21"/>
              </w:rPr>
            </w:pPr>
            <w:r>
              <w:t>主要系在手订单的影响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长期股权投资</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919,179,128.61</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40.62</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934,116,808.52</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46.36</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-1.60</w:t>
            </w:r>
          </w:p>
        </w:tc>
        <w:tc>
          <w:tcPr>
            <w:tcW w:w="1261" w:type="pct"/>
            <w:vAlign w:val="center"/>
          </w:tcPr>
          <w:p w:rsidR="000C5659" w:rsidRDefault="000E33C4">
            <w:pPr>
              <w:rPr>
                <w:rStyle w:val="Style168"/>
                <w:rFonts w:asciiTheme="minorEastAsia" w:eastAsiaTheme="minorEastAsia" w:hAnsiTheme="minorEastAsia"/>
                <w:b w:val="0"/>
                <w:szCs w:val="21"/>
              </w:rPr>
            </w:pPr>
            <w:r>
              <w:t>主要系权益变动的影响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固定资产</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495,442,726.17</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21.89</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455,866,031.40</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22.62</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8.68</w:t>
            </w:r>
          </w:p>
        </w:tc>
        <w:tc>
          <w:tcPr>
            <w:tcW w:w="1261" w:type="pct"/>
            <w:vAlign w:val="center"/>
          </w:tcPr>
          <w:p w:rsidR="000C5659" w:rsidRDefault="000E33C4">
            <w:pPr>
              <w:rPr>
                <w:rStyle w:val="Style168"/>
                <w:rFonts w:asciiTheme="minorEastAsia" w:eastAsiaTheme="minorEastAsia" w:hAnsiTheme="minorEastAsia"/>
                <w:b w:val="0"/>
                <w:szCs w:val="21"/>
              </w:rPr>
            </w:pPr>
            <w:r>
              <w:t>主要系新增合并善恩康固定资产影响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在建工程</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24,081,956.10</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1.06</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2,303,703.65</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0.11</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945.36</w:t>
            </w:r>
          </w:p>
        </w:tc>
        <w:tc>
          <w:tcPr>
            <w:tcW w:w="1261" w:type="pct"/>
            <w:vAlign w:val="center"/>
          </w:tcPr>
          <w:p w:rsidR="000C5659" w:rsidRDefault="000E33C4">
            <w:pPr>
              <w:rPr>
                <w:rStyle w:val="Style168"/>
                <w:rFonts w:asciiTheme="minorEastAsia" w:eastAsiaTheme="minorEastAsia" w:hAnsiTheme="minorEastAsia"/>
                <w:b w:val="0"/>
                <w:szCs w:val="21"/>
              </w:rPr>
            </w:pPr>
            <w:r>
              <w:t>主要系合并增加善恩康厂房项目</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使用权资产</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3,725,409.34</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0.16</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 xml:space="preserve">/　</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 xml:space="preserve">/　</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 xml:space="preserve">/　</w:t>
            </w:r>
          </w:p>
        </w:tc>
        <w:tc>
          <w:tcPr>
            <w:tcW w:w="1261" w:type="pct"/>
            <w:vAlign w:val="center"/>
          </w:tcPr>
          <w:p w:rsidR="000C5659" w:rsidRDefault="000E33C4">
            <w:pPr>
              <w:rPr>
                <w:rStyle w:val="Style168"/>
                <w:rFonts w:asciiTheme="minorEastAsia" w:eastAsiaTheme="minorEastAsia" w:hAnsiTheme="minorEastAsia"/>
                <w:b w:val="0"/>
                <w:szCs w:val="21"/>
              </w:rPr>
            </w:pPr>
            <w:r>
              <w:t>主要系新增合并善恩康租赁资产的影响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短期借款</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387,839,148.26</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17.14</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346,796,461.12</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17.21</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11.83</w:t>
            </w:r>
          </w:p>
        </w:tc>
        <w:tc>
          <w:tcPr>
            <w:tcW w:w="1261" w:type="pct"/>
            <w:vAlign w:val="center"/>
          </w:tcPr>
          <w:p w:rsidR="000C5659" w:rsidRDefault="000E33C4">
            <w:pPr>
              <w:rPr>
                <w:rStyle w:val="Style168"/>
                <w:rFonts w:asciiTheme="minorEastAsia" w:eastAsiaTheme="minorEastAsia" w:hAnsiTheme="minorEastAsia"/>
                <w:b w:val="0"/>
                <w:szCs w:val="21"/>
              </w:rPr>
            </w:pPr>
            <w:r>
              <w:t>主要系合并</w:t>
            </w:r>
            <w:r>
              <w:rPr>
                <w:rFonts w:hint="eastAsia"/>
              </w:rPr>
              <w:t>进</w:t>
            </w:r>
            <w:r>
              <w:t>善恩康的短期借款影响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长期借款</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162,454,623.22</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7.18</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86,074,861.11</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4.27</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88.74</w:t>
            </w:r>
          </w:p>
        </w:tc>
        <w:tc>
          <w:tcPr>
            <w:tcW w:w="1261" w:type="pct"/>
            <w:vAlign w:val="center"/>
          </w:tcPr>
          <w:p w:rsidR="000C5659" w:rsidRDefault="000E33C4">
            <w:pPr>
              <w:rPr>
                <w:rStyle w:val="Style168"/>
                <w:rFonts w:asciiTheme="minorEastAsia" w:eastAsiaTheme="minorEastAsia" w:hAnsiTheme="minorEastAsia"/>
                <w:b w:val="0"/>
                <w:szCs w:val="21"/>
              </w:rPr>
            </w:pPr>
            <w:r>
              <w:t>主要系</w:t>
            </w:r>
            <w:r>
              <w:rPr>
                <w:rFonts w:hint="eastAsia"/>
              </w:rPr>
              <w:t>收购善恩康增加并购贷</w:t>
            </w:r>
            <w:r>
              <w:t>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租赁负债</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2,878,910.53</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0.13</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 xml:space="preserve">/　</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 xml:space="preserve">/　</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 xml:space="preserve">/　</w:t>
            </w:r>
          </w:p>
        </w:tc>
        <w:tc>
          <w:tcPr>
            <w:tcW w:w="1261" w:type="pct"/>
            <w:vAlign w:val="center"/>
          </w:tcPr>
          <w:p w:rsidR="000C5659" w:rsidRDefault="000E33C4">
            <w:pPr>
              <w:rPr>
                <w:rStyle w:val="Style168"/>
                <w:rFonts w:asciiTheme="minorEastAsia" w:eastAsiaTheme="minorEastAsia" w:hAnsiTheme="minorEastAsia"/>
                <w:b w:val="0"/>
                <w:szCs w:val="21"/>
              </w:rPr>
            </w:pPr>
            <w:r>
              <w:t>主要系新增合并善恩康租赁资产影响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交易性金融资产</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54,654,985.10</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2.42</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16,999,892.25</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0.84</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221.50</w:t>
            </w:r>
          </w:p>
        </w:tc>
        <w:tc>
          <w:tcPr>
            <w:tcW w:w="1261" w:type="pct"/>
            <w:vAlign w:val="center"/>
          </w:tcPr>
          <w:p w:rsidR="000C5659" w:rsidRDefault="000E33C4">
            <w:pPr>
              <w:rPr>
                <w:rStyle w:val="Style168"/>
                <w:rFonts w:asciiTheme="minorEastAsia" w:eastAsiaTheme="minorEastAsia" w:hAnsiTheme="minorEastAsia"/>
                <w:b w:val="0"/>
                <w:szCs w:val="21"/>
              </w:rPr>
            </w:pPr>
            <w:r>
              <w:t>主要系善恩康业绩补偿的衍生金融资产增加</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color w:val="000000" w:themeColor="text1"/>
                <w:szCs w:val="21"/>
              </w:rPr>
            </w:pPr>
            <w:r>
              <w:rPr>
                <w:rStyle w:val="Style168"/>
                <w:rFonts w:asciiTheme="minorEastAsia" w:eastAsiaTheme="minorEastAsia" w:hAnsiTheme="minorEastAsia" w:hint="eastAsia"/>
                <w:b w:val="0"/>
                <w:color w:val="000000" w:themeColor="text1"/>
                <w:szCs w:val="21"/>
              </w:rPr>
              <w:t>预付款项</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20,729,954.86</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0.92</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12,308,566.98</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0.61</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68.42</w:t>
            </w:r>
          </w:p>
        </w:tc>
        <w:tc>
          <w:tcPr>
            <w:tcW w:w="1261" w:type="pct"/>
            <w:vAlign w:val="center"/>
          </w:tcPr>
          <w:p w:rsidR="000C5659" w:rsidRDefault="000E33C4">
            <w:pPr>
              <w:rPr>
                <w:rStyle w:val="Style168"/>
                <w:rFonts w:asciiTheme="minorEastAsia" w:eastAsiaTheme="minorEastAsia" w:hAnsiTheme="minorEastAsia"/>
                <w:b w:val="0"/>
                <w:szCs w:val="21"/>
              </w:rPr>
            </w:pPr>
            <w:r>
              <w:t>主要系预付的原材料款、电商运营费的增加影响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szCs w:val="21"/>
              </w:rPr>
            </w:pPr>
            <w:r>
              <w:t>其他流动资产</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6,399,328.04</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0.28</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5,325,062.64</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0.26</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20.17</w:t>
            </w:r>
          </w:p>
        </w:tc>
        <w:tc>
          <w:tcPr>
            <w:tcW w:w="1261" w:type="pct"/>
            <w:vAlign w:val="center"/>
          </w:tcPr>
          <w:p w:rsidR="000C5659" w:rsidRDefault="000E33C4">
            <w:pPr>
              <w:rPr>
                <w:rStyle w:val="Style168"/>
                <w:rFonts w:asciiTheme="minorEastAsia" w:eastAsiaTheme="minorEastAsia" w:hAnsiTheme="minorEastAsia"/>
                <w:b w:val="0"/>
                <w:szCs w:val="21"/>
              </w:rPr>
            </w:pPr>
            <w:r>
              <w:t>主要系合并进善恩康待抵扣增值税增加影响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szCs w:val="21"/>
              </w:rPr>
            </w:pPr>
            <w:r>
              <w:t>其他</w:t>
            </w:r>
            <w:r>
              <w:lastRenderedPageBreak/>
              <w:t>非流动资产</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lastRenderedPageBreak/>
              <w:t>41,299,008.32</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1.82</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42,985,807.56</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2.13</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-3.92</w:t>
            </w:r>
          </w:p>
        </w:tc>
        <w:tc>
          <w:tcPr>
            <w:tcW w:w="1261" w:type="pct"/>
            <w:vAlign w:val="center"/>
          </w:tcPr>
          <w:p w:rsidR="000C5659" w:rsidRDefault="000E33C4">
            <w:pPr>
              <w:rPr>
                <w:rStyle w:val="Style168"/>
                <w:rFonts w:asciiTheme="minorEastAsia" w:eastAsiaTheme="minorEastAsia" w:hAnsiTheme="minorEastAsia"/>
                <w:b w:val="0"/>
                <w:szCs w:val="21"/>
              </w:rPr>
            </w:pPr>
            <w:r>
              <w:t>主要系</w:t>
            </w:r>
            <w:r>
              <w:rPr>
                <w:rFonts w:hint="eastAsia"/>
              </w:rPr>
              <w:t>股权购买预付</w:t>
            </w:r>
            <w:r>
              <w:rPr>
                <w:rFonts w:hint="eastAsia"/>
              </w:rPr>
              <w:lastRenderedPageBreak/>
              <w:t>款变动影响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szCs w:val="21"/>
              </w:rPr>
            </w:pPr>
            <w:r>
              <w:lastRenderedPageBreak/>
              <w:t>其他应收款</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6,971,476.01</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0.31</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5,219,383.26</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0.26</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33.57</w:t>
            </w:r>
          </w:p>
        </w:tc>
        <w:tc>
          <w:tcPr>
            <w:tcW w:w="1261" w:type="pct"/>
            <w:vAlign w:val="center"/>
          </w:tcPr>
          <w:p w:rsidR="000C5659" w:rsidRDefault="000E33C4">
            <w:pPr>
              <w:rPr>
                <w:rStyle w:val="Style168"/>
                <w:rFonts w:asciiTheme="minorEastAsia" w:eastAsiaTheme="minorEastAsia" w:hAnsiTheme="minorEastAsia"/>
                <w:b w:val="0"/>
                <w:szCs w:val="21"/>
              </w:rPr>
            </w:pPr>
            <w:r>
              <w:t>主要系合并进善恩康增加影响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szCs w:val="21"/>
              </w:rPr>
            </w:pPr>
            <w:r>
              <w:t>无形资产</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rPr>
              <w:t>43,816,340.74</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lang w:bidi="ar"/>
              </w:rPr>
              <w:t>1.94</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28,683,590.31</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1.42</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64.43</w:t>
            </w:r>
          </w:p>
        </w:tc>
        <w:tc>
          <w:tcPr>
            <w:tcW w:w="1261" w:type="pct"/>
            <w:vAlign w:val="center"/>
          </w:tcPr>
          <w:p w:rsidR="000C5659" w:rsidRDefault="000E33C4">
            <w:pPr>
              <w:rPr>
                <w:rStyle w:val="Style168"/>
                <w:rFonts w:asciiTheme="minorEastAsia" w:eastAsiaTheme="minorEastAsia" w:hAnsiTheme="minorEastAsia"/>
                <w:b w:val="0"/>
                <w:szCs w:val="21"/>
              </w:rPr>
            </w:pPr>
            <w:r>
              <w:t>主要系合并进善恩康增加影响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szCs w:val="21"/>
              </w:rPr>
            </w:pPr>
            <w:r>
              <w:t>递延所得税负债</w:t>
            </w:r>
          </w:p>
        </w:tc>
        <w:tc>
          <w:tcPr>
            <w:tcW w:w="939" w:type="pct"/>
            <w:shd w:val="clear" w:color="auto" w:fill="auto"/>
            <w:vAlign w:val="center"/>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39,439,109.85</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1.74</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17,999,827.20</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0.89</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119.11</w:t>
            </w:r>
          </w:p>
        </w:tc>
        <w:tc>
          <w:tcPr>
            <w:tcW w:w="1261" w:type="pct"/>
            <w:vAlign w:val="center"/>
          </w:tcPr>
          <w:p w:rsidR="000C5659" w:rsidRDefault="000E33C4">
            <w:pPr>
              <w:rPr>
                <w:rStyle w:val="Style168"/>
                <w:rFonts w:asciiTheme="minorEastAsia" w:eastAsiaTheme="minorEastAsia" w:hAnsiTheme="minorEastAsia"/>
                <w:b w:val="0"/>
                <w:szCs w:val="21"/>
              </w:rPr>
            </w:pPr>
            <w:r>
              <w:t>主要系资产评估善恩康远期收购义务和业绩补偿</w:t>
            </w:r>
            <w:r>
              <w:rPr>
                <w:rFonts w:hint="eastAsia"/>
              </w:rPr>
              <w:t>影响</w:t>
            </w:r>
          </w:p>
        </w:tc>
      </w:tr>
      <w:tr w:rsidR="000C5659">
        <w:trPr>
          <w:trHeight w:val="135"/>
          <w:jc w:val="center"/>
        </w:trPr>
        <w:tc>
          <w:tcPr>
            <w:tcW w:w="371" w:type="pct"/>
            <w:vAlign w:val="center"/>
          </w:tcPr>
          <w:p w:rsidR="000C5659" w:rsidRDefault="000E33C4">
            <w:pPr>
              <w:rPr>
                <w:rStyle w:val="Style168"/>
                <w:rFonts w:asciiTheme="minorEastAsia" w:eastAsiaTheme="minorEastAsia" w:hAnsiTheme="minorEastAsia"/>
                <w:b w:val="0"/>
                <w:szCs w:val="21"/>
              </w:rPr>
            </w:pPr>
            <w:r>
              <w:t>其他综合收益</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rPr>
              <w:t>1,291,493.78</w:t>
            </w:r>
          </w:p>
        </w:tc>
        <w:tc>
          <w:tcPr>
            <w:tcW w:w="470" w:type="pct"/>
            <w:vAlign w:val="center"/>
          </w:tcPr>
          <w:p w:rsidR="000C5659" w:rsidRDefault="000E33C4">
            <w:pPr>
              <w:jc w:val="right"/>
              <w:textAlignment w:val="bottom"/>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hint="eastAsia"/>
                <w:color w:val="000000"/>
                <w:lang w:bidi="ar"/>
              </w:rPr>
              <w:t>0.06</w:t>
            </w:r>
          </w:p>
        </w:tc>
        <w:tc>
          <w:tcPr>
            <w:tcW w:w="93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380,350.48</w:t>
            </w:r>
          </w:p>
        </w:tc>
        <w:tc>
          <w:tcPr>
            <w:tcW w:w="470"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0.02</w:t>
            </w:r>
          </w:p>
        </w:tc>
        <w:tc>
          <w:tcPr>
            <w:tcW w:w="549" w:type="pct"/>
            <w:vAlign w:val="center"/>
          </w:tcPr>
          <w:p w:rsidR="000C5659" w:rsidRDefault="000E33C4">
            <w:pPr>
              <w:jc w:val="right"/>
              <w:rPr>
                <w:rStyle w:val="Style168"/>
                <w:rFonts w:asciiTheme="minorEastAsia" w:eastAsiaTheme="minorEastAsia" w:hAnsiTheme="minorEastAsia" w:cstheme="minorEastAsia"/>
                <w:b w:val="0"/>
                <w:szCs w:val="21"/>
              </w:rPr>
            </w:pPr>
            <w:r>
              <w:rPr>
                <w:rFonts w:asciiTheme="minorEastAsia" w:eastAsiaTheme="minorEastAsia" w:hAnsiTheme="minorEastAsia" w:cstheme="minorEastAsia"/>
                <w:color w:val="000000"/>
              </w:rPr>
              <w:t>239.55</w:t>
            </w:r>
          </w:p>
        </w:tc>
        <w:tc>
          <w:tcPr>
            <w:tcW w:w="1261" w:type="pct"/>
            <w:vAlign w:val="center"/>
          </w:tcPr>
          <w:p w:rsidR="000C5659" w:rsidRDefault="000E33C4">
            <w:pPr>
              <w:rPr>
                <w:rStyle w:val="Style168"/>
                <w:rFonts w:asciiTheme="minorEastAsia" w:eastAsiaTheme="minorEastAsia" w:hAnsiTheme="minorEastAsia"/>
                <w:b w:val="0"/>
                <w:szCs w:val="21"/>
              </w:rPr>
            </w:pPr>
            <w:r>
              <w:t>主要系</w:t>
            </w:r>
            <w:r>
              <w:rPr>
                <w:rFonts w:hint="eastAsia"/>
              </w:rPr>
              <w:t>扬州</w:t>
            </w:r>
            <w:r>
              <w:t>农商行业务的影响</w:t>
            </w:r>
          </w:p>
        </w:tc>
      </w:tr>
      <w:tr w:rsidR="000C5659">
        <w:trPr>
          <w:trHeight w:val="135"/>
          <w:jc w:val="center"/>
        </w:trPr>
        <w:tc>
          <w:tcPr>
            <w:tcW w:w="371" w:type="pct"/>
            <w:vAlign w:val="center"/>
          </w:tcPr>
          <w:p w:rsidR="000C5659" w:rsidRDefault="000E33C4">
            <w:r>
              <w:rPr>
                <w:rFonts w:hint="eastAsia"/>
              </w:rPr>
              <w:t>长期应付款</w:t>
            </w:r>
          </w:p>
        </w:tc>
        <w:tc>
          <w:tcPr>
            <w:tcW w:w="939"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148,420,386.18 </w:t>
            </w:r>
          </w:p>
        </w:tc>
        <w:tc>
          <w:tcPr>
            <w:tcW w:w="470" w:type="pct"/>
            <w:vAlign w:val="center"/>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6.56</w:t>
            </w:r>
          </w:p>
        </w:tc>
        <w:tc>
          <w:tcPr>
            <w:tcW w:w="939" w:type="pct"/>
            <w:vAlign w:val="center"/>
          </w:tcPr>
          <w:p w:rsidR="000C5659" w:rsidRDefault="000E33C4">
            <w:pPr>
              <w:jc w:val="right"/>
              <w:rPr>
                <w:rFonts w:asciiTheme="minorEastAsia" w:eastAsiaTheme="minorEastAsia" w:hAnsiTheme="minorEastAsia" w:cstheme="minorEastAsia"/>
                <w:color w:val="000000"/>
              </w:rPr>
            </w:pPr>
            <w:r>
              <w:rPr>
                <w:rFonts w:asciiTheme="minorEastAsia" w:eastAsiaTheme="minorEastAsia" w:hAnsiTheme="minorEastAsia" w:cstheme="minorEastAsia"/>
                <w:color w:val="000000"/>
              </w:rPr>
              <w:t>/</w:t>
            </w:r>
          </w:p>
        </w:tc>
        <w:tc>
          <w:tcPr>
            <w:tcW w:w="470" w:type="pct"/>
            <w:vAlign w:val="center"/>
          </w:tcPr>
          <w:p w:rsidR="000C5659" w:rsidRDefault="000E33C4">
            <w:pPr>
              <w:jc w:val="right"/>
              <w:rPr>
                <w:rFonts w:asciiTheme="minorEastAsia" w:eastAsiaTheme="minorEastAsia" w:hAnsiTheme="minorEastAsia" w:cstheme="minorEastAsia"/>
                <w:color w:val="000000"/>
              </w:rPr>
            </w:pPr>
            <w:r>
              <w:rPr>
                <w:rFonts w:asciiTheme="minorEastAsia" w:eastAsiaTheme="minorEastAsia" w:hAnsiTheme="minorEastAsia" w:cstheme="minorEastAsia"/>
                <w:color w:val="000000"/>
              </w:rPr>
              <w:t>/</w:t>
            </w:r>
          </w:p>
        </w:tc>
        <w:tc>
          <w:tcPr>
            <w:tcW w:w="549" w:type="pct"/>
            <w:vAlign w:val="center"/>
          </w:tcPr>
          <w:p w:rsidR="000C5659" w:rsidRDefault="000E33C4">
            <w:pPr>
              <w:jc w:val="right"/>
              <w:rPr>
                <w:rFonts w:asciiTheme="minorEastAsia" w:eastAsiaTheme="minorEastAsia" w:hAnsiTheme="minorEastAsia" w:cstheme="minorEastAsia"/>
                <w:color w:val="000000"/>
              </w:rPr>
            </w:pPr>
            <w:r>
              <w:rPr>
                <w:rFonts w:asciiTheme="minorEastAsia" w:eastAsiaTheme="minorEastAsia" w:hAnsiTheme="minorEastAsia" w:cstheme="minorEastAsia"/>
                <w:color w:val="000000"/>
              </w:rPr>
              <w:t>/</w:t>
            </w:r>
          </w:p>
        </w:tc>
        <w:tc>
          <w:tcPr>
            <w:tcW w:w="1261" w:type="pct"/>
            <w:vAlign w:val="center"/>
          </w:tcPr>
          <w:p w:rsidR="000C5659" w:rsidRDefault="000E33C4">
            <w:r>
              <w:rPr>
                <w:rFonts w:hint="eastAsia"/>
              </w:rPr>
              <w:t>主要系确认</w:t>
            </w:r>
            <w:r>
              <w:t>善恩康远期收购义务</w:t>
            </w:r>
            <w:r>
              <w:rPr>
                <w:rFonts w:hint="eastAsia"/>
              </w:rPr>
              <w:t>影响</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p>
    <w:sdt>
      <w:sdtPr>
        <w:rPr>
          <w:rFonts w:hint="eastAsia"/>
          <w:color w:val="000000" w:themeColor="text1"/>
        </w:rPr>
        <w:alias w:val="资产及负债状况的其他说明"/>
        <w:tag w:val="_GBC_cb3eda90e3e24589a444c633ca113f7e"/>
        <w:id w:val="769896227"/>
      </w:sdtPr>
      <w:sdtEndPr/>
      <w:sdtContent>
        <w:p w:rsidR="000C5659" w:rsidRDefault="000E33C4">
          <w:pPr>
            <w:rPr>
              <w:color w:val="000000" w:themeColor="text1"/>
            </w:rPr>
          </w:pPr>
          <w:r>
            <w:rPr>
              <w:rFonts w:hint="eastAsia"/>
              <w:color w:val="000000" w:themeColor="text1"/>
            </w:rPr>
            <w:t>无</w:t>
          </w:r>
        </w:p>
      </w:sdtContent>
    </w:sdt>
    <w:bookmarkEnd w:id="35"/>
    <w:p w:rsidR="000C5659" w:rsidRDefault="000C5659">
      <w:pPr>
        <w:rPr>
          <w:color w:val="000000" w:themeColor="text1"/>
        </w:rPr>
      </w:pPr>
    </w:p>
    <w:p w:rsidR="000C5659" w:rsidRDefault="000E33C4" w:rsidP="000743DD">
      <w:pPr>
        <w:pStyle w:val="43"/>
        <w:numPr>
          <w:ilvl w:val="0"/>
          <w:numId w:val="11"/>
        </w:numPr>
        <w:rPr>
          <w:rFonts w:ascii="宋体" w:hAnsi="宋体"/>
          <w:b w:val="0"/>
          <w:color w:val="000000" w:themeColor="text1"/>
        </w:rPr>
      </w:pPr>
      <w:r>
        <w:rPr>
          <w:rFonts w:ascii="宋体" w:hAnsi="宋体"/>
          <w:color w:val="000000" w:themeColor="text1"/>
        </w:rPr>
        <w:t>境外资产情况</w:t>
      </w:r>
    </w:p>
    <w:sdt>
      <w:sdtPr>
        <w:rPr>
          <w:color w:val="000000" w:themeColor="text1"/>
        </w:rPr>
        <w:alias w:val="是否适用：境外资产情况 [双击切换]"/>
        <w:tag w:val="_GBC_95d71e9a9dcd4966863ba2859a3bf0b7"/>
        <w:id w:val="938179363"/>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36" w:name="_Hlk105685192"/>
    </w:p>
    <w:bookmarkEnd w:id="36"/>
    <w:p w:rsidR="000C5659" w:rsidRDefault="000E33C4" w:rsidP="000743DD">
      <w:pPr>
        <w:pStyle w:val="43"/>
        <w:numPr>
          <w:ilvl w:val="0"/>
          <w:numId w:val="11"/>
        </w:numPr>
        <w:rPr>
          <w:rFonts w:ascii="宋体" w:hAnsi="宋体"/>
          <w:b w:val="0"/>
          <w:color w:val="000000" w:themeColor="text1"/>
        </w:rPr>
      </w:pPr>
      <w:r>
        <w:rPr>
          <w:rFonts w:ascii="宋体" w:hAnsi="宋体"/>
          <w:color w:val="000000" w:themeColor="text1"/>
        </w:rPr>
        <w:t>截至报告期末主要资产受限情况</w:t>
      </w:r>
    </w:p>
    <w:sdt>
      <w:sdtPr>
        <w:rPr>
          <w:rFonts w:hint="eastAsia"/>
          <w:color w:val="000000" w:themeColor="text1"/>
        </w:rPr>
        <w:alias w:val="是否适用：主要资产受限情况[双击切换]"/>
        <w:tag w:val="_GBC_e9f1a2b3f13345eaac848c40837fffbb"/>
        <w:id w:val="1392234259"/>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主要资产受限情况"/>
        <w:tag w:val="_GBC_a45de9537ca94b758cc1d9c201a60b53"/>
        <w:id w:val="2116488490"/>
      </w:sdtPr>
      <w:sdtEndPr/>
      <w:sdtContent>
        <w:tbl>
          <w:tblPr>
            <w:tblStyle w:val="g1"/>
            <w:tblW w:w="428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686"/>
            <w:gridCol w:w="4131"/>
          </w:tblGrid>
          <w:tr w:rsidR="000C5659">
            <w:trPr>
              <w:trHeight w:val="285"/>
            </w:trPr>
            <w:tc>
              <w:tcPr>
                <w:tcW w:w="1166" w:type="pct"/>
                <w:shd w:val="clear" w:color="auto" w:fill="auto"/>
                <w:vAlign w:val="center"/>
              </w:tcPr>
              <w:p w:rsidR="000C5659" w:rsidRDefault="000E33C4">
                <w:pPr>
                  <w:jc w:val="center"/>
                  <w:textAlignment w:val="center"/>
                  <w:rPr>
                    <w:color w:val="000000"/>
                  </w:rPr>
                </w:pPr>
                <w:r>
                  <w:rPr>
                    <w:rFonts w:hint="eastAsia"/>
                    <w:color w:val="000000"/>
                    <w:lang w:bidi="ar"/>
                  </w:rPr>
                  <w:t>项目</w:t>
                </w:r>
              </w:p>
            </w:tc>
            <w:tc>
              <w:tcPr>
                <w:tcW w:w="1096" w:type="pct"/>
                <w:shd w:val="clear" w:color="auto" w:fill="auto"/>
                <w:vAlign w:val="center"/>
              </w:tcPr>
              <w:p w:rsidR="000C5659" w:rsidRDefault="000E33C4">
                <w:pPr>
                  <w:jc w:val="center"/>
                  <w:textAlignment w:val="center"/>
                  <w:rPr>
                    <w:color w:val="000000"/>
                  </w:rPr>
                </w:pPr>
                <w:r>
                  <w:rPr>
                    <w:rFonts w:hint="eastAsia"/>
                    <w:color w:val="000000"/>
                    <w:lang w:bidi="ar"/>
                  </w:rPr>
                  <w:t>账面价值</w:t>
                </w:r>
              </w:p>
            </w:tc>
            <w:tc>
              <w:tcPr>
                <w:tcW w:w="2739" w:type="pct"/>
                <w:shd w:val="clear" w:color="auto" w:fill="auto"/>
                <w:vAlign w:val="center"/>
              </w:tcPr>
              <w:p w:rsidR="000C5659" w:rsidRDefault="000E33C4">
                <w:pPr>
                  <w:jc w:val="center"/>
                  <w:textAlignment w:val="center"/>
                  <w:rPr>
                    <w:color w:val="000000"/>
                  </w:rPr>
                </w:pPr>
                <w:r>
                  <w:rPr>
                    <w:rFonts w:hint="eastAsia"/>
                    <w:color w:val="000000"/>
                    <w:lang w:bidi="ar"/>
                  </w:rPr>
                  <w:t>受限情况</w:t>
                </w:r>
              </w:p>
            </w:tc>
          </w:tr>
          <w:tr w:rsidR="000C5659">
            <w:trPr>
              <w:trHeight w:val="807"/>
            </w:trPr>
            <w:tc>
              <w:tcPr>
                <w:tcW w:w="1166" w:type="pct"/>
                <w:shd w:val="clear" w:color="auto" w:fill="auto"/>
                <w:vAlign w:val="center"/>
              </w:tcPr>
              <w:p w:rsidR="000C5659" w:rsidRDefault="000E33C4">
                <w:pPr>
                  <w:jc w:val="both"/>
                  <w:textAlignment w:val="center"/>
                  <w:rPr>
                    <w:color w:val="000000"/>
                  </w:rPr>
                </w:pPr>
                <w:r>
                  <w:rPr>
                    <w:rFonts w:hint="eastAsia"/>
                    <w:color w:val="000000"/>
                    <w:lang w:bidi="ar"/>
                  </w:rPr>
                  <w:t>货币资金</w:t>
                </w:r>
              </w:p>
            </w:tc>
            <w:tc>
              <w:tcPr>
                <w:tcW w:w="1096" w:type="pct"/>
                <w:shd w:val="clear" w:color="auto" w:fill="auto"/>
                <w:vAlign w:val="center"/>
              </w:tcPr>
              <w:p w:rsidR="000C5659" w:rsidRDefault="000E33C4">
                <w:pPr>
                  <w:jc w:val="right"/>
                  <w:textAlignment w:val="center"/>
                  <w:rPr>
                    <w:color w:val="000000"/>
                  </w:rPr>
                </w:pPr>
                <w:r>
                  <w:rPr>
                    <w:color w:val="000000"/>
                    <w:lang w:bidi="ar"/>
                  </w:rPr>
                  <w:t>16,551,711.05</w:t>
                </w:r>
              </w:p>
            </w:tc>
            <w:tc>
              <w:tcPr>
                <w:tcW w:w="2739" w:type="pct"/>
                <w:shd w:val="clear" w:color="auto" w:fill="auto"/>
                <w:vAlign w:val="center"/>
              </w:tcPr>
              <w:p w:rsidR="000C5659" w:rsidRDefault="000E33C4">
                <w:pPr>
                  <w:textAlignment w:val="center"/>
                  <w:rPr>
                    <w:color w:val="000000"/>
                  </w:rPr>
                </w:pPr>
                <w:r>
                  <w:rPr>
                    <w:rFonts w:hint="eastAsia"/>
                    <w:color w:val="000000"/>
                    <w:lang w:bidi="ar"/>
                  </w:rPr>
                  <w:t>用于银行承兑汇票保证金、远期外汇保证金以及信用证保证金等</w:t>
                </w:r>
              </w:p>
            </w:tc>
          </w:tr>
          <w:tr w:rsidR="000C5659">
            <w:trPr>
              <w:trHeight w:val="563"/>
            </w:trPr>
            <w:tc>
              <w:tcPr>
                <w:tcW w:w="1166" w:type="pct"/>
                <w:shd w:val="clear" w:color="auto" w:fill="auto"/>
                <w:vAlign w:val="center"/>
              </w:tcPr>
              <w:p w:rsidR="000C5659" w:rsidRDefault="000E33C4">
                <w:pPr>
                  <w:jc w:val="both"/>
                  <w:textAlignment w:val="center"/>
                  <w:rPr>
                    <w:color w:val="000000"/>
                  </w:rPr>
                </w:pPr>
                <w:r>
                  <w:rPr>
                    <w:rFonts w:hint="eastAsia"/>
                    <w:color w:val="000000"/>
                    <w:lang w:bidi="ar"/>
                  </w:rPr>
                  <w:t>固定资产</w:t>
                </w:r>
              </w:p>
            </w:tc>
            <w:tc>
              <w:tcPr>
                <w:tcW w:w="1096" w:type="pct"/>
                <w:shd w:val="clear" w:color="auto" w:fill="auto"/>
                <w:vAlign w:val="center"/>
              </w:tcPr>
              <w:p w:rsidR="000C5659" w:rsidRDefault="000E33C4">
                <w:pPr>
                  <w:jc w:val="right"/>
                  <w:textAlignment w:val="center"/>
                  <w:rPr>
                    <w:color w:val="000000"/>
                  </w:rPr>
                </w:pPr>
                <w:r>
                  <w:rPr>
                    <w:color w:val="000000"/>
                    <w:lang w:bidi="ar"/>
                  </w:rPr>
                  <w:t>101,484,327.52</w:t>
                </w:r>
              </w:p>
            </w:tc>
            <w:tc>
              <w:tcPr>
                <w:tcW w:w="2739" w:type="pct"/>
                <w:shd w:val="clear" w:color="auto" w:fill="auto"/>
                <w:vAlign w:val="center"/>
              </w:tcPr>
              <w:p w:rsidR="000C5659" w:rsidRDefault="000E33C4">
                <w:pPr>
                  <w:textAlignment w:val="center"/>
                  <w:rPr>
                    <w:color w:val="000000"/>
                  </w:rPr>
                </w:pPr>
                <w:r>
                  <w:rPr>
                    <w:rFonts w:hint="eastAsia"/>
                    <w:color w:val="000000"/>
                    <w:lang w:bidi="ar"/>
                  </w:rPr>
                  <w:t>抵押用于借款以及开具银行承兑汇票等</w:t>
                </w:r>
              </w:p>
            </w:tc>
          </w:tr>
          <w:tr w:rsidR="000C5659">
            <w:trPr>
              <w:trHeight w:val="685"/>
            </w:trPr>
            <w:tc>
              <w:tcPr>
                <w:tcW w:w="1166" w:type="pct"/>
                <w:shd w:val="clear" w:color="auto" w:fill="auto"/>
                <w:vAlign w:val="center"/>
              </w:tcPr>
              <w:p w:rsidR="000C5659" w:rsidRDefault="000E33C4">
                <w:pPr>
                  <w:jc w:val="both"/>
                  <w:textAlignment w:val="center"/>
                  <w:rPr>
                    <w:color w:val="000000"/>
                  </w:rPr>
                </w:pPr>
                <w:r>
                  <w:rPr>
                    <w:rFonts w:hint="eastAsia"/>
                    <w:color w:val="000000"/>
                    <w:lang w:bidi="ar"/>
                  </w:rPr>
                  <w:t>无形资产</w:t>
                </w:r>
              </w:p>
            </w:tc>
            <w:tc>
              <w:tcPr>
                <w:tcW w:w="1096" w:type="pct"/>
                <w:shd w:val="clear" w:color="auto" w:fill="auto"/>
                <w:vAlign w:val="center"/>
              </w:tcPr>
              <w:p w:rsidR="000C5659" w:rsidRDefault="000E33C4">
                <w:pPr>
                  <w:jc w:val="right"/>
                  <w:textAlignment w:val="center"/>
                  <w:rPr>
                    <w:color w:val="000000"/>
                  </w:rPr>
                </w:pPr>
                <w:r>
                  <w:rPr>
                    <w:color w:val="000000"/>
                    <w:lang w:bidi="ar"/>
                  </w:rPr>
                  <w:t>22,207,307.39</w:t>
                </w:r>
              </w:p>
            </w:tc>
            <w:tc>
              <w:tcPr>
                <w:tcW w:w="2739" w:type="pct"/>
                <w:shd w:val="clear" w:color="auto" w:fill="auto"/>
                <w:vAlign w:val="center"/>
              </w:tcPr>
              <w:p w:rsidR="000C5659" w:rsidRDefault="000E33C4">
                <w:pPr>
                  <w:textAlignment w:val="center"/>
                  <w:rPr>
                    <w:color w:val="000000"/>
                  </w:rPr>
                </w:pPr>
                <w:r>
                  <w:rPr>
                    <w:rFonts w:hint="eastAsia"/>
                    <w:color w:val="000000"/>
                    <w:lang w:bidi="ar"/>
                  </w:rPr>
                  <w:t>抵押用于借款以及开具银行承兑汇票等</w:t>
                </w:r>
              </w:p>
            </w:tc>
          </w:tr>
          <w:tr w:rsidR="000C5659">
            <w:trPr>
              <w:trHeight w:val="295"/>
            </w:trPr>
            <w:tc>
              <w:tcPr>
                <w:tcW w:w="1166" w:type="pct"/>
                <w:shd w:val="clear" w:color="auto" w:fill="auto"/>
                <w:vAlign w:val="center"/>
              </w:tcPr>
              <w:p w:rsidR="000C5659" w:rsidRDefault="000E33C4">
                <w:pPr>
                  <w:jc w:val="center"/>
                  <w:textAlignment w:val="center"/>
                  <w:rPr>
                    <w:color w:val="000000"/>
                  </w:rPr>
                </w:pPr>
                <w:r>
                  <w:rPr>
                    <w:rFonts w:hint="eastAsia"/>
                    <w:color w:val="000000"/>
                    <w:lang w:bidi="ar"/>
                  </w:rPr>
                  <w:t>合计</w:t>
                </w:r>
              </w:p>
            </w:tc>
            <w:tc>
              <w:tcPr>
                <w:tcW w:w="1096" w:type="pct"/>
                <w:shd w:val="clear" w:color="auto" w:fill="auto"/>
                <w:vAlign w:val="center"/>
              </w:tcPr>
              <w:p w:rsidR="000C5659" w:rsidRDefault="000E33C4">
                <w:pPr>
                  <w:jc w:val="right"/>
                  <w:textAlignment w:val="center"/>
                  <w:rPr>
                    <w:color w:val="000000"/>
                  </w:rPr>
                </w:pPr>
                <w:r>
                  <w:rPr>
                    <w:color w:val="000000"/>
                    <w:lang w:bidi="ar"/>
                  </w:rPr>
                  <w:t>140,243,345.96</w:t>
                </w:r>
              </w:p>
            </w:tc>
            <w:tc>
              <w:tcPr>
                <w:tcW w:w="2739" w:type="pct"/>
                <w:shd w:val="clear" w:color="auto" w:fill="auto"/>
                <w:vAlign w:val="center"/>
              </w:tcPr>
              <w:p w:rsidR="000C5659" w:rsidRDefault="000C5659">
                <w:pPr>
                  <w:jc w:val="both"/>
                  <w:rPr>
                    <w:color w:val="000000"/>
                  </w:rPr>
                </w:pPr>
              </w:p>
            </w:tc>
          </w:tr>
        </w:tbl>
        <w:p w:rsidR="000C5659" w:rsidRDefault="00220B84">
          <w:pPr>
            <w:pStyle w:val="Style325"/>
          </w:pPr>
        </w:p>
      </w:sdtContent>
    </w:sdt>
    <w:p w:rsidR="000C5659" w:rsidRDefault="000E33C4" w:rsidP="000743DD">
      <w:pPr>
        <w:pStyle w:val="43"/>
        <w:numPr>
          <w:ilvl w:val="0"/>
          <w:numId w:val="11"/>
        </w:numPr>
        <w:rPr>
          <w:rFonts w:ascii="宋体" w:hAnsi="宋体"/>
          <w:b w:val="0"/>
          <w:color w:val="000000" w:themeColor="text1"/>
        </w:rPr>
      </w:pPr>
      <w:r>
        <w:rPr>
          <w:rFonts w:ascii="宋体" w:hAnsi="宋体"/>
          <w:color w:val="000000" w:themeColor="text1"/>
        </w:rPr>
        <w:t>其他说明</w:t>
      </w:r>
    </w:p>
    <w:sdt>
      <w:sdtPr>
        <w:rPr>
          <w:rFonts w:hint="eastAsia"/>
          <w:color w:val="000000" w:themeColor="text1"/>
        </w:rPr>
        <w:alias w:val="是否适用：资产及负债状况的其他说明[双击切换]"/>
        <w:tag w:val="_GBC_ba674147d80648fba521aedf33ce0b27"/>
        <w:id w:val="1326706420"/>
      </w:sdtPr>
      <w:sdtEndPr/>
      <w:sdtContent>
        <w:p w:rsidR="000C5659" w:rsidRDefault="000E33C4">
          <w:pPr>
            <w:pStyle w:val="Style325"/>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7"/>
        </w:numPr>
        <w:rPr>
          <w:rFonts w:ascii="宋体" w:hAnsi="宋体"/>
          <w:color w:val="000000" w:themeColor="text1"/>
        </w:rPr>
      </w:pPr>
      <w:r>
        <w:rPr>
          <w:rFonts w:ascii="宋体" w:hAnsi="宋体" w:hint="eastAsia"/>
          <w:color w:val="000000" w:themeColor="text1"/>
        </w:rPr>
        <w:t>投资状况分析</w:t>
      </w:r>
    </w:p>
    <w:p w:rsidR="000C5659" w:rsidRDefault="000E33C4" w:rsidP="000743DD">
      <w:pPr>
        <w:pStyle w:val="4"/>
        <w:numPr>
          <w:ilvl w:val="0"/>
          <w:numId w:val="12"/>
        </w:numPr>
        <w:rPr>
          <w:rFonts w:ascii="宋体" w:hAnsi="宋体"/>
          <w:color w:val="000000" w:themeColor="text1"/>
        </w:rPr>
      </w:pPr>
      <w:r>
        <w:rPr>
          <w:rFonts w:ascii="宋体" w:hAnsi="宋体"/>
          <w:color w:val="000000" w:themeColor="text1"/>
        </w:rPr>
        <w:t>对外股权投资总体分析</w:t>
      </w:r>
    </w:p>
    <w:p w:rsidR="000C5659" w:rsidRDefault="00220B84">
      <w:pPr>
        <w:rPr>
          <w:color w:val="000000" w:themeColor="text1"/>
        </w:rPr>
      </w:pPr>
      <w:sdt>
        <w:sdtPr>
          <w:rPr>
            <w:color w:val="000000" w:themeColor="text1"/>
          </w:rPr>
          <w:alias w:val="是否适用：对外股权投资总体分析[双击切换]"/>
          <w:tag w:val="_GBC_d1852fb41d2a420f9f1d78c35235341a"/>
          <w:id w:val="1984507686"/>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sdt>
      <w:sdtPr>
        <w:rPr>
          <w:color w:val="000000" w:themeColor="text1"/>
        </w:rPr>
        <w:alias w:val="对外股权投资总体分析"/>
        <w:tag w:val="_GBC_cef6637b11fc44ed960eb269931b50e8"/>
        <w:id w:val="188339732"/>
        <w:placeholder>
          <w:docPart w:val="GBC22222222222222222222222222222"/>
        </w:placeholder>
      </w:sdtPr>
      <w:sdtEndPr>
        <w:rPr>
          <w:highlight w:val="yellow"/>
        </w:rPr>
      </w:sdtEndPr>
      <w:sdtContent>
        <w:p w:rsidR="000C5659" w:rsidRDefault="000E33C4">
          <w:pPr>
            <w:rPr>
              <w:color w:val="000000" w:themeColor="text1"/>
            </w:rPr>
          </w:pPr>
          <w:r>
            <w:rPr>
              <w:rFonts w:hint="eastAsia"/>
              <w:color w:val="000000" w:themeColor="text1"/>
            </w:rPr>
            <w:t>报告期内，公司股权投资交割及新增股权投资情况如下：</w:t>
          </w:r>
        </w:p>
        <w:p w:rsidR="000C5659" w:rsidRDefault="000E33C4">
          <w:pPr>
            <w:ind w:firstLineChars="200" w:firstLine="420"/>
            <w:jc w:val="both"/>
            <w:rPr>
              <w:color w:val="000000" w:themeColor="text1"/>
            </w:rPr>
          </w:pPr>
          <w:r>
            <w:rPr>
              <w:rFonts w:hint="eastAsia"/>
              <w:color w:val="000000" w:themeColor="text1"/>
            </w:rPr>
            <w:t>（1）公司通过股权转让及增资方式取得善恩康</w:t>
          </w:r>
          <w:r>
            <w:rPr>
              <w:color w:val="000000" w:themeColor="text1"/>
            </w:rPr>
            <w:t>52.0006%股权交易的交割条件已全部满足，善恩康已完成相关工商变更、登记手续，并取得昆山市行政审批局换发的《营业执照》，正式成</w:t>
          </w:r>
          <w:r>
            <w:rPr>
              <w:color w:val="000000" w:themeColor="text1"/>
            </w:rPr>
            <w:lastRenderedPageBreak/>
            <w:t>为公司的控股子公司，纳入公司合并财务报表范围。详见公司于2024年4月8日披露的《关于收购善恩康部分股权交割完成的公告》（公告编号：2024-006）</w:t>
          </w:r>
          <w:r>
            <w:rPr>
              <w:rFonts w:hint="eastAsia"/>
              <w:color w:val="000000" w:themeColor="text1"/>
            </w:rPr>
            <w:t>。</w:t>
          </w:r>
        </w:p>
        <w:p w:rsidR="000C5659" w:rsidRDefault="000E33C4">
          <w:pPr>
            <w:ind w:firstLineChars="200" w:firstLine="420"/>
            <w:jc w:val="both"/>
            <w:rPr>
              <w:color w:val="000000" w:themeColor="text1"/>
            </w:rPr>
          </w:pPr>
          <w:r>
            <w:rPr>
              <w:rFonts w:hint="eastAsia"/>
              <w:color w:val="000000" w:themeColor="text1"/>
            </w:rPr>
            <w:t>（</w:t>
          </w:r>
          <w:r>
            <w:rPr>
              <w:color w:val="000000" w:themeColor="text1"/>
            </w:rPr>
            <w:t>2</w:t>
          </w:r>
          <w:r>
            <w:rPr>
              <w:rFonts w:hint="eastAsia"/>
              <w:color w:val="000000" w:themeColor="text1"/>
            </w:rPr>
            <w:t>）</w:t>
          </w:r>
          <w:r>
            <w:rPr>
              <w:color w:val="000000" w:themeColor="text1"/>
            </w:rPr>
            <w:t>公司全资子公司</w:t>
          </w:r>
          <w:r>
            <w:rPr>
              <w:rFonts w:hint="eastAsia"/>
              <w:color w:val="000000" w:themeColor="text1"/>
            </w:rPr>
            <w:t>倍加洁日化</w:t>
          </w:r>
          <w:r>
            <w:rPr>
              <w:color w:val="000000" w:themeColor="text1"/>
            </w:rPr>
            <w:t>在杭州设立子公司杭州益</w:t>
          </w:r>
          <w:r>
            <w:rPr>
              <w:rFonts w:hint="eastAsia"/>
              <w:color w:val="000000" w:themeColor="text1"/>
            </w:rPr>
            <w:t>亲，投资金额6</w:t>
          </w:r>
          <w:r>
            <w:rPr>
              <w:color w:val="000000" w:themeColor="text1"/>
            </w:rPr>
            <w:t>00</w:t>
          </w:r>
          <w:r>
            <w:rPr>
              <w:rFonts w:hint="eastAsia"/>
              <w:color w:val="000000" w:themeColor="text1"/>
            </w:rPr>
            <w:t>万元</w:t>
          </w:r>
          <w:r>
            <w:rPr>
              <w:color w:val="000000" w:themeColor="text1"/>
            </w:rPr>
            <w:t>。详见公司于2024年5月11日披露的《倍加洁关于全资子公司对外投资设立子公</w:t>
          </w:r>
          <w:r>
            <w:rPr>
              <w:rFonts w:hint="eastAsia"/>
              <w:color w:val="000000" w:themeColor="text1"/>
            </w:rPr>
            <w:t>司的公告</w:t>
          </w:r>
          <w:r>
            <w:rPr>
              <w:color w:val="000000" w:themeColor="text1"/>
            </w:rPr>
            <w:t>》（公告编号</w:t>
          </w:r>
          <w:r>
            <w:rPr>
              <w:rFonts w:hint="eastAsia"/>
              <w:color w:val="000000" w:themeColor="text1"/>
            </w:rPr>
            <w:t>：</w:t>
          </w:r>
          <w:r>
            <w:rPr>
              <w:color w:val="000000" w:themeColor="text1"/>
            </w:rPr>
            <w:t>2024-027）。</w:t>
          </w:r>
        </w:p>
        <w:p w:rsidR="000C5659" w:rsidRDefault="000E33C4">
          <w:pPr>
            <w:ind w:firstLineChars="200" w:firstLine="420"/>
            <w:jc w:val="both"/>
            <w:rPr>
              <w:color w:val="000000" w:themeColor="text1"/>
            </w:rPr>
          </w:pPr>
          <w:r>
            <w:rPr>
              <w:rFonts w:hint="eastAsia"/>
              <w:color w:val="000000" w:themeColor="text1"/>
            </w:rPr>
            <w:t>（3）公司全资子公司南京沄洁参与了广州市海珠区人民法院于</w:t>
          </w:r>
          <w:r>
            <w:rPr>
              <w:color w:val="000000" w:themeColor="text1"/>
            </w:rPr>
            <w:t>2024年5月23日上午10时至2024年5月24日上午10时举行的对陈子红持有的薇美姿1.59%股权（出资数额178.6万元）的网络竞拍</w:t>
          </w:r>
          <w:r>
            <w:rPr>
              <w:rFonts w:hint="eastAsia"/>
              <w:color w:val="000000" w:themeColor="text1"/>
            </w:rPr>
            <w:t>，以起拍价</w:t>
          </w:r>
          <w:r>
            <w:rPr>
              <w:color w:val="000000" w:themeColor="text1"/>
            </w:rPr>
            <w:t>2,531.47万元人民币竞得了陈子红持有的薇美姿1.59%股权（出资数</w:t>
          </w:r>
          <w:r>
            <w:rPr>
              <w:rFonts w:hint="eastAsia"/>
              <w:color w:val="000000" w:themeColor="text1"/>
            </w:rPr>
            <w:t>额</w:t>
          </w:r>
          <w:r>
            <w:rPr>
              <w:color w:val="000000" w:themeColor="text1"/>
            </w:rPr>
            <w:t>178.6万元）</w:t>
          </w:r>
          <w:r>
            <w:rPr>
              <w:rFonts w:hint="eastAsia"/>
              <w:color w:val="000000" w:themeColor="text1"/>
            </w:rPr>
            <w:t>，</w:t>
          </w:r>
          <w:r>
            <w:rPr>
              <w:color w:val="000000" w:themeColor="text1"/>
            </w:rPr>
            <w:t>并取得了《网络竞价成功确认书》</w:t>
          </w:r>
          <w:r>
            <w:rPr>
              <w:rFonts w:hint="eastAsia"/>
              <w:color w:val="000000" w:themeColor="text1"/>
            </w:rPr>
            <w:t>,</w:t>
          </w:r>
          <w:r>
            <w:rPr>
              <w:rFonts w:hint="eastAsia"/>
            </w:rPr>
            <w:t xml:space="preserve"> 目前</w:t>
          </w:r>
          <w:r>
            <w:rPr>
              <w:rFonts w:hint="eastAsia"/>
              <w:color w:val="000000" w:themeColor="text1"/>
            </w:rPr>
            <w:t>南京沄洁尚未取得拍卖成交裁定，各方尚未办结其他相关股权转让手续。详见公司于2</w:t>
          </w:r>
          <w:r>
            <w:rPr>
              <w:color w:val="000000" w:themeColor="text1"/>
            </w:rPr>
            <w:t>024</w:t>
          </w:r>
          <w:r>
            <w:rPr>
              <w:rFonts w:hint="eastAsia"/>
              <w:color w:val="000000" w:themeColor="text1"/>
            </w:rPr>
            <w:t>年5月2</w:t>
          </w:r>
          <w:r>
            <w:rPr>
              <w:color w:val="000000" w:themeColor="text1"/>
            </w:rPr>
            <w:t>5</w:t>
          </w:r>
          <w:r>
            <w:rPr>
              <w:rFonts w:hint="eastAsia"/>
              <w:color w:val="000000" w:themeColor="text1"/>
            </w:rPr>
            <w:t>日披露的《倍加洁关于全资子公司参与竞拍薇美姿实业</w:t>
          </w:r>
          <w:r>
            <w:rPr>
              <w:color w:val="000000" w:themeColor="text1"/>
            </w:rPr>
            <w:t>(广东)股份有限公司1.59%股权进展的公告</w:t>
          </w:r>
          <w:r>
            <w:rPr>
              <w:rFonts w:hint="eastAsia"/>
              <w:color w:val="000000" w:themeColor="text1"/>
            </w:rPr>
            <w:t>》（公告编号：2</w:t>
          </w:r>
          <w:r>
            <w:rPr>
              <w:color w:val="000000" w:themeColor="text1"/>
            </w:rPr>
            <w:t>024-030</w:t>
          </w:r>
          <w:r>
            <w:rPr>
              <w:rFonts w:hint="eastAsia"/>
              <w:color w:val="000000" w:themeColor="text1"/>
            </w:rPr>
            <w:t>）。</w:t>
          </w:r>
        </w:p>
      </w:sdtContent>
    </w:sdt>
    <w:p w:rsidR="004D0C8B" w:rsidRDefault="004D0C8B" w:rsidP="004D0C8B">
      <w:pPr>
        <w:jc w:val="both"/>
        <w:rPr>
          <w:color w:val="000000" w:themeColor="text1"/>
        </w:rPr>
      </w:pPr>
    </w:p>
    <w:p w:rsidR="000C5659" w:rsidRDefault="000C5659">
      <w:pPr>
        <w:rPr>
          <w:color w:val="000000" w:themeColor="text1"/>
        </w:rPr>
        <w:sectPr w:rsidR="000C5659">
          <w:pgSz w:w="11906" w:h="16838"/>
          <w:pgMar w:top="1525" w:right="1276" w:bottom="1440" w:left="1797" w:header="851" w:footer="992" w:gutter="0"/>
          <w:cols w:space="425"/>
          <w:docGrid w:linePitch="312"/>
        </w:sectPr>
      </w:pPr>
    </w:p>
    <w:p w:rsidR="000C5659" w:rsidRDefault="000E33C4" w:rsidP="000743DD">
      <w:pPr>
        <w:pStyle w:val="5"/>
        <w:numPr>
          <w:ilvl w:val="0"/>
          <w:numId w:val="13"/>
        </w:numPr>
        <w:tabs>
          <w:tab w:val="left" w:pos="360"/>
        </w:tabs>
        <w:ind w:left="0" w:firstLine="0"/>
        <w:rPr>
          <w:color w:val="000000" w:themeColor="text1"/>
          <w:szCs w:val="21"/>
        </w:rPr>
      </w:pPr>
      <w:bookmarkStart w:id="37" w:name="_Hlk137045665"/>
      <w:r>
        <w:rPr>
          <w:rFonts w:hint="eastAsia"/>
          <w:color w:val="000000" w:themeColor="text1"/>
          <w:szCs w:val="21"/>
        </w:rPr>
        <w:lastRenderedPageBreak/>
        <w:t>重大的股权投资</w:t>
      </w:r>
    </w:p>
    <w:sdt>
      <w:sdtPr>
        <w:rPr>
          <w:rFonts w:hint="eastAsia"/>
          <w:color w:val="000000" w:themeColor="text1"/>
        </w:rPr>
        <w:alias w:val="是否适用：重大的股权投资[双击切换]"/>
        <w:tag w:val="_GBC_9d4d997d9f994cccbb938afa207cfaf2"/>
        <w:id w:val="42607877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7"/>
    <w:p w:rsidR="004D0C8B" w:rsidRDefault="004D0C8B">
      <w:pPr>
        <w:jc w:val="right"/>
        <w:rPr>
          <w:color w:val="000000" w:themeColor="text1"/>
        </w:rPr>
      </w:pPr>
    </w:p>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重大的股权投资"/>
          <w:tag w:val="_GBC_db44489b1cb7431aa575bc3fb192bc52"/>
          <w:id w:val="1498156934"/>
          <w:placeholder>
            <w:docPart w:val="BDDD5562FF3440CAA632659A3A379C04"/>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重大的股权投资"/>
          <w:tag w:val="_GBC_d362510f1d434ad7b97b38e2d32ab381"/>
          <w:id w:val="-513065076"/>
          <w:placeholder>
            <w:docPart w:val="BDDD5562FF3440CAA632659A3A379C04"/>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B708C8">
            <w:rPr>
              <w:rFonts w:hint="eastAsia"/>
              <w:color w:val="000000" w:themeColor="text1"/>
            </w:rPr>
            <w:t>人民币</w:t>
          </w:r>
        </w:sdtContent>
      </w:sdt>
    </w:p>
    <w:tbl>
      <w:tblPr>
        <w:tblStyle w:val="g1"/>
        <w:tblW w:w="142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787"/>
        <w:gridCol w:w="578"/>
        <w:gridCol w:w="655"/>
        <w:gridCol w:w="1266"/>
        <w:gridCol w:w="1101"/>
        <w:gridCol w:w="613"/>
        <w:gridCol w:w="807"/>
        <w:gridCol w:w="748"/>
        <w:gridCol w:w="690"/>
        <w:gridCol w:w="952"/>
        <w:gridCol w:w="725"/>
        <w:gridCol w:w="797"/>
        <w:gridCol w:w="1161"/>
        <w:gridCol w:w="566"/>
        <w:gridCol w:w="636"/>
        <w:gridCol w:w="1402"/>
      </w:tblGrid>
      <w:tr w:rsidR="000C5659">
        <w:sdt>
          <w:sdtPr>
            <w:rPr>
              <w:rFonts w:hint="eastAsia"/>
              <w:color w:val="000000" w:themeColor="text1"/>
            </w:rPr>
            <w:tag w:val="_PLD_860f89f13ca14d8dad4e43fe5d02f00d"/>
            <w:id w:val="772605815"/>
          </w:sdtPr>
          <w:sdtEndPr/>
          <w:sdtContent>
            <w:tc>
              <w:tcPr>
                <w:tcW w:w="788" w:type="dxa"/>
                <w:shd w:val="clear" w:color="auto" w:fill="auto"/>
                <w:vAlign w:val="center"/>
              </w:tcPr>
              <w:p w:rsidR="000C5659" w:rsidRDefault="000E33C4">
                <w:pPr>
                  <w:widowControl w:val="0"/>
                  <w:jc w:val="center"/>
                  <w:rPr>
                    <w:color w:val="000000" w:themeColor="text1"/>
                  </w:rPr>
                </w:pPr>
                <w:r>
                  <w:rPr>
                    <w:rFonts w:hint="eastAsia"/>
                    <w:color w:val="000000" w:themeColor="text1"/>
                  </w:rPr>
                  <w:t>被投资公司名称</w:t>
                </w:r>
              </w:p>
            </w:tc>
          </w:sdtContent>
        </w:sdt>
        <w:sdt>
          <w:sdtPr>
            <w:rPr>
              <w:rFonts w:hint="eastAsia"/>
              <w:color w:val="000000" w:themeColor="text1"/>
            </w:rPr>
            <w:tag w:val="_PLD_d576a9615250479c8201e2cb390dcaaa"/>
            <w:id w:val="-1467427515"/>
          </w:sdtPr>
          <w:sdtEndPr/>
          <w:sdtContent>
            <w:tc>
              <w:tcPr>
                <w:tcW w:w="788" w:type="dxa"/>
                <w:shd w:val="clear" w:color="auto" w:fill="auto"/>
                <w:vAlign w:val="center"/>
              </w:tcPr>
              <w:p w:rsidR="000C5659" w:rsidRDefault="000E33C4">
                <w:pPr>
                  <w:widowControl w:val="0"/>
                  <w:jc w:val="center"/>
                  <w:rPr>
                    <w:color w:val="000000" w:themeColor="text1"/>
                  </w:rPr>
                </w:pPr>
                <w:r>
                  <w:rPr>
                    <w:rFonts w:hint="eastAsia"/>
                    <w:color w:val="000000" w:themeColor="text1"/>
                  </w:rPr>
                  <w:t>主要业务</w:t>
                </w:r>
              </w:p>
            </w:tc>
          </w:sdtContent>
        </w:sdt>
        <w:sdt>
          <w:sdtPr>
            <w:rPr>
              <w:rFonts w:hint="eastAsia"/>
              <w:color w:val="000000" w:themeColor="text1"/>
            </w:rPr>
            <w:tag w:val="_PLD_009359a5f4ff4955972e4f51c0ec2c75"/>
            <w:id w:val="276682474"/>
          </w:sdtPr>
          <w:sdtEndPr/>
          <w:sdtContent>
            <w:tc>
              <w:tcPr>
                <w:tcW w:w="579" w:type="dxa"/>
                <w:vAlign w:val="center"/>
              </w:tcPr>
              <w:p w:rsidR="000C5659" w:rsidRDefault="000E33C4">
                <w:pPr>
                  <w:widowControl w:val="0"/>
                  <w:jc w:val="center"/>
                  <w:rPr>
                    <w:color w:val="000000" w:themeColor="text1"/>
                  </w:rPr>
                </w:pPr>
                <w:r>
                  <w:rPr>
                    <w:rFonts w:hint="eastAsia"/>
                    <w:color w:val="000000" w:themeColor="text1"/>
                  </w:rPr>
                  <w:t>标的是否主营投资业务</w:t>
                </w:r>
              </w:p>
            </w:tc>
          </w:sdtContent>
        </w:sdt>
        <w:sdt>
          <w:sdtPr>
            <w:rPr>
              <w:rFonts w:hint="eastAsia"/>
              <w:color w:val="000000" w:themeColor="text1"/>
            </w:rPr>
            <w:tag w:val="_PLD_73182ab1a050447ab1bad40c8704b037"/>
            <w:id w:val="1159115885"/>
          </w:sdtPr>
          <w:sdtEndPr/>
          <w:sdtContent>
            <w:tc>
              <w:tcPr>
                <w:tcW w:w="656" w:type="dxa"/>
                <w:shd w:val="clear" w:color="auto" w:fill="auto"/>
                <w:vAlign w:val="center"/>
              </w:tcPr>
              <w:p w:rsidR="000C5659" w:rsidRDefault="000E33C4">
                <w:pPr>
                  <w:widowControl w:val="0"/>
                  <w:jc w:val="center"/>
                  <w:rPr>
                    <w:color w:val="000000" w:themeColor="text1"/>
                  </w:rPr>
                </w:pPr>
                <w:r>
                  <w:rPr>
                    <w:rFonts w:hint="eastAsia"/>
                    <w:color w:val="000000" w:themeColor="text1"/>
                  </w:rPr>
                  <w:t>投资方式</w:t>
                </w:r>
              </w:p>
            </w:tc>
          </w:sdtContent>
        </w:sdt>
        <w:sdt>
          <w:sdtPr>
            <w:rPr>
              <w:rFonts w:hint="eastAsia"/>
              <w:color w:val="000000" w:themeColor="text1"/>
            </w:rPr>
            <w:tag w:val="_PLD_086b61df1c1e407e90e475a205072c22"/>
            <w:id w:val="289870409"/>
          </w:sdtPr>
          <w:sdtEndPr/>
          <w:sdtContent>
            <w:tc>
              <w:tcPr>
                <w:tcW w:w="1266" w:type="dxa"/>
                <w:shd w:val="clear" w:color="auto" w:fill="auto"/>
                <w:vAlign w:val="center"/>
              </w:tcPr>
              <w:p w:rsidR="000C5659" w:rsidRDefault="000E33C4">
                <w:pPr>
                  <w:widowControl w:val="0"/>
                  <w:jc w:val="center"/>
                  <w:rPr>
                    <w:color w:val="000000" w:themeColor="text1"/>
                  </w:rPr>
                </w:pPr>
                <w:r>
                  <w:rPr>
                    <w:rFonts w:hint="eastAsia"/>
                    <w:color w:val="000000" w:themeColor="text1"/>
                  </w:rPr>
                  <w:t>投资金额</w:t>
                </w:r>
              </w:p>
            </w:tc>
          </w:sdtContent>
        </w:sdt>
        <w:sdt>
          <w:sdtPr>
            <w:rPr>
              <w:rFonts w:hint="eastAsia"/>
              <w:color w:val="000000" w:themeColor="text1"/>
            </w:rPr>
            <w:tag w:val="_PLD_fe61041bbf814cae9e7d68e3ed511786"/>
            <w:id w:val="-812101593"/>
          </w:sdtPr>
          <w:sdtEndPr/>
          <w:sdtContent>
            <w:tc>
              <w:tcPr>
                <w:tcW w:w="1101" w:type="dxa"/>
                <w:shd w:val="clear" w:color="auto" w:fill="auto"/>
                <w:vAlign w:val="center"/>
              </w:tcPr>
              <w:p w:rsidR="000C5659" w:rsidRDefault="000E33C4">
                <w:pPr>
                  <w:widowControl w:val="0"/>
                  <w:jc w:val="center"/>
                  <w:rPr>
                    <w:color w:val="000000" w:themeColor="text1"/>
                  </w:rPr>
                </w:pPr>
                <w:r>
                  <w:rPr>
                    <w:rFonts w:hint="eastAsia"/>
                    <w:color w:val="000000" w:themeColor="text1"/>
                  </w:rPr>
                  <w:t>持股比例</w:t>
                </w:r>
              </w:p>
            </w:tc>
          </w:sdtContent>
        </w:sdt>
        <w:sdt>
          <w:sdtPr>
            <w:rPr>
              <w:rFonts w:hint="eastAsia"/>
              <w:color w:val="000000" w:themeColor="text1"/>
            </w:rPr>
            <w:tag w:val="_PLD_5a32ea77af864b528580819f5d19c03b"/>
            <w:id w:val="911195724"/>
          </w:sdtPr>
          <w:sdtEndPr/>
          <w:sdtContent>
            <w:tc>
              <w:tcPr>
                <w:tcW w:w="614" w:type="dxa"/>
                <w:shd w:val="clear" w:color="auto" w:fill="auto"/>
                <w:vAlign w:val="center"/>
              </w:tcPr>
              <w:p w:rsidR="000C5659" w:rsidRDefault="000E33C4">
                <w:pPr>
                  <w:widowControl w:val="0"/>
                  <w:jc w:val="center"/>
                  <w:rPr>
                    <w:color w:val="000000" w:themeColor="text1"/>
                  </w:rPr>
                </w:pPr>
                <w:r>
                  <w:rPr>
                    <w:rFonts w:hint="eastAsia"/>
                    <w:color w:val="000000" w:themeColor="text1"/>
                  </w:rPr>
                  <w:t>是否并表</w:t>
                </w:r>
              </w:p>
            </w:tc>
          </w:sdtContent>
        </w:sdt>
        <w:sdt>
          <w:sdtPr>
            <w:rPr>
              <w:rFonts w:hint="eastAsia"/>
              <w:color w:val="000000" w:themeColor="text1"/>
            </w:rPr>
            <w:tag w:val="_PLD_00176e22a0734428b14c927bc61601ca"/>
            <w:id w:val="-1352024944"/>
          </w:sdtPr>
          <w:sdtEndPr/>
          <w:sdtContent>
            <w:tc>
              <w:tcPr>
                <w:tcW w:w="808" w:type="dxa"/>
                <w:shd w:val="clear" w:color="auto" w:fill="auto"/>
                <w:vAlign w:val="center"/>
              </w:tcPr>
              <w:p w:rsidR="000C5659" w:rsidRDefault="000E33C4">
                <w:pPr>
                  <w:widowControl w:val="0"/>
                  <w:jc w:val="center"/>
                  <w:rPr>
                    <w:color w:val="000000" w:themeColor="text1"/>
                  </w:rPr>
                </w:pPr>
                <w:r>
                  <w:rPr>
                    <w:rFonts w:hint="eastAsia"/>
                    <w:color w:val="000000" w:themeColor="text1"/>
                  </w:rPr>
                  <w:t>报表科目（如适用）</w:t>
                </w:r>
              </w:p>
            </w:tc>
          </w:sdtContent>
        </w:sdt>
        <w:sdt>
          <w:sdtPr>
            <w:rPr>
              <w:rFonts w:hint="eastAsia"/>
              <w:color w:val="000000" w:themeColor="text1"/>
            </w:rPr>
            <w:tag w:val="_PLD_50791cadff914ba1b32b680747281c4b"/>
            <w:id w:val="1396244868"/>
          </w:sdtPr>
          <w:sdtEndPr/>
          <w:sdtContent>
            <w:tc>
              <w:tcPr>
                <w:tcW w:w="748" w:type="dxa"/>
                <w:shd w:val="clear" w:color="auto" w:fill="auto"/>
                <w:vAlign w:val="center"/>
              </w:tcPr>
              <w:p w:rsidR="000C5659" w:rsidRDefault="000E33C4">
                <w:pPr>
                  <w:widowControl w:val="0"/>
                  <w:jc w:val="center"/>
                  <w:rPr>
                    <w:color w:val="000000" w:themeColor="text1"/>
                  </w:rPr>
                </w:pPr>
                <w:r>
                  <w:rPr>
                    <w:rFonts w:hint="eastAsia"/>
                    <w:color w:val="000000" w:themeColor="text1"/>
                  </w:rPr>
                  <w:t>资金来源</w:t>
                </w:r>
              </w:p>
            </w:tc>
          </w:sdtContent>
        </w:sdt>
        <w:sdt>
          <w:sdtPr>
            <w:rPr>
              <w:rFonts w:hint="eastAsia"/>
              <w:color w:val="000000" w:themeColor="text1"/>
            </w:rPr>
            <w:tag w:val="_PLD_0ec31f52970847d08b84bb11a3be416d"/>
            <w:id w:val="2010327276"/>
          </w:sdtPr>
          <w:sdtEndPr/>
          <w:sdtContent>
            <w:tc>
              <w:tcPr>
                <w:tcW w:w="690" w:type="dxa"/>
                <w:shd w:val="clear" w:color="auto" w:fill="auto"/>
                <w:vAlign w:val="center"/>
              </w:tcPr>
              <w:p w:rsidR="000C5659" w:rsidRDefault="000E33C4">
                <w:pPr>
                  <w:widowControl w:val="0"/>
                  <w:jc w:val="center"/>
                  <w:rPr>
                    <w:color w:val="000000" w:themeColor="text1"/>
                  </w:rPr>
                </w:pPr>
                <w:r>
                  <w:rPr>
                    <w:rFonts w:hint="eastAsia"/>
                    <w:color w:val="000000" w:themeColor="text1"/>
                  </w:rPr>
                  <w:t>合作方（如适用）</w:t>
                </w:r>
              </w:p>
            </w:tc>
          </w:sdtContent>
        </w:sdt>
        <w:sdt>
          <w:sdtPr>
            <w:rPr>
              <w:rFonts w:hint="eastAsia"/>
              <w:color w:val="000000" w:themeColor="text1"/>
            </w:rPr>
            <w:tag w:val="_PLD_f51864525d13444198ab8553c6440398"/>
            <w:id w:val="1038399431"/>
          </w:sdtPr>
          <w:sdtEndPr/>
          <w:sdtContent>
            <w:tc>
              <w:tcPr>
                <w:tcW w:w="953" w:type="dxa"/>
                <w:shd w:val="clear" w:color="auto" w:fill="auto"/>
                <w:vAlign w:val="center"/>
              </w:tcPr>
              <w:p w:rsidR="000C5659" w:rsidRDefault="000E33C4">
                <w:pPr>
                  <w:widowControl w:val="0"/>
                  <w:jc w:val="center"/>
                  <w:rPr>
                    <w:color w:val="000000" w:themeColor="text1"/>
                  </w:rPr>
                </w:pPr>
                <w:r>
                  <w:rPr>
                    <w:rFonts w:hint="eastAsia"/>
                    <w:color w:val="000000" w:themeColor="text1"/>
                  </w:rPr>
                  <w:t>投资期限（如有）</w:t>
                </w:r>
              </w:p>
            </w:tc>
          </w:sdtContent>
        </w:sdt>
        <w:sdt>
          <w:sdtPr>
            <w:rPr>
              <w:rFonts w:hint="eastAsia"/>
              <w:color w:val="000000" w:themeColor="text1"/>
            </w:rPr>
            <w:tag w:val="_PLD_74d23540da68472491b177a9b36ee411"/>
            <w:id w:val="-1488316229"/>
          </w:sdtPr>
          <w:sdtEndPr/>
          <w:sdtContent>
            <w:tc>
              <w:tcPr>
                <w:tcW w:w="726" w:type="dxa"/>
                <w:shd w:val="clear" w:color="auto" w:fill="auto"/>
                <w:vAlign w:val="center"/>
              </w:tcPr>
              <w:p w:rsidR="000C5659" w:rsidRDefault="000E33C4">
                <w:pPr>
                  <w:widowControl w:val="0"/>
                  <w:jc w:val="center"/>
                  <w:rPr>
                    <w:color w:val="000000" w:themeColor="text1"/>
                  </w:rPr>
                </w:pPr>
                <w:r>
                  <w:rPr>
                    <w:rFonts w:hint="eastAsia"/>
                    <w:color w:val="000000" w:themeColor="text1"/>
                  </w:rPr>
                  <w:t>截至资产负债表日的进展情况</w:t>
                </w:r>
              </w:p>
            </w:tc>
          </w:sdtContent>
        </w:sdt>
        <w:sdt>
          <w:sdtPr>
            <w:rPr>
              <w:rFonts w:hint="eastAsia"/>
              <w:color w:val="000000" w:themeColor="text1"/>
            </w:rPr>
            <w:tag w:val="_PLD_2a56fe6b070d416e9bd0faf6575cba41"/>
            <w:id w:val="495235300"/>
          </w:sdtPr>
          <w:sdtEndPr/>
          <w:sdtContent>
            <w:tc>
              <w:tcPr>
                <w:tcW w:w="798" w:type="dxa"/>
                <w:shd w:val="clear" w:color="auto" w:fill="auto"/>
                <w:vAlign w:val="center"/>
              </w:tcPr>
              <w:p w:rsidR="000C5659" w:rsidRDefault="000E33C4">
                <w:pPr>
                  <w:widowControl w:val="0"/>
                  <w:jc w:val="center"/>
                  <w:rPr>
                    <w:color w:val="000000" w:themeColor="text1"/>
                  </w:rPr>
                </w:pPr>
                <w:r>
                  <w:rPr>
                    <w:rFonts w:hint="eastAsia"/>
                    <w:color w:val="000000" w:themeColor="text1"/>
                  </w:rPr>
                  <w:t>预计收益（如有）</w:t>
                </w:r>
              </w:p>
            </w:tc>
          </w:sdtContent>
        </w:sdt>
        <w:sdt>
          <w:sdtPr>
            <w:rPr>
              <w:rFonts w:hint="eastAsia"/>
              <w:color w:val="000000" w:themeColor="text1"/>
            </w:rPr>
            <w:tag w:val="_PLD_14f2283bcc504c558015cf793f396a9f"/>
            <w:id w:val="2000773677"/>
          </w:sdtPr>
          <w:sdtEndPr/>
          <w:sdtContent>
            <w:tc>
              <w:tcPr>
                <w:tcW w:w="1161" w:type="dxa"/>
                <w:shd w:val="clear" w:color="auto" w:fill="auto"/>
                <w:vAlign w:val="center"/>
              </w:tcPr>
              <w:p w:rsidR="000C5659" w:rsidRDefault="000E33C4">
                <w:pPr>
                  <w:widowControl w:val="0"/>
                  <w:jc w:val="center"/>
                  <w:rPr>
                    <w:color w:val="000000" w:themeColor="text1"/>
                  </w:rPr>
                </w:pPr>
                <w:r>
                  <w:rPr>
                    <w:rFonts w:hint="eastAsia"/>
                    <w:color w:val="000000" w:themeColor="text1"/>
                  </w:rPr>
                  <w:t>本期损益影响</w:t>
                </w:r>
              </w:p>
            </w:tc>
          </w:sdtContent>
        </w:sdt>
        <w:sdt>
          <w:sdtPr>
            <w:rPr>
              <w:rFonts w:hint="eastAsia"/>
              <w:color w:val="000000" w:themeColor="text1"/>
            </w:rPr>
            <w:tag w:val="_PLD_96ba2707000547e3a8d992c22cbe7164"/>
            <w:id w:val="-1473667404"/>
          </w:sdtPr>
          <w:sdtEndPr/>
          <w:sdtContent>
            <w:tc>
              <w:tcPr>
                <w:tcW w:w="567" w:type="dxa"/>
                <w:shd w:val="clear" w:color="auto" w:fill="auto"/>
                <w:vAlign w:val="center"/>
              </w:tcPr>
              <w:p w:rsidR="000C5659" w:rsidRDefault="000E33C4">
                <w:pPr>
                  <w:widowControl w:val="0"/>
                  <w:jc w:val="center"/>
                  <w:rPr>
                    <w:color w:val="000000" w:themeColor="text1"/>
                  </w:rPr>
                </w:pPr>
                <w:r>
                  <w:rPr>
                    <w:rFonts w:hint="eastAsia"/>
                    <w:color w:val="000000" w:themeColor="text1"/>
                  </w:rPr>
                  <w:t>是否涉诉</w:t>
                </w:r>
              </w:p>
            </w:tc>
          </w:sdtContent>
        </w:sdt>
        <w:sdt>
          <w:sdtPr>
            <w:rPr>
              <w:rFonts w:hint="eastAsia"/>
              <w:color w:val="000000" w:themeColor="text1"/>
            </w:rPr>
            <w:tag w:val="_PLD_15d628cac6d14f6fb56a9a926ea9549f"/>
            <w:id w:val="-1118756106"/>
          </w:sdtPr>
          <w:sdtEndPr/>
          <w:sdtContent>
            <w:tc>
              <w:tcPr>
                <w:tcW w:w="623" w:type="dxa"/>
                <w:shd w:val="clear" w:color="auto" w:fill="auto"/>
                <w:vAlign w:val="center"/>
              </w:tcPr>
              <w:p w:rsidR="000C5659" w:rsidRDefault="000E33C4">
                <w:pPr>
                  <w:widowControl w:val="0"/>
                  <w:jc w:val="center"/>
                  <w:rPr>
                    <w:color w:val="000000" w:themeColor="text1"/>
                  </w:rPr>
                </w:pPr>
                <w:r>
                  <w:rPr>
                    <w:rFonts w:hint="eastAsia"/>
                    <w:color w:val="000000" w:themeColor="text1"/>
                  </w:rPr>
                  <w:t>披露日期（如有）</w:t>
                </w:r>
              </w:p>
            </w:tc>
          </w:sdtContent>
        </w:sdt>
        <w:sdt>
          <w:sdtPr>
            <w:rPr>
              <w:rFonts w:hint="eastAsia"/>
              <w:color w:val="000000" w:themeColor="text1"/>
            </w:rPr>
            <w:tag w:val="_PLD_442f882f64a7466aaf49e971c9ab8062"/>
            <w:id w:val="-1979445655"/>
          </w:sdtPr>
          <w:sdtEndPr/>
          <w:sdtContent>
            <w:tc>
              <w:tcPr>
                <w:tcW w:w="1405" w:type="dxa"/>
                <w:shd w:val="clear" w:color="auto" w:fill="auto"/>
                <w:vAlign w:val="center"/>
              </w:tcPr>
              <w:p w:rsidR="000C5659" w:rsidRDefault="000E33C4">
                <w:pPr>
                  <w:widowControl w:val="0"/>
                  <w:jc w:val="center"/>
                  <w:rPr>
                    <w:color w:val="000000" w:themeColor="text1"/>
                  </w:rPr>
                </w:pPr>
                <w:r>
                  <w:rPr>
                    <w:rFonts w:hint="eastAsia"/>
                    <w:color w:val="000000" w:themeColor="text1"/>
                  </w:rPr>
                  <w:t>披露索引（如有）</w:t>
                </w:r>
              </w:p>
            </w:tc>
          </w:sdtContent>
        </w:sdt>
      </w:tr>
      <w:tr w:rsidR="000C5659" w:rsidTr="00241718">
        <w:trPr>
          <w:trHeight w:val="2008"/>
        </w:trPr>
        <w:tc>
          <w:tcPr>
            <w:tcW w:w="788" w:type="dxa"/>
            <w:vMerge w:val="restart"/>
            <w:shd w:val="clear" w:color="auto" w:fill="auto"/>
          </w:tcPr>
          <w:p w:rsidR="000C5659" w:rsidRDefault="000E33C4">
            <w:pPr>
              <w:widowControl w:val="0"/>
            </w:pPr>
            <w:r>
              <w:rPr>
                <w:rFonts w:hint="eastAsia"/>
              </w:rPr>
              <w:t>薇美姿实业（广东）股份有限公司</w:t>
            </w:r>
          </w:p>
        </w:tc>
        <w:tc>
          <w:tcPr>
            <w:tcW w:w="788" w:type="dxa"/>
            <w:vMerge w:val="restart"/>
            <w:shd w:val="clear" w:color="auto" w:fill="auto"/>
          </w:tcPr>
          <w:p w:rsidR="000C5659" w:rsidRDefault="000E33C4">
            <w:pPr>
              <w:widowControl w:val="0"/>
            </w:pPr>
            <w:r>
              <w:rPr>
                <w:rFonts w:hint="eastAsia"/>
              </w:rPr>
              <w:t>日化品制造、销售</w:t>
            </w:r>
          </w:p>
        </w:tc>
        <w:sdt>
          <w:sdtPr>
            <w:rPr>
              <w:rFonts w:hint="eastAsia"/>
              <w:color w:val="000000" w:themeColor="text1"/>
            </w:rPr>
            <w:alias w:val="重大的股权投资_投资标的是否系投资性主体 "/>
            <w:tag w:val="_GBC_7074b1f516a842289a77c38bd61ff0d7"/>
            <w:id w:val="365962916"/>
            <w:comboBox>
              <w:listItem w:displayText="是" w:value="是"/>
              <w:listItem w:displayText="否" w:value="否"/>
            </w:comboBox>
          </w:sdtPr>
          <w:sdtEndPr/>
          <w:sdtContent>
            <w:tc>
              <w:tcPr>
                <w:tcW w:w="579" w:type="dxa"/>
              </w:tcPr>
              <w:p w:rsidR="000C5659" w:rsidRDefault="00B708C8">
                <w:pPr>
                  <w:widowControl w:val="0"/>
                  <w:rPr>
                    <w:color w:val="000000" w:themeColor="text1"/>
                  </w:rPr>
                </w:pPr>
                <w:r>
                  <w:rPr>
                    <w:rFonts w:hint="eastAsia"/>
                    <w:color w:val="000000" w:themeColor="text1"/>
                  </w:rPr>
                  <w:t>否</w:t>
                </w:r>
              </w:p>
            </w:tc>
          </w:sdtContent>
        </w:sdt>
        <w:sdt>
          <w:sdtPr>
            <w:rPr>
              <w:rFonts w:hint="eastAsia"/>
              <w:color w:val="000000" w:themeColor="text1"/>
            </w:rPr>
            <w:alias w:val="重大的股权投资_投资方式"/>
            <w:tag w:val="_GBC_6657ab8cd3754f68a3199dda0335449b"/>
            <w:id w:val="-1283416643"/>
            <w:comboBox>
              <w:listItem w:displayText="新设" w:value="新设"/>
              <w:listItem w:displayText="增资" w:value="增资"/>
              <w:listItem w:displayText="收购" w:value="收购"/>
              <w:listItem w:displayText="其他" w:value="其他"/>
            </w:comboBox>
          </w:sdtPr>
          <w:sdtEndPr/>
          <w:sdtContent>
            <w:tc>
              <w:tcPr>
                <w:tcW w:w="656" w:type="dxa"/>
                <w:shd w:val="clear" w:color="auto" w:fill="auto"/>
              </w:tcPr>
              <w:p w:rsidR="000C5659" w:rsidRDefault="00B708C8">
                <w:pPr>
                  <w:widowControl w:val="0"/>
                  <w:rPr>
                    <w:color w:val="000000" w:themeColor="text1"/>
                  </w:rPr>
                </w:pPr>
                <w:r>
                  <w:rPr>
                    <w:rFonts w:hint="eastAsia"/>
                    <w:color w:val="000000" w:themeColor="text1"/>
                  </w:rPr>
                  <w:t>收购</w:t>
                </w:r>
              </w:p>
            </w:tc>
          </w:sdtContent>
        </w:sdt>
        <w:tc>
          <w:tcPr>
            <w:tcW w:w="1266" w:type="dxa"/>
            <w:shd w:val="clear" w:color="auto" w:fill="auto"/>
          </w:tcPr>
          <w:p w:rsidR="000C5659" w:rsidRDefault="000E33C4">
            <w:pPr>
              <w:widowControl w:val="0"/>
              <w:jc w:val="right"/>
            </w:pPr>
            <w:r>
              <w:rPr>
                <w:rFonts w:hint="eastAsia"/>
              </w:rPr>
              <w:t>4</w:t>
            </w:r>
            <w:r>
              <w:t>7,114.69</w:t>
            </w:r>
          </w:p>
        </w:tc>
        <w:tc>
          <w:tcPr>
            <w:tcW w:w="1101" w:type="dxa"/>
            <w:shd w:val="clear" w:color="auto" w:fill="auto"/>
          </w:tcPr>
          <w:p w:rsidR="000C5659" w:rsidRDefault="000E33C4">
            <w:pPr>
              <w:widowControl w:val="0"/>
            </w:pPr>
            <w:r>
              <w:rPr>
                <w:rFonts w:hint="eastAsia"/>
              </w:rPr>
              <w:t>1</w:t>
            </w:r>
            <w:r>
              <w:t>6.4967%</w:t>
            </w:r>
          </w:p>
        </w:tc>
        <w:sdt>
          <w:sdtPr>
            <w:rPr>
              <w:rFonts w:hint="eastAsia"/>
              <w:color w:val="000000" w:themeColor="text1"/>
            </w:rPr>
            <w:alias w:val="重大的股权投资_是否并表"/>
            <w:tag w:val="_GBC_b0896277ebbd444caa2c6dea05baf05e"/>
            <w:id w:val="-928352082"/>
            <w:comboBox>
              <w:listItem w:displayText="是" w:value="是"/>
              <w:listItem w:displayText="否" w:value="否"/>
            </w:comboBox>
          </w:sdtPr>
          <w:sdtEndPr/>
          <w:sdtContent>
            <w:tc>
              <w:tcPr>
                <w:tcW w:w="614" w:type="dxa"/>
                <w:shd w:val="clear" w:color="auto" w:fill="auto"/>
              </w:tcPr>
              <w:p w:rsidR="000C5659" w:rsidRDefault="00B708C8">
                <w:pPr>
                  <w:widowControl w:val="0"/>
                  <w:rPr>
                    <w:color w:val="000000" w:themeColor="text1"/>
                  </w:rPr>
                </w:pPr>
                <w:r>
                  <w:rPr>
                    <w:rFonts w:hint="eastAsia"/>
                    <w:color w:val="000000" w:themeColor="text1"/>
                  </w:rPr>
                  <w:t>否</w:t>
                </w:r>
              </w:p>
            </w:tc>
          </w:sdtContent>
        </w:sdt>
        <w:tc>
          <w:tcPr>
            <w:tcW w:w="808" w:type="dxa"/>
            <w:shd w:val="clear" w:color="auto" w:fill="auto"/>
          </w:tcPr>
          <w:p w:rsidR="000C5659" w:rsidRDefault="000E33C4">
            <w:pPr>
              <w:widowControl w:val="0"/>
            </w:pPr>
            <w:r>
              <w:rPr>
                <w:rFonts w:hint="eastAsia"/>
              </w:rPr>
              <w:t>长期股权投资</w:t>
            </w:r>
          </w:p>
        </w:tc>
        <w:tc>
          <w:tcPr>
            <w:tcW w:w="748" w:type="dxa"/>
            <w:shd w:val="clear" w:color="auto" w:fill="auto"/>
          </w:tcPr>
          <w:p w:rsidR="000C5659" w:rsidRDefault="000E33C4">
            <w:pPr>
              <w:widowControl w:val="0"/>
            </w:pPr>
            <w:r>
              <w:rPr>
                <w:rFonts w:hint="eastAsia"/>
              </w:rPr>
              <w:t>自有资金</w:t>
            </w:r>
          </w:p>
        </w:tc>
        <w:tc>
          <w:tcPr>
            <w:tcW w:w="690" w:type="dxa"/>
            <w:shd w:val="clear" w:color="auto" w:fill="auto"/>
          </w:tcPr>
          <w:p w:rsidR="000C5659" w:rsidRDefault="000E33C4">
            <w:pPr>
              <w:widowControl w:val="0"/>
            </w:pPr>
            <w:r>
              <w:rPr>
                <w:rFonts w:hint="eastAsia"/>
              </w:rPr>
              <w:t>无</w:t>
            </w:r>
          </w:p>
        </w:tc>
        <w:tc>
          <w:tcPr>
            <w:tcW w:w="953" w:type="dxa"/>
            <w:shd w:val="clear" w:color="auto" w:fill="auto"/>
          </w:tcPr>
          <w:p w:rsidR="000C5659" w:rsidRDefault="000E33C4">
            <w:pPr>
              <w:widowControl w:val="0"/>
            </w:pPr>
            <w:r>
              <w:rPr>
                <w:rFonts w:hint="eastAsia"/>
              </w:rPr>
              <w:t>/</w:t>
            </w:r>
          </w:p>
        </w:tc>
        <w:tc>
          <w:tcPr>
            <w:tcW w:w="726" w:type="dxa"/>
            <w:shd w:val="clear" w:color="auto" w:fill="auto"/>
          </w:tcPr>
          <w:p w:rsidR="000C5659" w:rsidRDefault="000E33C4">
            <w:pPr>
              <w:widowControl w:val="0"/>
            </w:pPr>
            <w:r>
              <w:rPr>
                <w:rFonts w:hint="eastAsia"/>
              </w:rPr>
              <w:t>已完成交割</w:t>
            </w:r>
          </w:p>
        </w:tc>
        <w:tc>
          <w:tcPr>
            <w:tcW w:w="798" w:type="dxa"/>
            <w:shd w:val="clear" w:color="auto" w:fill="auto"/>
          </w:tcPr>
          <w:p w:rsidR="000C5659" w:rsidRDefault="000E33C4">
            <w:pPr>
              <w:widowControl w:val="0"/>
              <w:jc w:val="right"/>
            </w:pPr>
            <w:r>
              <w:rPr>
                <w:rFonts w:hint="eastAsia"/>
              </w:rPr>
              <w:t>/</w:t>
            </w:r>
          </w:p>
        </w:tc>
        <w:tc>
          <w:tcPr>
            <w:tcW w:w="1161" w:type="dxa"/>
            <w:vMerge w:val="restart"/>
            <w:shd w:val="clear" w:color="auto" w:fill="auto"/>
          </w:tcPr>
          <w:p w:rsidR="000C5659" w:rsidRDefault="000E33C4">
            <w:pPr>
              <w:widowControl w:val="0"/>
              <w:jc w:val="right"/>
            </w:pPr>
            <w:r>
              <w:rPr>
                <w:rFonts w:hint="eastAsia"/>
              </w:rPr>
              <w:t>-</w:t>
            </w:r>
            <w:r>
              <w:t>2,174.60</w:t>
            </w:r>
          </w:p>
        </w:tc>
        <w:sdt>
          <w:sdtPr>
            <w:rPr>
              <w:rFonts w:hint="eastAsia"/>
              <w:color w:val="000000" w:themeColor="text1"/>
            </w:rPr>
            <w:alias w:val="重大的股权投资_是否涉诉"/>
            <w:tag w:val="_GBC_a9dab08ee11741a4abbb5ee48e309adc"/>
            <w:id w:val="376435732"/>
            <w:comboBox>
              <w:listItem w:displayText="是" w:value="是"/>
              <w:listItem w:displayText="否" w:value="否"/>
            </w:comboBox>
          </w:sdtPr>
          <w:sdtEndPr/>
          <w:sdtContent>
            <w:tc>
              <w:tcPr>
                <w:tcW w:w="567" w:type="dxa"/>
                <w:shd w:val="clear" w:color="auto" w:fill="auto"/>
              </w:tcPr>
              <w:p w:rsidR="000C5659" w:rsidRDefault="00B708C8">
                <w:pPr>
                  <w:widowControl w:val="0"/>
                  <w:rPr>
                    <w:color w:val="000000" w:themeColor="text1"/>
                  </w:rPr>
                </w:pPr>
                <w:r>
                  <w:rPr>
                    <w:rFonts w:hint="eastAsia"/>
                    <w:color w:val="000000" w:themeColor="text1"/>
                  </w:rPr>
                  <w:t>是</w:t>
                </w:r>
              </w:p>
            </w:tc>
          </w:sdtContent>
        </w:sdt>
        <w:tc>
          <w:tcPr>
            <w:tcW w:w="623" w:type="dxa"/>
            <w:shd w:val="clear" w:color="auto" w:fill="auto"/>
          </w:tcPr>
          <w:p w:rsidR="000C5659" w:rsidRDefault="000E33C4">
            <w:pPr>
              <w:widowControl w:val="0"/>
            </w:pPr>
            <w:r>
              <w:rPr>
                <w:rFonts w:hint="eastAsia"/>
              </w:rPr>
              <w:t>2</w:t>
            </w:r>
            <w:r>
              <w:t>023</w:t>
            </w:r>
            <w:r>
              <w:rPr>
                <w:rFonts w:hint="eastAsia"/>
              </w:rPr>
              <w:t>年1</w:t>
            </w:r>
            <w:r>
              <w:t>1</w:t>
            </w:r>
            <w:r>
              <w:rPr>
                <w:rFonts w:hint="eastAsia"/>
              </w:rPr>
              <w:t>月1日</w:t>
            </w:r>
          </w:p>
        </w:tc>
        <w:tc>
          <w:tcPr>
            <w:tcW w:w="1405" w:type="dxa"/>
            <w:shd w:val="clear" w:color="auto" w:fill="auto"/>
          </w:tcPr>
          <w:p w:rsidR="000C5659" w:rsidRDefault="000E33C4">
            <w:pPr>
              <w:widowControl w:val="0"/>
            </w:pPr>
            <w:r>
              <w:rPr>
                <w:rFonts w:hint="eastAsia"/>
              </w:rPr>
              <w:t>《关于收购薇美姿少数股权完成交割的公告》（公告编号：</w:t>
            </w:r>
            <w:r>
              <w:t>2023-051）</w:t>
            </w:r>
          </w:p>
        </w:tc>
      </w:tr>
      <w:tr w:rsidR="000C5659">
        <w:trPr>
          <w:trHeight w:val="948"/>
        </w:trPr>
        <w:tc>
          <w:tcPr>
            <w:tcW w:w="788" w:type="dxa"/>
            <w:vMerge/>
            <w:shd w:val="clear" w:color="auto" w:fill="auto"/>
          </w:tcPr>
          <w:p w:rsidR="000C5659" w:rsidRDefault="000C5659">
            <w:pPr>
              <w:widowControl w:val="0"/>
            </w:pPr>
          </w:p>
        </w:tc>
        <w:tc>
          <w:tcPr>
            <w:tcW w:w="788" w:type="dxa"/>
            <w:vMerge/>
            <w:shd w:val="clear" w:color="auto" w:fill="auto"/>
          </w:tcPr>
          <w:p w:rsidR="000C5659" w:rsidRDefault="000C5659">
            <w:pPr>
              <w:widowControl w:val="0"/>
            </w:pPr>
          </w:p>
        </w:tc>
        <w:sdt>
          <w:sdtPr>
            <w:rPr>
              <w:rFonts w:hint="eastAsia"/>
              <w:color w:val="000000" w:themeColor="text1"/>
            </w:rPr>
            <w:alias w:val="重大的股权投资_投资标的是否系投资性主体 "/>
            <w:tag w:val="_GBC_7074b1f516a842289a77c38bd61ff0d7"/>
            <w:id w:val="47736009"/>
            <w:comboBox>
              <w:listItem w:displayText="是" w:value="是"/>
              <w:listItem w:displayText="否" w:value="否"/>
            </w:comboBox>
          </w:sdtPr>
          <w:sdtEndPr/>
          <w:sdtContent>
            <w:tc>
              <w:tcPr>
                <w:tcW w:w="579" w:type="dxa"/>
              </w:tcPr>
              <w:p w:rsidR="000C5659" w:rsidRDefault="00B708C8">
                <w:pPr>
                  <w:widowControl w:val="0"/>
                  <w:rPr>
                    <w:color w:val="000000" w:themeColor="text1"/>
                  </w:rPr>
                </w:pPr>
                <w:r>
                  <w:rPr>
                    <w:rFonts w:hint="eastAsia"/>
                    <w:color w:val="000000" w:themeColor="text1"/>
                  </w:rPr>
                  <w:t>否</w:t>
                </w:r>
              </w:p>
            </w:tc>
          </w:sdtContent>
        </w:sdt>
        <w:sdt>
          <w:sdtPr>
            <w:rPr>
              <w:rFonts w:hint="eastAsia"/>
              <w:color w:val="000000" w:themeColor="text1"/>
            </w:rPr>
            <w:alias w:val="重大的股权投资_投资方式"/>
            <w:tag w:val="_GBC_6657ab8cd3754f68a3199dda0335449b"/>
            <w:id w:val="-744187391"/>
            <w:comboBox>
              <w:listItem w:displayText="新设" w:value="新设"/>
              <w:listItem w:displayText="增资" w:value="增资"/>
              <w:listItem w:displayText="收购" w:value="收购"/>
              <w:listItem w:displayText="其他" w:value="其他"/>
            </w:comboBox>
          </w:sdtPr>
          <w:sdtEndPr/>
          <w:sdtContent>
            <w:tc>
              <w:tcPr>
                <w:tcW w:w="656" w:type="dxa"/>
                <w:shd w:val="clear" w:color="auto" w:fill="auto"/>
              </w:tcPr>
              <w:p w:rsidR="000C5659" w:rsidRDefault="00B708C8">
                <w:pPr>
                  <w:widowControl w:val="0"/>
                  <w:rPr>
                    <w:color w:val="000000" w:themeColor="text1"/>
                  </w:rPr>
                </w:pPr>
                <w:r>
                  <w:rPr>
                    <w:rFonts w:hint="eastAsia"/>
                    <w:color w:val="000000" w:themeColor="text1"/>
                  </w:rPr>
                  <w:t>其他</w:t>
                </w:r>
              </w:p>
            </w:tc>
          </w:sdtContent>
        </w:sdt>
        <w:tc>
          <w:tcPr>
            <w:tcW w:w="1266" w:type="dxa"/>
            <w:shd w:val="clear" w:color="auto" w:fill="auto"/>
          </w:tcPr>
          <w:p w:rsidR="000C5659" w:rsidRDefault="000E33C4">
            <w:pPr>
              <w:widowControl w:val="0"/>
              <w:jc w:val="right"/>
            </w:pPr>
            <w:r>
              <w:rPr>
                <w:rFonts w:hint="eastAsia"/>
              </w:rPr>
              <w:t>4</w:t>
            </w:r>
            <w:r>
              <w:t>0,719.68</w:t>
            </w:r>
          </w:p>
        </w:tc>
        <w:tc>
          <w:tcPr>
            <w:tcW w:w="1101" w:type="dxa"/>
            <w:shd w:val="clear" w:color="auto" w:fill="auto"/>
          </w:tcPr>
          <w:p w:rsidR="000C5659" w:rsidRDefault="000E33C4">
            <w:pPr>
              <w:widowControl w:val="0"/>
            </w:pPr>
            <w:r>
              <w:rPr>
                <w:rFonts w:hint="eastAsia"/>
              </w:rPr>
              <w:t>1</w:t>
            </w:r>
            <w:r>
              <w:t>5.7745%</w:t>
            </w:r>
          </w:p>
        </w:tc>
        <w:sdt>
          <w:sdtPr>
            <w:rPr>
              <w:rFonts w:hint="eastAsia"/>
              <w:color w:val="000000" w:themeColor="text1"/>
            </w:rPr>
            <w:alias w:val="重大的股权投资_是否并表"/>
            <w:tag w:val="_GBC_b0896277ebbd444caa2c6dea05baf05e"/>
            <w:id w:val="1797338957"/>
            <w:comboBox>
              <w:listItem w:displayText="是" w:value="是"/>
              <w:listItem w:displayText="否" w:value="否"/>
            </w:comboBox>
          </w:sdtPr>
          <w:sdtEndPr/>
          <w:sdtContent>
            <w:tc>
              <w:tcPr>
                <w:tcW w:w="614" w:type="dxa"/>
                <w:shd w:val="clear" w:color="auto" w:fill="auto"/>
              </w:tcPr>
              <w:p w:rsidR="000C5659" w:rsidRDefault="00B708C8">
                <w:pPr>
                  <w:widowControl w:val="0"/>
                  <w:rPr>
                    <w:color w:val="000000" w:themeColor="text1"/>
                  </w:rPr>
                </w:pPr>
                <w:r>
                  <w:rPr>
                    <w:rFonts w:hint="eastAsia"/>
                    <w:color w:val="000000" w:themeColor="text1"/>
                  </w:rPr>
                  <w:t>否</w:t>
                </w:r>
              </w:p>
            </w:tc>
          </w:sdtContent>
        </w:sdt>
        <w:tc>
          <w:tcPr>
            <w:tcW w:w="808" w:type="dxa"/>
            <w:shd w:val="clear" w:color="auto" w:fill="auto"/>
          </w:tcPr>
          <w:p w:rsidR="000C5659" w:rsidRDefault="000E33C4">
            <w:pPr>
              <w:widowControl w:val="0"/>
            </w:pPr>
            <w:r>
              <w:rPr>
                <w:rFonts w:hint="eastAsia"/>
              </w:rPr>
              <w:t>长期股权投资</w:t>
            </w:r>
          </w:p>
        </w:tc>
        <w:tc>
          <w:tcPr>
            <w:tcW w:w="748" w:type="dxa"/>
            <w:shd w:val="clear" w:color="auto" w:fill="auto"/>
          </w:tcPr>
          <w:p w:rsidR="000C5659" w:rsidRDefault="000E33C4">
            <w:pPr>
              <w:widowControl w:val="0"/>
            </w:pPr>
            <w:r>
              <w:rPr>
                <w:rFonts w:hint="eastAsia"/>
              </w:rPr>
              <w:t>自有资金</w:t>
            </w:r>
          </w:p>
        </w:tc>
        <w:tc>
          <w:tcPr>
            <w:tcW w:w="690" w:type="dxa"/>
            <w:shd w:val="clear" w:color="auto" w:fill="auto"/>
          </w:tcPr>
          <w:p w:rsidR="000C5659" w:rsidRDefault="000E33C4">
            <w:pPr>
              <w:widowControl w:val="0"/>
            </w:pPr>
            <w:r>
              <w:rPr>
                <w:rFonts w:hint="eastAsia"/>
              </w:rPr>
              <w:t>无</w:t>
            </w:r>
          </w:p>
        </w:tc>
        <w:tc>
          <w:tcPr>
            <w:tcW w:w="953" w:type="dxa"/>
            <w:shd w:val="clear" w:color="auto" w:fill="auto"/>
          </w:tcPr>
          <w:p w:rsidR="000C5659" w:rsidRDefault="000E33C4">
            <w:pPr>
              <w:widowControl w:val="0"/>
            </w:pPr>
            <w:r>
              <w:rPr>
                <w:rFonts w:hint="eastAsia"/>
              </w:rPr>
              <w:t>/</w:t>
            </w:r>
          </w:p>
        </w:tc>
        <w:tc>
          <w:tcPr>
            <w:tcW w:w="726" w:type="dxa"/>
            <w:shd w:val="clear" w:color="auto" w:fill="auto"/>
          </w:tcPr>
          <w:p w:rsidR="000C5659" w:rsidRDefault="000E33C4">
            <w:pPr>
              <w:widowControl w:val="0"/>
            </w:pPr>
            <w:r>
              <w:rPr>
                <w:rFonts w:hint="eastAsia"/>
              </w:rPr>
              <w:t>已完成交割</w:t>
            </w:r>
          </w:p>
        </w:tc>
        <w:tc>
          <w:tcPr>
            <w:tcW w:w="798" w:type="dxa"/>
            <w:shd w:val="clear" w:color="auto" w:fill="auto"/>
          </w:tcPr>
          <w:p w:rsidR="000C5659" w:rsidRDefault="000E33C4">
            <w:pPr>
              <w:widowControl w:val="0"/>
              <w:jc w:val="right"/>
            </w:pPr>
            <w:r>
              <w:rPr>
                <w:rFonts w:hint="eastAsia"/>
              </w:rPr>
              <w:t>/</w:t>
            </w:r>
          </w:p>
        </w:tc>
        <w:tc>
          <w:tcPr>
            <w:tcW w:w="1161" w:type="dxa"/>
            <w:vMerge/>
            <w:shd w:val="clear" w:color="auto" w:fill="auto"/>
          </w:tcPr>
          <w:p w:rsidR="000C5659" w:rsidRDefault="000C5659">
            <w:pPr>
              <w:widowControl w:val="0"/>
              <w:jc w:val="right"/>
            </w:pPr>
          </w:p>
        </w:tc>
        <w:sdt>
          <w:sdtPr>
            <w:rPr>
              <w:rFonts w:hint="eastAsia"/>
              <w:color w:val="000000" w:themeColor="text1"/>
            </w:rPr>
            <w:alias w:val="重大的股权投资_是否涉诉"/>
            <w:tag w:val="_GBC_a9dab08ee11741a4abbb5ee48e309adc"/>
            <w:id w:val="-543131117"/>
            <w:comboBox>
              <w:listItem w:displayText="是" w:value="是"/>
              <w:listItem w:displayText="否" w:value="否"/>
            </w:comboBox>
          </w:sdtPr>
          <w:sdtEndPr/>
          <w:sdtContent>
            <w:tc>
              <w:tcPr>
                <w:tcW w:w="567" w:type="dxa"/>
                <w:shd w:val="clear" w:color="auto" w:fill="auto"/>
              </w:tcPr>
              <w:p w:rsidR="000C5659" w:rsidRDefault="00B708C8">
                <w:pPr>
                  <w:widowControl w:val="0"/>
                  <w:rPr>
                    <w:color w:val="000000" w:themeColor="text1"/>
                  </w:rPr>
                </w:pPr>
                <w:r>
                  <w:rPr>
                    <w:rFonts w:hint="eastAsia"/>
                    <w:color w:val="000000" w:themeColor="text1"/>
                  </w:rPr>
                  <w:t>是</w:t>
                </w:r>
              </w:p>
            </w:tc>
          </w:sdtContent>
        </w:sdt>
        <w:tc>
          <w:tcPr>
            <w:tcW w:w="623" w:type="dxa"/>
            <w:shd w:val="clear" w:color="auto" w:fill="auto"/>
          </w:tcPr>
          <w:p w:rsidR="000C5659" w:rsidRDefault="000E33C4">
            <w:pPr>
              <w:widowControl w:val="0"/>
            </w:pPr>
            <w:r>
              <w:rPr>
                <w:rFonts w:hint="eastAsia"/>
              </w:rPr>
              <w:t>2</w:t>
            </w:r>
            <w:r>
              <w:t>023</w:t>
            </w:r>
            <w:r>
              <w:rPr>
                <w:rFonts w:hint="eastAsia"/>
              </w:rPr>
              <w:t>年1</w:t>
            </w:r>
            <w:r>
              <w:t>1</w:t>
            </w:r>
            <w:r>
              <w:rPr>
                <w:rFonts w:hint="eastAsia"/>
              </w:rPr>
              <w:t>月1</w:t>
            </w:r>
            <w:r>
              <w:t>0</w:t>
            </w:r>
            <w:r>
              <w:rPr>
                <w:rFonts w:hint="eastAsia"/>
              </w:rPr>
              <w:t>日</w:t>
            </w:r>
          </w:p>
        </w:tc>
        <w:tc>
          <w:tcPr>
            <w:tcW w:w="1405" w:type="dxa"/>
            <w:shd w:val="clear" w:color="auto" w:fill="auto"/>
          </w:tcPr>
          <w:p w:rsidR="000C5659" w:rsidRDefault="000E33C4">
            <w:pPr>
              <w:widowControl w:val="0"/>
            </w:pPr>
            <w:r>
              <w:rPr>
                <w:rFonts w:hint="eastAsia"/>
              </w:rPr>
              <w:t>《关于全资子公司参与设立投资基金份额变更及相关事项的公告》（公告编号：</w:t>
            </w:r>
            <w:r>
              <w:t>2023-052）</w:t>
            </w:r>
          </w:p>
        </w:tc>
      </w:tr>
      <w:tr w:rsidR="000C5659">
        <w:tc>
          <w:tcPr>
            <w:tcW w:w="788" w:type="dxa"/>
            <w:shd w:val="clear" w:color="auto" w:fill="auto"/>
          </w:tcPr>
          <w:p w:rsidR="000C5659" w:rsidRDefault="000E33C4">
            <w:pPr>
              <w:widowControl w:val="0"/>
            </w:pPr>
            <w:r>
              <w:rPr>
                <w:rFonts w:hint="eastAsia"/>
              </w:rPr>
              <w:lastRenderedPageBreak/>
              <w:t>善恩康生物科技（苏州）有限公司</w:t>
            </w:r>
          </w:p>
        </w:tc>
        <w:tc>
          <w:tcPr>
            <w:tcW w:w="788" w:type="dxa"/>
            <w:shd w:val="clear" w:color="auto" w:fill="auto"/>
          </w:tcPr>
          <w:p w:rsidR="000C5659" w:rsidRDefault="000E33C4">
            <w:pPr>
              <w:widowControl w:val="0"/>
            </w:pPr>
            <w:r>
              <w:rPr>
                <w:rFonts w:hint="eastAsia"/>
              </w:rPr>
              <w:t>益生菌制品研发、生产和销售</w:t>
            </w:r>
          </w:p>
        </w:tc>
        <w:sdt>
          <w:sdtPr>
            <w:rPr>
              <w:rFonts w:hint="eastAsia"/>
              <w:color w:val="000000" w:themeColor="text1"/>
            </w:rPr>
            <w:alias w:val="重大的股权投资_投资标的是否系投资性主体 "/>
            <w:tag w:val="_GBC_7074b1f516a842289a77c38bd61ff0d7"/>
            <w:id w:val="2045787697"/>
            <w:comboBox>
              <w:listItem w:displayText="是" w:value="是"/>
              <w:listItem w:displayText="否" w:value="否"/>
            </w:comboBox>
          </w:sdtPr>
          <w:sdtEndPr/>
          <w:sdtContent>
            <w:tc>
              <w:tcPr>
                <w:tcW w:w="579" w:type="dxa"/>
              </w:tcPr>
              <w:p w:rsidR="000C5659" w:rsidRDefault="00B708C8">
                <w:pPr>
                  <w:widowControl w:val="0"/>
                  <w:rPr>
                    <w:color w:val="000000" w:themeColor="text1"/>
                  </w:rPr>
                </w:pPr>
                <w:r>
                  <w:rPr>
                    <w:rFonts w:hint="eastAsia"/>
                    <w:color w:val="000000" w:themeColor="text1"/>
                  </w:rPr>
                  <w:t>否</w:t>
                </w:r>
              </w:p>
            </w:tc>
          </w:sdtContent>
        </w:sdt>
        <w:sdt>
          <w:sdtPr>
            <w:rPr>
              <w:rFonts w:hint="eastAsia"/>
              <w:color w:val="000000" w:themeColor="text1"/>
            </w:rPr>
            <w:alias w:val="重大的股权投资_投资方式"/>
            <w:tag w:val="_GBC_6657ab8cd3754f68a3199dda0335449b"/>
            <w:id w:val="940268788"/>
            <w:comboBox>
              <w:listItem w:displayText="新设" w:value="新设"/>
              <w:listItem w:displayText="增资" w:value="增资"/>
              <w:listItem w:displayText="收购" w:value="收购"/>
              <w:listItem w:displayText="其他" w:value="其他"/>
            </w:comboBox>
          </w:sdtPr>
          <w:sdtEndPr/>
          <w:sdtContent>
            <w:tc>
              <w:tcPr>
                <w:tcW w:w="656" w:type="dxa"/>
                <w:shd w:val="clear" w:color="auto" w:fill="auto"/>
              </w:tcPr>
              <w:p w:rsidR="000C5659" w:rsidRDefault="00B708C8">
                <w:pPr>
                  <w:widowControl w:val="0"/>
                  <w:rPr>
                    <w:color w:val="000000" w:themeColor="text1"/>
                  </w:rPr>
                </w:pPr>
                <w:r>
                  <w:rPr>
                    <w:rFonts w:hint="eastAsia"/>
                    <w:color w:val="000000" w:themeColor="text1"/>
                  </w:rPr>
                  <w:t>收购</w:t>
                </w:r>
              </w:p>
            </w:tc>
          </w:sdtContent>
        </w:sdt>
        <w:tc>
          <w:tcPr>
            <w:tcW w:w="1266" w:type="dxa"/>
            <w:shd w:val="clear" w:color="auto" w:fill="auto"/>
          </w:tcPr>
          <w:p w:rsidR="000C5659" w:rsidRDefault="000E33C4">
            <w:pPr>
              <w:widowControl w:val="0"/>
              <w:jc w:val="right"/>
            </w:pPr>
            <w:r>
              <w:rPr>
                <w:rFonts w:hint="eastAsia"/>
              </w:rPr>
              <w:t>2</w:t>
            </w:r>
            <w:r>
              <w:t>1,256.16</w:t>
            </w:r>
          </w:p>
        </w:tc>
        <w:tc>
          <w:tcPr>
            <w:tcW w:w="1101" w:type="dxa"/>
            <w:shd w:val="clear" w:color="auto" w:fill="auto"/>
          </w:tcPr>
          <w:p w:rsidR="000C5659" w:rsidRDefault="000E33C4">
            <w:pPr>
              <w:widowControl w:val="0"/>
            </w:pPr>
            <w:r>
              <w:t>52.0006%</w:t>
            </w:r>
          </w:p>
        </w:tc>
        <w:sdt>
          <w:sdtPr>
            <w:rPr>
              <w:rFonts w:hint="eastAsia"/>
              <w:color w:val="000000" w:themeColor="text1"/>
            </w:rPr>
            <w:alias w:val="重大的股权投资_是否并表"/>
            <w:tag w:val="_GBC_b0896277ebbd444caa2c6dea05baf05e"/>
            <w:id w:val="1481273147"/>
            <w:comboBox>
              <w:listItem w:displayText="是" w:value="是"/>
              <w:listItem w:displayText="否" w:value="否"/>
            </w:comboBox>
          </w:sdtPr>
          <w:sdtEndPr/>
          <w:sdtContent>
            <w:tc>
              <w:tcPr>
                <w:tcW w:w="614" w:type="dxa"/>
                <w:shd w:val="clear" w:color="auto" w:fill="auto"/>
              </w:tcPr>
              <w:p w:rsidR="000C5659" w:rsidRDefault="00B708C8">
                <w:pPr>
                  <w:widowControl w:val="0"/>
                  <w:rPr>
                    <w:color w:val="000000" w:themeColor="text1"/>
                  </w:rPr>
                </w:pPr>
                <w:r>
                  <w:rPr>
                    <w:rFonts w:hint="eastAsia"/>
                    <w:color w:val="000000" w:themeColor="text1"/>
                  </w:rPr>
                  <w:t>是</w:t>
                </w:r>
              </w:p>
            </w:tc>
          </w:sdtContent>
        </w:sdt>
        <w:tc>
          <w:tcPr>
            <w:tcW w:w="808" w:type="dxa"/>
            <w:shd w:val="clear" w:color="auto" w:fill="auto"/>
          </w:tcPr>
          <w:p w:rsidR="000C5659" w:rsidRDefault="000E33C4">
            <w:pPr>
              <w:widowControl w:val="0"/>
            </w:pPr>
            <w:r>
              <w:rPr>
                <w:rFonts w:hint="eastAsia"/>
              </w:rPr>
              <w:t>/</w:t>
            </w:r>
          </w:p>
        </w:tc>
        <w:tc>
          <w:tcPr>
            <w:tcW w:w="748" w:type="dxa"/>
            <w:shd w:val="clear" w:color="auto" w:fill="auto"/>
          </w:tcPr>
          <w:p w:rsidR="000C5659" w:rsidRDefault="000E33C4">
            <w:pPr>
              <w:widowControl w:val="0"/>
            </w:pPr>
            <w:r>
              <w:rPr>
                <w:rFonts w:hint="eastAsia"/>
              </w:rPr>
              <w:t>自有资金、并购贷款</w:t>
            </w:r>
          </w:p>
        </w:tc>
        <w:tc>
          <w:tcPr>
            <w:tcW w:w="690" w:type="dxa"/>
            <w:shd w:val="clear" w:color="auto" w:fill="auto"/>
          </w:tcPr>
          <w:p w:rsidR="000C5659" w:rsidRDefault="000E33C4">
            <w:pPr>
              <w:widowControl w:val="0"/>
            </w:pPr>
            <w:r>
              <w:rPr>
                <w:rFonts w:hint="eastAsia"/>
              </w:rPr>
              <w:t>无</w:t>
            </w:r>
          </w:p>
        </w:tc>
        <w:tc>
          <w:tcPr>
            <w:tcW w:w="953" w:type="dxa"/>
            <w:shd w:val="clear" w:color="auto" w:fill="auto"/>
          </w:tcPr>
          <w:p w:rsidR="000C5659" w:rsidRDefault="000E33C4">
            <w:pPr>
              <w:widowControl w:val="0"/>
            </w:pPr>
            <w:r>
              <w:rPr>
                <w:rFonts w:hint="eastAsia"/>
              </w:rPr>
              <w:t>/</w:t>
            </w:r>
          </w:p>
        </w:tc>
        <w:tc>
          <w:tcPr>
            <w:tcW w:w="726" w:type="dxa"/>
            <w:shd w:val="clear" w:color="auto" w:fill="auto"/>
          </w:tcPr>
          <w:p w:rsidR="000C5659" w:rsidRDefault="000E33C4">
            <w:pPr>
              <w:widowControl w:val="0"/>
            </w:pPr>
            <w:r>
              <w:rPr>
                <w:rFonts w:hint="eastAsia"/>
              </w:rPr>
              <w:t>已完成交割</w:t>
            </w:r>
          </w:p>
        </w:tc>
        <w:tc>
          <w:tcPr>
            <w:tcW w:w="798" w:type="dxa"/>
            <w:shd w:val="clear" w:color="auto" w:fill="auto"/>
          </w:tcPr>
          <w:p w:rsidR="000C5659" w:rsidRDefault="000E33C4">
            <w:pPr>
              <w:widowControl w:val="0"/>
              <w:jc w:val="right"/>
            </w:pPr>
            <w:r>
              <w:rPr>
                <w:rFonts w:hint="eastAsia"/>
              </w:rPr>
              <w:t>/</w:t>
            </w:r>
          </w:p>
        </w:tc>
        <w:tc>
          <w:tcPr>
            <w:tcW w:w="1161" w:type="dxa"/>
            <w:shd w:val="clear" w:color="auto" w:fill="auto"/>
          </w:tcPr>
          <w:p w:rsidR="000C5659" w:rsidRDefault="000E33C4">
            <w:pPr>
              <w:widowControl w:val="0"/>
              <w:jc w:val="right"/>
            </w:pPr>
            <w:r>
              <w:t>-297.56</w:t>
            </w:r>
          </w:p>
        </w:tc>
        <w:sdt>
          <w:sdtPr>
            <w:rPr>
              <w:rFonts w:hint="eastAsia"/>
              <w:color w:val="000000" w:themeColor="text1"/>
            </w:rPr>
            <w:alias w:val="重大的股权投资_是否涉诉"/>
            <w:tag w:val="_GBC_a9dab08ee11741a4abbb5ee48e309adc"/>
            <w:id w:val="-1994481470"/>
            <w:comboBox>
              <w:listItem w:displayText="是" w:value="是"/>
              <w:listItem w:displayText="否" w:value="否"/>
            </w:comboBox>
          </w:sdtPr>
          <w:sdtEndPr/>
          <w:sdtContent>
            <w:tc>
              <w:tcPr>
                <w:tcW w:w="567" w:type="dxa"/>
                <w:shd w:val="clear" w:color="auto" w:fill="auto"/>
              </w:tcPr>
              <w:p w:rsidR="000C5659" w:rsidRDefault="00B708C8">
                <w:pPr>
                  <w:widowControl w:val="0"/>
                  <w:rPr>
                    <w:color w:val="000000" w:themeColor="text1"/>
                  </w:rPr>
                </w:pPr>
                <w:r>
                  <w:rPr>
                    <w:rFonts w:hint="eastAsia"/>
                    <w:color w:val="000000" w:themeColor="text1"/>
                  </w:rPr>
                  <w:t>否</w:t>
                </w:r>
              </w:p>
            </w:tc>
          </w:sdtContent>
        </w:sdt>
        <w:tc>
          <w:tcPr>
            <w:tcW w:w="623" w:type="dxa"/>
            <w:shd w:val="clear" w:color="auto" w:fill="auto"/>
          </w:tcPr>
          <w:p w:rsidR="000C5659" w:rsidRDefault="000E33C4">
            <w:pPr>
              <w:widowControl w:val="0"/>
            </w:pPr>
            <w:r>
              <w:rPr>
                <w:rFonts w:hint="eastAsia"/>
              </w:rPr>
              <w:t>2</w:t>
            </w:r>
            <w:r>
              <w:t>024</w:t>
            </w:r>
            <w:r>
              <w:rPr>
                <w:rFonts w:hint="eastAsia"/>
              </w:rPr>
              <w:t>年4月8日</w:t>
            </w:r>
          </w:p>
        </w:tc>
        <w:tc>
          <w:tcPr>
            <w:tcW w:w="1405" w:type="dxa"/>
            <w:shd w:val="clear" w:color="auto" w:fill="auto"/>
          </w:tcPr>
          <w:p w:rsidR="000C5659" w:rsidRDefault="000E33C4">
            <w:pPr>
              <w:widowControl w:val="0"/>
            </w:pPr>
            <w:r>
              <w:rPr>
                <w:rFonts w:hint="eastAsia"/>
              </w:rPr>
              <w:t>《关于收购善恩康部分股权交割完成的公告》（公告编号：</w:t>
            </w:r>
            <w:r>
              <w:t>2024-006）</w:t>
            </w:r>
          </w:p>
        </w:tc>
      </w:tr>
      <w:tr w:rsidR="000C5659" w:rsidTr="00241718">
        <w:trPr>
          <w:trHeight w:val="477"/>
        </w:trPr>
        <w:tc>
          <w:tcPr>
            <w:tcW w:w="788"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合计</w:t>
            </w:r>
          </w:p>
        </w:tc>
        <w:tc>
          <w:tcPr>
            <w:tcW w:w="788"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579" w:type="dxa"/>
            <w:vAlign w:val="center"/>
          </w:tcPr>
          <w:p w:rsidR="000C5659" w:rsidRDefault="000E33C4" w:rsidP="00241718">
            <w:pPr>
              <w:widowControl w:val="0"/>
              <w:jc w:val="center"/>
              <w:rPr>
                <w:color w:val="000000" w:themeColor="text1"/>
              </w:rPr>
            </w:pPr>
            <w:r>
              <w:rPr>
                <w:rFonts w:hint="eastAsia"/>
                <w:color w:val="000000" w:themeColor="text1"/>
              </w:rPr>
              <w:t>/</w:t>
            </w:r>
          </w:p>
        </w:tc>
        <w:tc>
          <w:tcPr>
            <w:tcW w:w="656"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1266" w:type="dxa"/>
            <w:shd w:val="clear" w:color="auto" w:fill="auto"/>
            <w:vAlign w:val="center"/>
          </w:tcPr>
          <w:p w:rsidR="000C5659" w:rsidRDefault="000E33C4" w:rsidP="00241718">
            <w:pPr>
              <w:widowControl w:val="0"/>
              <w:jc w:val="center"/>
            </w:pPr>
            <w:r>
              <w:t>109,090.53</w:t>
            </w:r>
          </w:p>
        </w:tc>
        <w:tc>
          <w:tcPr>
            <w:tcW w:w="1101"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614"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808"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748"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690"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953"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726"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798" w:type="dxa"/>
            <w:shd w:val="clear" w:color="auto" w:fill="auto"/>
            <w:vAlign w:val="center"/>
          </w:tcPr>
          <w:p w:rsidR="000C5659" w:rsidRDefault="000E33C4" w:rsidP="00241718">
            <w:pPr>
              <w:widowControl w:val="0"/>
              <w:jc w:val="center"/>
            </w:pPr>
            <w:r>
              <w:rPr>
                <w:rFonts w:hint="eastAsia"/>
              </w:rPr>
              <w:t>/</w:t>
            </w:r>
          </w:p>
        </w:tc>
        <w:tc>
          <w:tcPr>
            <w:tcW w:w="1161" w:type="dxa"/>
            <w:shd w:val="clear" w:color="auto" w:fill="auto"/>
            <w:vAlign w:val="center"/>
          </w:tcPr>
          <w:p w:rsidR="000C5659" w:rsidRDefault="000E33C4" w:rsidP="00241718">
            <w:pPr>
              <w:widowControl w:val="0"/>
              <w:jc w:val="center"/>
            </w:pPr>
            <w:r>
              <w:rPr>
                <w:rFonts w:hint="eastAsia"/>
              </w:rPr>
              <w:t>-</w:t>
            </w:r>
            <w:r>
              <w:t>2</w:t>
            </w:r>
            <w:r>
              <w:rPr>
                <w:rFonts w:hint="eastAsia"/>
              </w:rPr>
              <w:t>,</w:t>
            </w:r>
            <w:r>
              <w:t>472.16</w:t>
            </w:r>
          </w:p>
        </w:tc>
        <w:tc>
          <w:tcPr>
            <w:tcW w:w="567"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623"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c>
          <w:tcPr>
            <w:tcW w:w="1405" w:type="dxa"/>
            <w:shd w:val="clear" w:color="auto" w:fill="auto"/>
            <w:vAlign w:val="center"/>
          </w:tcPr>
          <w:p w:rsidR="000C5659" w:rsidRDefault="000E33C4" w:rsidP="00241718">
            <w:pPr>
              <w:widowControl w:val="0"/>
              <w:jc w:val="center"/>
              <w:rPr>
                <w:color w:val="000000" w:themeColor="text1"/>
              </w:rPr>
            </w:pPr>
            <w:r>
              <w:rPr>
                <w:rFonts w:hint="eastAsia"/>
                <w:color w:val="000000" w:themeColor="text1"/>
              </w:rPr>
              <w:t>/</w:t>
            </w:r>
          </w:p>
        </w:tc>
      </w:tr>
    </w:tbl>
    <w:p w:rsidR="000C5659" w:rsidRDefault="000C5659">
      <w:pPr>
        <w:rPr>
          <w:color w:val="000000" w:themeColor="text1"/>
        </w:rPr>
      </w:pPr>
    </w:p>
    <w:p w:rsidR="004D0C8B" w:rsidRDefault="004D0C8B">
      <w:pPr>
        <w:rPr>
          <w:color w:val="000000" w:themeColor="text1"/>
        </w:rPr>
      </w:pPr>
    </w:p>
    <w:p w:rsidR="004D0C8B" w:rsidRDefault="004D0C8B">
      <w:pPr>
        <w:rPr>
          <w:color w:val="000000" w:themeColor="text1"/>
        </w:rPr>
      </w:pPr>
    </w:p>
    <w:p w:rsidR="000C5659" w:rsidRDefault="000E33C4" w:rsidP="000743DD">
      <w:pPr>
        <w:pStyle w:val="5"/>
        <w:numPr>
          <w:ilvl w:val="0"/>
          <w:numId w:val="13"/>
        </w:numPr>
        <w:tabs>
          <w:tab w:val="left" w:pos="360"/>
        </w:tabs>
        <w:ind w:left="0" w:firstLine="0"/>
        <w:rPr>
          <w:rFonts w:ascii="宋体" w:hAnsi="宋体"/>
          <w:color w:val="000000" w:themeColor="text1"/>
          <w:szCs w:val="21"/>
        </w:rPr>
      </w:pPr>
      <w:r>
        <w:rPr>
          <w:rFonts w:ascii="宋体" w:hAnsi="宋体" w:hint="eastAsia"/>
          <w:color w:val="000000" w:themeColor="text1"/>
          <w:szCs w:val="21"/>
        </w:rPr>
        <w:t>重大的非股权</w:t>
      </w:r>
      <w:r>
        <w:rPr>
          <w:rFonts w:ascii="宋体" w:hAnsi="宋体" w:cs="宋体" w:hint="eastAsia"/>
          <w:color w:val="000000" w:themeColor="text1"/>
          <w:kern w:val="0"/>
          <w:szCs w:val="21"/>
        </w:rPr>
        <w:t>投资</w:t>
      </w:r>
    </w:p>
    <w:sdt>
      <w:sdtPr>
        <w:rPr>
          <w:rFonts w:hint="eastAsia"/>
          <w:color w:val="000000" w:themeColor="text1"/>
        </w:rPr>
        <w:alias w:val="是否适用：重大的非股权投资[双击切换]"/>
        <w:tag w:val="_GBC_ea7fdcb7583549f38c0db41e73af0a8b"/>
        <w:id w:val="-1500110951"/>
        <w:placeholder>
          <w:docPart w:val="GBC22222222222222222222222222222"/>
        </w:placeholder>
      </w:sdtPr>
      <w:sdtEndPr/>
      <w:sdtContent>
        <w:p w:rsidR="000C5659" w:rsidRDefault="000E33C4">
          <w:pPr>
            <w:pStyle w:val="Style116"/>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4D0C8B" w:rsidRDefault="004D0C8B">
      <w:pPr>
        <w:rPr>
          <w:color w:val="000000" w:themeColor="text1"/>
        </w:rPr>
      </w:pPr>
    </w:p>
    <w:p w:rsidR="004D0C8B" w:rsidRDefault="004D0C8B">
      <w:pPr>
        <w:rPr>
          <w:color w:val="000000" w:themeColor="text1"/>
        </w:rPr>
      </w:pPr>
    </w:p>
    <w:p w:rsidR="000C5659" w:rsidRPr="00241718" w:rsidRDefault="000E33C4" w:rsidP="00241718">
      <w:pPr>
        <w:pStyle w:val="5"/>
        <w:numPr>
          <w:ilvl w:val="0"/>
          <w:numId w:val="13"/>
        </w:numPr>
        <w:tabs>
          <w:tab w:val="left" w:pos="360"/>
        </w:tabs>
        <w:ind w:left="0" w:firstLine="0"/>
        <w:rPr>
          <w:rFonts w:ascii="宋体" w:hAnsi="宋体"/>
          <w:color w:val="000000" w:themeColor="text1"/>
          <w:szCs w:val="21"/>
        </w:rPr>
      </w:pPr>
      <w:bookmarkStart w:id="38" w:name="_Hlk40532846"/>
      <w:bookmarkStart w:id="39" w:name="_Hlk137045755"/>
      <w:r w:rsidRPr="00241718">
        <w:rPr>
          <w:rFonts w:ascii="宋体" w:hAnsi="宋体" w:hint="eastAsia"/>
          <w:color w:val="000000" w:themeColor="text1"/>
          <w:szCs w:val="21"/>
        </w:rPr>
        <w:t>以公允价值计量的金融资产</w:t>
      </w:r>
    </w:p>
    <w:sdt>
      <w:sdtPr>
        <w:rPr>
          <w:rFonts w:hint="eastAsia"/>
          <w:color w:val="000000" w:themeColor="text1"/>
        </w:rPr>
        <w:alias w:val="是否适用：以公允价值计量的金融资产[双击切换]"/>
        <w:tag w:val="_GBC_541ff98e64424f46b08f9f3687c1ea7a"/>
        <w:id w:val="191011792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4D0C8B" w:rsidRDefault="004D0C8B">
      <w:pPr>
        <w:pStyle w:val="Style212"/>
        <w:wordWrap w:val="0"/>
        <w:ind w:left="360" w:firstLineChars="0" w:firstLine="0"/>
        <w:jc w:val="right"/>
        <w:rPr>
          <w:color w:val="000000" w:themeColor="text1"/>
        </w:rPr>
      </w:pPr>
    </w:p>
    <w:p w:rsidR="000C5659" w:rsidRDefault="000E33C4" w:rsidP="004D0C8B">
      <w:pPr>
        <w:pStyle w:val="Style212"/>
        <w:ind w:left="360" w:firstLineChars="0" w:firstLine="0"/>
        <w:jc w:val="right"/>
        <w:rPr>
          <w:color w:val="000000" w:themeColor="text1"/>
        </w:rPr>
      </w:pPr>
      <w:r>
        <w:rPr>
          <w:rFonts w:hint="eastAsia"/>
          <w:color w:val="000000" w:themeColor="text1"/>
        </w:rPr>
        <w:t>单位：</w:t>
      </w:r>
      <w:sdt>
        <w:sdtPr>
          <w:rPr>
            <w:rFonts w:hint="eastAsia"/>
            <w:color w:val="000000" w:themeColor="text1"/>
          </w:rPr>
          <w:alias w:val="单位：以公允价值计量的金融资产"/>
          <w:tag w:val="_GBC_1c2aaa623bd0423791ad9edf7fcfb564"/>
          <w:id w:val="-88046817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以公允价值计量的金融资产"/>
          <w:tag w:val="_GBC_7946a1d9804e4752a8d28bb04a1c1fe2"/>
          <w:id w:val="15488827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pPr w:leftFromText="180" w:rightFromText="180" w:vertAnchor="text" w:tblpY="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81"/>
        <w:gridCol w:w="1615"/>
        <w:gridCol w:w="1453"/>
        <w:gridCol w:w="1051"/>
        <w:gridCol w:w="1556"/>
        <w:gridCol w:w="1241"/>
        <w:gridCol w:w="1967"/>
        <w:gridCol w:w="1922"/>
      </w:tblGrid>
      <w:tr w:rsidR="000C5659" w:rsidTr="00241718">
        <w:sdt>
          <w:sdtPr>
            <w:rPr>
              <w:rFonts w:asciiTheme="minorEastAsia" w:eastAsiaTheme="minorEastAsia" w:hAnsiTheme="minorEastAsia" w:cs="Times New Roman" w:hint="eastAsia"/>
              <w:color w:val="000000" w:themeColor="text1"/>
              <w:kern w:val="2"/>
            </w:rPr>
            <w:tag w:val="_PLD_b4279fe84ffd49f892f0e4236d8485e0"/>
            <w:id w:val="-93332582"/>
          </w:sdtPr>
          <w:sdtEndPr/>
          <w:sdtContent>
            <w:tc>
              <w:tcPr>
                <w:tcW w:w="1477"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cs="Times New Roman" w:hint="eastAsia"/>
                    <w:color w:val="000000" w:themeColor="text1"/>
                    <w:kern w:val="2"/>
                  </w:rPr>
                  <w:t>资产类别</w:t>
                </w:r>
              </w:p>
            </w:tc>
          </w:sdtContent>
        </w:sdt>
        <w:sdt>
          <w:sdtPr>
            <w:rPr>
              <w:rFonts w:asciiTheme="minorEastAsia" w:eastAsiaTheme="minorEastAsia" w:hAnsiTheme="minorEastAsia" w:hint="eastAsia"/>
              <w:color w:val="000000" w:themeColor="text1"/>
            </w:rPr>
            <w:tag w:val="_PLD_8c2e4dc1bb324e79bc03b22ad26f792e"/>
            <w:id w:val="39320617"/>
          </w:sdtPr>
          <w:sdtEndPr/>
          <w:sdtContent>
            <w:tc>
              <w:tcPr>
                <w:tcW w:w="1581"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期初数</w:t>
                </w:r>
              </w:p>
            </w:tc>
          </w:sdtContent>
        </w:sdt>
        <w:sdt>
          <w:sdtPr>
            <w:rPr>
              <w:rFonts w:asciiTheme="minorEastAsia" w:eastAsiaTheme="minorEastAsia" w:hAnsiTheme="minorEastAsia" w:hint="eastAsia"/>
              <w:color w:val="000000" w:themeColor="text1"/>
            </w:rPr>
            <w:tag w:val="_PLD_7f931a153d8147eda6f368a9567bc298"/>
            <w:id w:val="622662411"/>
          </w:sdtPr>
          <w:sdtEndPr/>
          <w:sdtContent>
            <w:tc>
              <w:tcPr>
                <w:tcW w:w="1615" w:type="dxa"/>
                <w:shd w:val="clear" w:color="auto" w:fill="auto"/>
                <w:vAlign w:val="center"/>
              </w:tcPr>
              <w:p w:rsidR="000C5659" w:rsidRDefault="000E33C4" w:rsidP="00241718">
                <w:pPr>
                  <w:widowControl w:val="0"/>
                  <w:jc w:val="center"/>
                  <w:rPr>
                    <w:rFonts w:asciiTheme="minorEastAsia" w:eastAsiaTheme="minorEastAsia" w:hAnsiTheme="minorEastAsia"/>
                    <w:b/>
                    <w:color w:val="000000" w:themeColor="text1"/>
                  </w:rPr>
                </w:pPr>
                <w:r>
                  <w:rPr>
                    <w:rFonts w:asciiTheme="minorEastAsia" w:eastAsiaTheme="minorEastAsia" w:hAnsiTheme="minorEastAsia" w:hint="eastAsia"/>
                    <w:color w:val="000000" w:themeColor="text1"/>
                  </w:rPr>
                  <w:t>本期公允价值变动损益</w:t>
                </w:r>
              </w:p>
            </w:tc>
          </w:sdtContent>
        </w:sdt>
        <w:sdt>
          <w:sdtPr>
            <w:rPr>
              <w:rFonts w:asciiTheme="minorEastAsia" w:eastAsiaTheme="minorEastAsia" w:hAnsiTheme="minorEastAsia" w:hint="eastAsia"/>
              <w:color w:val="000000" w:themeColor="text1"/>
            </w:rPr>
            <w:tag w:val="_PLD_27da79c178c64f67a920ab85f142ffda"/>
            <w:id w:val="-432754286"/>
          </w:sdtPr>
          <w:sdtEndPr/>
          <w:sdtContent>
            <w:tc>
              <w:tcPr>
                <w:tcW w:w="1453"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计入权益的累计公允价值变动</w:t>
                </w:r>
              </w:p>
            </w:tc>
          </w:sdtContent>
        </w:sdt>
        <w:sdt>
          <w:sdtPr>
            <w:rPr>
              <w:rFonts w:asciiTheme="minorEastAsia" w:eastAsiaTheme="minorEastAsia" w:hAnsiTheme="minorEastAsia" w:hint="eastAsia"/>
              <w:color w:val="000000" w:themeColor="text1"/>
            </w:rPr>
            <w:tag w:val="_PLD_0fad7d8c41374a0d890f4c32253b8649"/>
            <w:id w:val="-1713878978"/>
          </w:sdtPr>
          <w:sdtEndPr/>
          <w:sdtContent>
            <w:tc>
              <w:tcPr>
                <w:tcW w:w="1051"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本期计提的减值</w:t>
                </w:r>
              </w:p>
            </w:tc>
          </w:sdtContent>
        </w:sdt>
        <w:sdt>
          <w:sdtPr>
            <w:rPr>
              <w:rFonts w:asciiTheme="minorEastAsia" w:eastAsiaTheme="minorEastAsia" w:hAnsiTheme="minorEastAsia" w:hint="eastAsia"/>
              <w:color w:val="000000" w:themeColor="text1"/>
            </w:rPr>
            <w:tag w:val="_PLD_8ff680d02d9d41dca633590f5d9750a8"/>
            <w:id w:val="-1232847846"/>
          </w:sdtPr>
          <w:sdtEndPr/>
          <w:sdtContent>
            <w:tc>
              <w:tcPr>
                <w:tcW w:w="1556"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本期购买金额</w:t>
                </w:r>
              </w:p>
            </w:tc>
          </w:sdtContent>
        </w:sdt>
        <w:sdt>
          <w:sdtPr>
            <w:rPr>
              <w:rFonts w:asciiTheme="minorEastAsia" w:eastAsiaTheme="minorEastAsia" w:hAnsiTheme="minorEastAsia" w:hint="eastAsia"/>
              <w:color w:val="000000" w:themeColor="text1"/>
            </w:rPr>
            <w:tag w:val="_PLD_e83492f8af03443b91d02a1661f56291"/>
            <w:id w:val="326330768"/>
          </w:sdtPr>
          <w:sdtEndPr/>
          <w:sdtContent>
            <w:tc>
              <w:tcPr>
                <w:tcW w:w="1241"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本期出售/赎回金额</w:t>
                </w:r>
              </w:p>
            </w:tc>
          </w:sdtContent>
        </w:sdt>
        <w:sdt>
          <w:sdtPr>
            <w:rPr>
              <w:rFonts w:asciiTheme="minorEastAsia" w:eastAsiaTheme="minorEastAsia" w:hAnsiTheme="minorEastAsia" w:hint="eastAsia"/>
              <w:color w:val="000000" w:themeColor="text1"/>
            </w:rPr>
            <w:tag w:val="_PLD_7aaffff291e240b5adc74b8ad3728c6e"/>
            <w:id w:val="52363338"/>
          </w:sdtPr>
          <w:sdtEndPr/>
          <w:sdtContent>
            <w:tc>
              <w:tcPr>
                <w:tcW w:w="1967"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其他变动</w:t>
                </w:r>
              </w:p>
            </w:tc>
          </w:sdtContent>
        </w:sdt>
        <w:sdt>
          <w:sdtPr>
            <w:rPr>
              <w:rFonts w:asciiTheme="minorEastAsia" w:eastAsiaTheme="minorEastAsia" w:hAnsiTheme="minorEastAsia" w:hint="eastAsia"/>
              <w:color w:val="000000" w:themeColor="text1"/>
            </w:rPr>
            <w:tag w:val="_PLD_d765878830274571b732d6e366f7811e"/>
            <w:id w:val="1904786880"/>
          </w:sdtPr>
          <w:sdtEndPr/>
          <w:sdtContent>
            <w:tc>
              <w:tcPr>
                <w:tcW w:w="1922" w:type="dxa"/>
                <w:shd w:val="clear" w:color="auto" w:fill="auto"/>
                <w:vAlign w:val="center"/>
              </w:tcPr>
              <w:p w:rsidR="000C5659" w:rsidRDefault="000E33C4" w:rsidP="0024171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期末数</w:t>
                </w:r>
              </w:p>
            </w:tc>
          </w:sdtContent>
        </w:sdt>
      </w:tr>
      <w:tr w:rsidR="000C5659" w:rsidTr="00241718">
        <w:trPr>
          <w:trHeight w:val="454"/>
        </w:trPr>
        <w:tc>
          <w:tcPr>
            <w:tcW w:w="1477" w:type="dxa"/>
            <w:shd w:val="clear" w:color="auto" w:fill="auto"/>
            <w:vAlign w:val="center"/>
          </w:tcPr>
          <w:p w:rsidR="000C5659" w:rsidRDefault="000E33C4" w:rsidP="00241718">
            <w:pPr>
              <w:widowControl w:val="0"/>
              <w:jc w:val="both"/>
              <w:rPr>
                <w:rFonts w:asciiTheme="minorEastAsia" w:eastAsiaTheme="minorEastAsia" w:hAnsiTheme="minorEastAsia"/>
              </w:rPr>
            </w:pPr>
            <w:r>
              <w:rPr>
                <w:rFonts w:asciiTheme="minorEastAsia" w:eastAsiaTheme="minorEastAsia" w:hAnsiTheme="minorEastAsia" w:hint="eastAsia"/>
              </w:rPr>
              <w:t>私募基金</w:t>
            </w:r>
          </w:p>
        </w:tc>
        <w:tc>
          <w:tcPr>
            <w:tcW w:w="158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50,787,681.47</w:t>
            </w:r>
          </w:p>
        </w:tc>
        <w:tc>
          <w:tcPr>
            <w:tcW w:w="1615" w:type="dxa"/>
            <w:shd w:val="clear" w:color="auto" w:fill="auto"/>
            <w:vAlign w:val="center"/>
          </w:tcPr>
          <w:p w:rsidR="000C5659" w:rsidRDefault="000E33C4" w:rsidP="00241718">
            <w:pPr>
              <w:jc w:val="right"/>
              <w:textAlignment w:val="top"/>
              <w:rPr>
                <w:color w:val="000000"/>
              </w:rPr>
            </w:pPr>
            <w:r>
              <w:rPr>
                <w:color w:val="000000"/>
              </w:rPr>
              <w:t xml:space="preserve">320,601.18 </w:t>
            </w:r>
          </w:p>
        </w:tc>
        <w:tc>
          <w:tcPr>
            <w:tcW w:w="1453" w:type="dxa"/>
            <w:shd w:val="clear" w:color="auto" w:fill="auto"/>
            <w:vAlign w:val="center"/>
          </w:tcPr>
          <w:p w:rsidR="000C5659" w:rsidRDefault="000C5659" w:rsidP="00241718">
            <w:pPr>
              <w:jc w:val="right"/>
              <w:textAlignment w:val="top"/>
              <w:rPr>
                <w:rFonts w:asciiTheme="minorEastAsia" w:eastAsiaTheme="minorEastAsia" w:hAnsiTheme="minorEastAsia" w:cstheme="minorEastAsia"/>
                <w:color w:val="000000"/>
                <w:lang w:bidi="ar"/>
              </w:rPr>
            </w:pPr>
          </w:p>
        </w:tc>
        <w:tc>
          <w:tcPr>
            <w:tcW w:w="105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556"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6,250,000.00</w:t>
            </w:r>
          </w:p>
        </w:tc>
        <w:tc>
          <w:tcPr>
            <w:tcW w:w="124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67"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22" w:type="dxa"/>
            <w:shd w:val="clear" w:color="auto" w:fill="auto"/>
            <w:vAlign w:val="center"/>
          </w:tcPr>
          <w:p w:rsidR="000C5659" w:rsidRDefault="000E33C4" w:rsidP="00241718">
            <w:pPr>
              <w:jc w:val="right"/>
              <w:textAlignment w:val="center"/>
              <w:rPr>
                <w:rFonts w:asciiTheme="minorEastAsia" w:eastAsiaTheme="minorEastAsia" w:hAnsiTheme="minorEastAsia" w:cstheme="minorEastAsia"/>
                <w:color w:val="000000"/>
                <w:highlight w:val="yellow"/>
                <w:lang w:bidi="ar"/>
              </w:rPr>
            </w:pPr>
            <w:r>
              <w:rPr>
                <w:rFonts w:hint="eastAsia"/>
                <w:color w:val="000000"/>
              </w:rPr>
              <w:t>57,358,282.65</w:t>
            </w:r>
          </w:p>
        </w:tc>
      </w:tr>
      <w:tr w:rsidR="000C5659" w:rsidTr="00241718">
        <w:trPr>
          <w:trHeight w:val="454"/>
        </w:trPr>
        <w:tc>
          <w:tcPr>
            <w:tcW w:w="1477" w:type="dxa"/>
            <w:shd w:val="clear" w:color="auto" w:fill="auto"/>
            <w:vAlign w:val="center"/>
          </w:tcPr>
          <w:p w:rsidR="000C5659" w:rsidRDefault="000E33C4" w:rsidP="00241718">
            <w:pPr>
              <w:widowControl w:val="0"/>
              <w:jc w:val="both"/>
              <w:rPr>
                <w:rFonts w:asciiTheme="minorEastAsia" w:eastAsiaTheme="minorEastAsia" w:hAnsiTheme="minorEastAsia"/>
              </w:rPr>
            </w:pPr>
            <w:r>
              <w:rPr>
                <w:rFonts w:asciiTheme="minorEastAsia" w:eastAsiaTheme="minorEastAsia" w:hAnsiTheme="minorEastAsia" w:hint="eastAsia"/>
              </w:rPr>
              <w:t>股票</w:t>
            </w:r>
          </w:p>
        </w:tc>
        <w:tc>
          <w:tcPr>
            <w:tcW w:w="158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119,380.80</w:t>
            </w:r>
          </w:p>
        </w:tc>
        <w:tc>
          <w:tcPr>
            <w:tcW w:w="1615" w:type="dxa"/>
            <w:shd w:val="clear" w:color="auto" w:fill="auto"/>
            <w:vAlign w:val="center"/>
          </w:tcPr>
          <w:p w:rsidR="000C5659" w:rsidRDefault="000E33C4" w:rsidP="00241718">
            <w:pPr>
              <w:jc w:val="right"/>
              <w:textAlignment w:val="top"/>
              <w:rPr>
                <w:color w:val="000000"/>
              </w:rPr>
            </w:pPr>
            <w:r>
              <w:rPr>
                <w:rFonts w:hint="eastAsia"/>
                <w:color w:val="000000"/>
              </w:rPr>
              <w:t>-29,512.00</w:t>
            </w:r>
          </w:p>
        </w:tc>
        <w:tc>
          <w:tcPr>
            <w:tcW w:w="1453" w:type="dxa"/>
            <w:shd w:val="clear" w:color="auto" w:fill="auto"/>
            <w:vAlign w:val="center"/>
          </w:tcPr>
          <w:p w:rsidR="000C5659" w:rsidRDefault="000C5659" w:rsidP="00241718">
            <w:pPr>
              <w:jc w:val="right"/>
              <w:textAlignment w:val="top"/>
              <w:rPr>
                <w:rFonts w:asciiTheme="minorEastAsia" w:eastAsiaTheme="minorEastAsia" w:hAnsiTheme="minorEastAsia" w:cstheme="minorEastAsia"/>
                <w:color w:val="000000"/>
                <w:lang w:bidi="ar"/>
              </w:rPr>
            </w:pPr>
          </w:p>
        </w:tc>
        <w:tc>
          <w:tcPr>
            <w:tcW w:w="105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556"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24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67"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22" w:type="dxa"/>
            <w:shd w:val="clear" w:color="auto" w:fill="auto"/>
            <w:vAlign w:val="center"/>
          </w:tcPr>
          <w:p w:rsidR="000C5659" w:rsidRDefault="000E33C4" w:rsidP="00241718">
            <w:pPr>
              <w:jc w:val="right"/>
              <w:textAlignment w:val="center"/>
              <w:rPr>
                <w:rFonts w:asciiTheme="minorEastAsia" w:eastAsiaTheme="minorEastAsia" w:hAnsiTheme="minorEastAsia"/>
                <w:color w:val="000000"/>
              </w:rPr>
            </w:pPr>
            <w:r>
              <w:rPr>
                <w:rFonts w:hint="eastAsia"/>
                <w:color w:val="000000"/>
              </w:rPr>
              <w:t>89,868.80</w:t>
            </w:r>
          </w:p>
        </w:tc>
      </w:tr>
      <w:tr w:rsidR="000C5659" w:rsidTr="00241718">
        <w:trPr>
          <w:trHeight w:val="454"/>
        </w:trPr>
        <w:tc>
          <w:tcPr>
            <w:tcW w:w="1477" w:type="dxa"/>
            <w:shd w:val="clear" w:color="auto" w:fill="auto"/>
            <w:vAlign w:val="center"/>
          </w:tcPr>
          <w:p w:rsidR="000C5659" w:rsidRDefault="000E33C4" w:rsidP="00241718">
            <w:pPr>
              <w:widowControl w:val="0"/>
              <w:jc w:val="both"/>
              <w:rPr>
                <w:rFonts w:asciiTheme="minorEastAsia" w:eastAsiaTheme="minorEastAsia" w:hAnsiTheme="minorEastAsia"/>
              </w:rPr>
            </w:pPr>
            <w:r>
              <w:rPr>
                <w:rFonts w:asciiTheme="minorEastAsia" w:eastAsiaTheme="minorEastAsia" w:hAnsiTheme="minorEastAsia" w:hint="eastAsia"/>
              </w:rPr>
              <w:t>衍生工具</w:t>
            </w:r>
          </w:p>
        </w:tc>
        <w:tc>
          <w:tcPr>
            <w:tcW w:w="158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7,609,980.38</w:t>
            </w:r>
          </w:p>
        </w:tc>
        <w:tc>
          <w:tcPr>
            <w:tcW w:w="1615" w:type="dxa"/>
            <w:shd w:val="clear" w:color="auto" w:fill="auto"/>
            <w:vAlign w:val="center"/>
          </w:tcPr>
          <w:p w:rsidR="000C5659" w:rsidRDefault="000E33C4" w:rsidP="00241718">
            <w:pPr>
              <w:jc w:val="right"/>
              <w:textAlignment w:val="top"/>
              <w:rPr>
                <w:color w:val="000000"/>
              </w:rPr>
            </w:pPr>
            <w:r>
              <w:rPr>
                <w:rFonts w:hint="eastAsia"/>
                <w:color w:val="000000"/>
              </w:rPr>
              <w:t xml:space="preserve">　</w:t>
            </w:r>
          </w:p>
        </w:tc>
        <w:tc>
          <w:tcPr>
            <w:tcW w:w="1453" w:type="dxa"/>
            <w:shd w:val="clear" w:color="auto" w:fill="auto"/>
            <w:vAlign w:val="center"/>
          </w:tcPr>
          <w:p w:rsidR="000C5659" w:rsidRDefault="000C5659" w:rsidP="00241718">
            <w:pPr>
              <w:jc w:val="right"/>
              <w:textAlignment w:val="top"/>
              <w:rPr>
                <w:rFonts w:asciiTheme="minorEastAsia" w:eastAsiaTheme="minorEastAsia" w:hAnsiTheme="minorEastAsia" w:cstheme="minorEastAsia"/>
                <w:color w:val="000000"/>
                <w:lang w:bidi="ar"/>
              </w:rPr>
            </w:pPr>
          </w:p>
        </w:tc>
        <w:tc>
          <w:tcPr>
            <w:tcW w:w="105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556"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24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67" w:type="dxa"/>
            <w:shd w:val="clear" w:color="auto" w:fill="auto"/>
            <w:vAlign w:val="center"/>
          </w:tcPr>
          <w:p w:rsidR="000C5659" w:rsidRDefault="000E33C4" w:rsidP="00241718">
            <w:pPr>
              <w:jc w:val="right"/>
              <w:textAlignment w:val="top"/>
              <w:rPr>
                <w:color w:val="000000"/>
              </w:rPr>
            </w:pPr>
            <w:r>
              <w:rPr>
                <w:rFonts w:hint="eastAsia"/>
                <w:color w:val="000000"/>
              </w:rPr>
              <w:t>38,200,000.00</w:t>
            </w:r>
          </w:p>
        </w:tc>
        <w:tc>
          <w:tcPr>
            <w:tcW w:w="1922" w:type="dxa"/>
            <w:shd w:val="clear" w:color="auto" w:fill="auto"/>
            <w:vAlign w:val="center"/>
          </w:tcPr>
          <w:p w:rsidR="000C5659" w:rsidRDefault="000E33C4" w:rsidP="00241718">
            <w:pPr>
              <w:jc w:val="right"/>
              <w:textAlignment w:val="center"/>
              <w:rPr>
                <w:rFonts w:asciiTheme="minorEastAsia" w:hAnsiTheme="minorEastAsia"/>
                <w:color w:val="000000"/>
              </w:rPr>
            </w:pPr>
            <w:r>
              <w:rPr>
                <w:rFonts w:hint="eastAsia"/>
                <w:color w:val="000000"/>
              </w:rPr>
              <w:t>45,809,980.38</w:t>
            </w:r>
          </w:p>
        </w:tc>
      </w:tr>
      <w:tr w:rsidR="000C5659" w:rsidTr="00241718">
        <w:trPr>
          <w:trHeight w:val="454"/>
        </w:trPr>
        <w:tc>
          <w:tcPr>
            <w:tcW w:w="1477" w:type="dxa"/>
            <w:shd w:val="clear" w:color="auto" w:fill="auto"/>
            <w:vAlign w:val="center"/>
          </w:tcPr>
          <w:p w:rsidR="000C5659" w:rsidRDefault="000E33C4" w:rsidP="00241718">
            <w:pPr>
              <w:widowControl w:val="0"/>
              <w:jc w:val="both"/>
              <w:rPr>
                <w:rFonts w:asciiTheme="minorEastAsia" w:eastAsiaTheme="minorEastAsia" w:hAnsiTheme="minorEastAsia"/>
              </w:rPr>
            </w:pPr>
            <w:r>
              <w:rPr>
                <w:rFonts w:asciiTheme="minorEastAsia" w:eastAsiaTheme="minorEastAsia" w:hAnsiTheme="minorEastAsia" w:hint="eastAsia"/>
              </w:rPr>
              <w:lastRenderedPageBreak/>
              <w:t>其他</w:t>
            </w:r>
          </w:p>
        </w:tc>
        <w:tc>
          <w:tcPr>
            <w:tcW w:w="158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8,265,031.07</w:t>
            </w:r>
          </w:p>
        </w:tc>
        <w:tc>
          <w:tcPr>
            <w:tcW w:w="1615" w:type="dxa"/>
            <w:shd w:val="clear" w:color="auto" w:fill="auto"/>
            <w:vAlign w:val="center"/>
          </w:tcPr>
          <w:p w:rsidR="000C5659" w:rsidRDefault="000E33C4" w:rsidP="00241718">
            <w:pPr>
              <w:jc w:val="right"/>
              <w:textAlignment w:val="top"/>
              <w:rPr>
                <w:color w:val="000000"/>
              </w:rPr>
            </w:pPr>
            <w:r>
              <w:rPr>
                <w:rFonts w:hint="eastAsia"/>
                <w:color w:val="000000"/>
              </w:rPr>
              <w:t xml:space="preserve">-456,795.15 </w:t>
            </w:r>
          </w:p>
        </w:tc>
        <w:tc>
          <w:tcPr>
            <w:tcW w:w="1453" w:type="dxa"/>
            <w:shd w:val="clear" w:color="auto" w:fill="auto"/>
            <w:vAlign w:val="center"/>
          </w:tcPr>
          <w:p w:rsidR="000C5659" w:rsidRDefault="000C5659" w:rsidP="00241718">
            <w:pPr>
              <w:jc w:val="right"/>
              <w:textAlignment w:val="top"/>
              <w:rPr>
                <w:rFonts w:asciiTheme="minorEastAsia" w:eastAsiaTheme="minorEastAsia" w:hAnsiTheme="minorEastAsia" w:cstheme="minorEastAsia"/>
                <w:color w:val="000000"/>
                <w:lang w:bidi="ar"/>
              </w:rPr>
            </w:pPr>
          </w:p>
        </w:tc>
        <w:tc>
          <w:tcPr>
            <w:tcW w:w="105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556"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24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67"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22" w:type="dxa"/>
            <w:shd w:val="clear" w:color="auto" w:fill="auto"/>
            <w:vAlign w:val="center"/>
          </w:tcPr>
          <w:p w:rsidR="000C5659" w:rsidRDefault="000E33C4" w:rsidP="00241718">
            <w:pPr>
              <w:jc w:val="right"/>
              <w:textAlignment w:val="center"/>
              <w:rPr>
                <w:rFonts w:asciiTheme="minorEastAsia" w:eastAsiaTheme="minorEastAsia" w:hAnsiTheme="minorEastAsia"/>
                <w:color w:val="000000"/>
              </w:rPr>
            </w:pPr>
            <w:r>
              <w:rPr>
                <w:rFonts w:hint="eastAsia"/>
                <w:color w:val="000000"/>
              </w:rPr>
              <w:t>7,808,235.92</w:t>
            </w:r>
          </w:p>
        </w:tc>
      </w:tr>
      <w:tr w:rsidR="000C5659" w:rsidTr="00241718">
        <w:trPr>
          <w:trHeight w:val="567"/>
        </w:trPr>
        <w:tc>
          <w:tcPr>
            <w:tcW w:w="1477" w:type="dxa"/>
            <w:shd w:val="clear" w:color="auto" w:fill="auto"/>
            <w:vAlign w:val="center"/>
          </w:tcPr>
          <w:p w:rsidR="000C5659" w:rsidRDefault="000E33C4" w:rsidP="00241718">
            <w:pPr>
              <w:jc w:val="both"/>
              <w:rPr>
                <w:rFonts w:asciiTheme="minorEastAsia" w:eastAsiaTheme="minorEastAsia" w:hAnsiTheme="minorEastAsia"/>
              </w:rPr>
            </w:pPr>
            <w:r>
              <w:rPr>
                <w:rFonts w:asciiTheme="minorEastAsia" w:eastAsiaTheme="minorEastAsia" w:hAnsiTheme="minorEastAsia" w:hint="eastAsia"/>
              </w:rPr>
              <w:t>其中：</w:t>
            </w:r>
          </w:p>
          <w:p w:rsidR="000C5659" w:rsidRDefault="000E33C4" w:rsidP="00241718">
            <w:pPr>
              <w:widowControl w:val="0"/>
              <w:jc w:val="both"/>
              <w:rPr>
                <w:rFonts w:asciiTheme="minorEastAsia" w:eastAsiaTheme="minorEastAsia" w:hAnsiTheme="minorEastAsia"/>
              </w:rPr>
            </w:pPr>
            <w:r>
              <w:rPr>
                <w:rFonts w:asciiTheme="minorEastAsia" w:eastAsiaTheme="minorEastAsia" w:hAnsiTheme="minorEastAsia" w:hint="eastAsia"/>
              </w:rPr>
              <w:t>公募基金</w:t>
            </w:r>
          </w:p>
        </w:tc>
        <w:tc>
          <w:tcPr>
            <w:tcW w:w="158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8,265,031.07</w:t>
            </w:r>
          </w:p>
        </w:tc>
        <w:tc>
          <w:tcPr>
            <w:tcW w:w="1615" w:type="dxa"/>
            <w:shd w:val="clear" w:color="auto" w:fill="auto"/>
            <w:vAlign w:val="center"/>
          </w:tcPr>
          <w:p w:rsidR="000C5659" w:rsidRDefault="000E33C4" w:rsidP="00241718">
            <w:pPr>
              <w:jc w:val="right"/>
              <w:textAlignment w:val="top"/>
              <w:rPr>
                <w:color w:val="000000"/>
              </w:rPr>
            </w:pPr>
            <w:r>
              <w:rPr>
                <w:rFonts w:hint="eastAsia"/>
                <w:color w:val="000000"/>
              </w:rPr>
              <w:t xml:space="preserve">-456,795.15 </w:t>
            </w:r>
          </w:p>
        </w:tc>
        <w:tc>
          <w:tcPr>
            <w:tcW w:w="1453" w:type="dxa"/>
            <w:shd w:val="clear" w:color="auto" w:fill="auto"/>
            <w:vAlign w:val="center"/>
          </w:tcPr>
          <w:p w:rsidR="000C5659" w:rsidRDefault="000C5659" w:rsidP="00241718">
            <w:pPr>
              <w:jc w:val="right"/>
              <w:textAlignment w:val="top"/>
              <w:rPr>
                <w:rFonts w:asciiTheme="minorEastAsia" w:eastAsiaTheme="minorEastAsia" w:hAnsiTheme="minorEastAsia" w:cstheme="minorEastAsia"/>
                <w:color w:val="000000"/>
                <w:lang w:bidi="ar"/>
              </w:rPr>
            </w:pPr>
          </w:p>
        </w:tc>
        <w:tc>
          <w:tcPr>
            <w:tcW w:w="105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556"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24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67"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color w:val="000000"/>
                <w:lang w:bidi="ar"/>
              </w:rPr>
            </w:pPr>
            <w:r>
              <w:rPr>
                <w:rFonts w:hint="eastAsia"/>
                <w:color w:val="000000"/>
              </w:rPr>
              <w:t xml:space="preserve">　</w:t>
            </w:r>
          </w:p>
        </w:tc>
        <w:tc>
          <w:tcPr>
            <w:tcW w:w="1922" w:type="dxa"/>
            <w:shd w:val="clear" w:color="auto" w:fill="auto"/>
            <w:vAlign w:val="center"/>
          </w:tcPr>
          <w:p w:rsidR="000C5659" w:rsidRDefault="000E33C4" w:rsidP="00241718">
            <w:pPr>
              <w:jc w:val="right"/>
              <w:textAlignment w:val="center"/>
              <w:rPr>
                <w:rFonts w:asciiTheme="minorEastAsia" w:eastAsiaTheme="minorEastAsia" w:hAnsiTheme="minorEastAsia"/>
                <w:color w:val="000000"/>
              </w:rPr>
            </w:pPr>
            <w:r>
              <w:rPr>
                <w:rFonts w:hint="eastAsia"/>
                <w:color w:val="000000"/>
              </w:rPr>
              <w:t>7,808,235.92</w:t>
            </w:r>
          </w:p>
        </w:tc>
      </w:tr>
      <w:tr w:rsidR="000C5659" w:rsidTr="00241718">
        <w:trPr>
          <w:trHeight w:val="454"/>
        </w:trPr>
        <w:tc>
          <w:tcPr>
            <w:tcW w:w="1477" w:type="dxa"/>
            <w:shd w:val="clear" w:color="auto" w:fill="auto"/>
            <w:vAlign w:val="center"/>
          </w:tcPr>
          <w:p w:rsidR="000C5659" w:rsidRDefault="000E33C4" w:rsidP="00241718">
            <w:pPr>
              <w:widowControl w:val="0"/>
              <w:jc w:val="both"/>
              <w:rPr>
                <w:rFonts w:asciiTheme="minorEastAsia" w:eastAsiaTheme="minorEastAsia" w:hAnsiTheme="minorEastAsia"/>
                <w:color w:val="000000" w:themeColor="text1"/>
              </w:rPr>
            </w:pPr>
            <w:r>
              <w:rPr>
                <w:rFonts w:asciiTheme="minorEastAsia" w:eastAsiaTheme="minorEastAsia" w:hAnsiTheme="minorEastAsia"/>
                <w:color w:val="000000" w:themeColor="text1"/>
              </w:rPr>
              <w:t>合计</w:t>
            </w:r>
          </w:p>
        </w:tc>
        <w:tc>
          <w:tcPr>
            <w:tcW w:w="1581"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66,782,073.72 </w:t>
            </w:r>
          </w:p>
        </w:tc>
        <w:tc>
          <w:tcPr>
            <w:tcW w:w="1615" w:type="dxa"/>
            <w:shd w:val="clear" w:color="auto" w:fill="auto"/>
            <w:vAlign w:val="center"/>
          </w:tcPr>
          <w:p w:rsidR="000C5659" w:rsidRDefault="000E33C4" w:rsidP="00241718">
            <w:pPr>
              <w:jc w:val="right"/>
              <w:textAlignment w:val="top"/>
              <w:rPr>
                <w:color w:val="000000"/>
              </w:rPr>
            </w:pPr>
            <w:r>
              <w:rPr>
                <w:rFonts w:hint="eastAsia"/>
                <w:color w:val="000000"/>
              </w:rPr>
              <w:t xml:space="preserve"> -165,705.97 </w:t>
            </w:r>
          </w:p>
        </w:tc>
        <w:tc>
          <w:tcPr>
            <w:tcW w:w="1453" w:type="dxa"/>
            <w:shd w:val="clear" w:color="auto" w:fill="auto"/>
            <w:vAlign w:val="center"/>
          </w:tcPr>
          <w:p w:rsidR="000C5659" w:rsidRDefault="000C5659" w:rsidP="00241718">
            <w:pPr>
              <w:jc w:val="right"/>
              <w:textAlignment w:val="top"/>
              <w:rPr>
                <w:rFonts w:asciiTheme="minorEastAsia" w:eastAsiaTheme="minorEastAsia" w:hAnsiTheme="minorEastAsia" w:cstheme="minorEastAsia"/>
              </w:rPr>
            </w:pPr>
          </w:p>
        </w:tc>
        <w:tc>
          <w:tcPr>
            <w:tcW w:w="1051" w:type="dxa"/>
            <w:shd w:val="clear" w:color="auto" w:fill="auto"/>
            <w:vAlign w:val="center"/>
          </w:tcPr>
          <w:p w:rsidR="000C5659" w:rsidRDefault="000C5659" w:rsidP="00241718">
            <w:pPr>
              <w:jc w:val="right"/>
              <w:rPr>
                <w:rFonts w:asciiTheme="minorEastAsia" w:eastAsiaTheme="minorEastAsia" w:hAnsiTheme="minorEastAsia" w:cstheme="minorEastAsia"/>
              </w:rPr>
            </w:pPr>
          </w:p>
        </w:tc>
        <w:tc>
          <w:tcPr>
            <w:tcW w:w="1556"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6,250,000.00 </w:t>
            </w:r>
          </w:p>
        </w:tc>
        <w:tc>
          <w:tcPr>
            <w:tcW w:w="1241" w:type="dxa"/>
            <w:shd w:val="clear" w:color="auto" w:fill="auto"/>
            <w:vAlign w:val="center"/>
          </w:tcPr>
          <w:p w:rsidR="000C5659" w:rsidRDefault="000C5659" w:rsidP="00241718">
            <w:pPr>
              <w:jc w:val="right"/>
              <w:rPr>
                <w:rFonts w:asciiTheme="minorEastAsia" w:eastAsiaTheme="minorEastAsia" w:hAnsiTheme="minorEastAsia" w:cstheme="minorEastAsia"/>
              </w:rPr>
            </w:pPr>
          </w:p>
        </w:tc>
        <w:tc>
          <w:tcPr>
            <w:tcW w:w="1967" w:type="dxa"/>
            <w:shd w:val="clear" w:color="auto" w:fill="auto"/>
            <w:vAlign w:val="center"/>
          </w:tcPr>
          <w:p w:rsidR="000C5659" w:rsidRDefault="000E33C4" w:rsidP="00241718">
            <w:pPr>
              <w:jc w:val="right"/>
              <w:textAlignment w:val="top"/>
              <w:rPr>
                <w:rFonts w:asciiTheme="minorEastAsia" w:eastAsiaTheme="minorEastAsia" w:hAnsiTheme="minorEastAsia" w:cstheme="minorEastAsia"/>
              </w:rPr>
            </w:pPr>
            <w:r>
              <w:rPr>
                <w:rFonts w:hint="eastAsia"/>
                <w:color w:val="000000"/>
              </w:rPr>
              <w:t>38,200,000.00</w:t>
            </w:r>
            <w:r>
              <w:rPr>
                <w:rFonts w:asciiTheme="minorEastAsia" w:eastAsiaTheme="minorEastAsia" w:hAnsiTheme="minorEastAsia" w:cstheme="minorEastAsia" w:hint="eastAsia"/>
                <w:color w:val="000000"/>
                <w:lang w:bidi="ar"/>
              </w:rPr>
              <w:t xml:space="preserve"> </w:t>
            </w:r>
          </w:p>
        </w:tc>
        <w:tc>
          <w:tcPr>
            <w:tcW w:w="1922" w:type="dxa"/>
            <w:shd w:val="clear" w:color="auto" w:fill="auto"/>
            <w:vAlign w:val="center"/>
          </w:tcPr>
          <w:p w:rsidR="000C5659" w:rsidRDefault="000E33C4" w:rsidP="00241718">
            <w:pPr>
              <w:jc w:val="right"/>
              <w:textAlignment w:val="center"/>
              <w:rPr>
                <w:rFonts w:asciiTheme="minorEastAsia" w:eastAsiaTheme="minorEastAsia" w:hAnsiTheme="minorEastAsia"/>
                <w:color w:val="000000"/>
              </w:rPr>
            </w:pPr>
            <w:r>
              <w:rPr>
                <w:rFonts w:asciiTheme="minorEastAsia" w:eastAsiaTheme="minorEastAsia" w:hAnsiTheme="minorEastAsia" w:hint="eastAsia"/>
                <w:color w:val="000000"/>
                <w:lang w:bidi="ar"/>
              </w:rPr>
              <w:t>111,066,367.75</w:t>
            </w:r>
          </w:p>
        </w:tc>
      </w:tr>
    </w:tbl>
    <w:p w:rsidR="000C5659" w:rsidRDefault="000C5659">
      <w:pPr>
        <w:rPr>
          <w:color w:val="000000" w:themeColor="text1"/>
        </w:rPr>
      </w:pPr>
    </w:p>
    <w:p w:rsidR="004D0C8B" w:rsidRDefault="004D0C8B">
      <w:pPr>
        <w:rPr>
          <w:color w:val="000000" w:themeColor="text1"/>
        </w:rPr>
      </w:pPr>
    </w:p>
    <w:bookmarkEnd w:id="38"/>
    <w:p w:rsidR="000C5659" w:rsidRDefault="000E33C4">
      <w:pPr>
        <w:rPr>
          <w:color w:val="000000" w:themeColor="text1"/>
        </w:rPr>
      </w:pPr>
      <w:r>
        <w:rPr>
          <w:rFonts w:hint="eastAsia"/>
          <w:color w:val="000000" w:themeColor="text1"/>
        </w:rPr>
        <w:t>证券投资情况</w:t>
      </w:r>
    </w:p>
    <w:sdt>
      <w:sdtPr>
        <w:rPr>
          <w:color w:val="000000" w:themeColor="text1"/>
        </w:rPr>
        <w:alias w:val="是否适用：证券投资情况[双击切换]"/>
        <w:tag w:val="_GBC_5a8828b10b2a437a9b496037ef93ad06"/>
        <w:id w:val="17834556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4D0C8B" w:rsidRDefault="004D0C8B">
      <w:pPr>
        <w:pStyle w:val="Style212"/>
        <w:wordWrap w:val="0"/>
        <w:ind w:left="360" w:firstLineChars="0" w:firstLine="0"/>
        <w:jc w:val="right"/>
        <w:rPr>
          <w:color w:val="000000" w:themeColor="text1"/>
        </w:rPr>
      </w:pPr>
    </w:p>
    <w:p w:rsidR="000C5659" w:rsidRDefault="000E33C4" w:rsidP="004D0C8B">
      <w:pPr>
        <w:pStyle w:val="Style212"/>
        <w:ind w:left="360" w:firstLineChars="0" w:firstLine="0"/>
        <w:jc w:val="right"/>
        <w:rPr>
          <w:color w:val="000000" w:themeColor="text1"/>
        </w:rPr>
      </w:pPr>
      <w:r>
        <w:rPr>
          <w:rFonts w:hint="eastAsia"/>
          <w:color w:val="000000" w:themeColor="text1"/>
        </w:rPr>
        <w:t>单位：</w:t>
      </w:r>
      <w:sdt>
        <w:sdtPr>
          <w:rPr>
            <w:rFonts w:hint="eastAsia"/>
            <w:color w:val="000000" w:themeColor="text1"/>
          </w:rPr>
          <w:alias w:val="单位：证券投资情况"/>
          <w:tag w:val="_GBC_5a75af14e433444597923ebce50689a8"/>
          <w:id w:val="-124972783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证券投资情况"/>
          <w:tag w:val="_GBC_47440d8bf014467ab6dfe74bc9d19131"/>
          <w:id w:val="9191447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872"/>
        <w:gridCol w:w="872"/>
        <w:gridCol w:w="1582"/>
        <w:gridCol w:w="1042"/>
        <w:gridCol w:w="1476"/>
        <w:gridCol w:w="1406"/>
        <w:gridCol w:w="793"/>
        <w:gridCol w:w="873"/>
        <w:gridCol w:w="1128"/>
        <w:gridCol w:w="618"/>
        <w:gridCol w:w="1476"/>
        <w:gridCol w:w="862"/>
      </w:tblGrid>
      <w:tr w:rsidR="000C5659" w:rsidTr="004D0C8B">
        <w:bookmarkStart w:id="40" w:name="_Hlk40533881" w:displacedByCustomXml="next"/>
        <w:sdt>
          <w:sdtPr>
            <w:rPr>
              <w:rFonts w:asciiTheme="minorEastAsia" w:eastAsiaTheme="minorEastAsia" w:hAnsiTheme="minorEastAsia" w:hint="eastAsia"/>
              <w:color w:val="000000" w:themeColor="text1"/>
            </w:rPr>
            <w:tag w:val="_PLD_1a6385f8cdab43e88408479fba4d9229"/>
            <w:id w:val="1392000372"/>
          </w:sdtPr>
          <w:sdtEndPr/>
          <w:sdtContent>
            <w:tc>
              <w:tcPr>
                <w:tcW w:w="311"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证券品种</w:t>
                </w:r>
              </w:p>
            </w:tc>
          </w:sdtContent>
        </w:sdt>
        <w:sdt>
          <w:sdtPr>
            <w:rPr>
              <w:rFonts w:asciiTheme="minorEastAsia" w:eastAsiaTheme="minorEastAsia" w:hAnsiTheme="minorEastAsia" w:hint="eastAsia"/>
              <w:color w:val="000000" w:themeColor="text1"/>
            </w:rPr>
            <w:tag w:val="_PLD_f57d06c7b56240de84f37921f1d5f0a5"/>
            <w:id w:val="-275725520"/>
          </w:sdtPr>
          <w:sdtEndPr/>
          <w:sdtContent>
            <w:tc>
              <w:tcPr>
                <w:tcW w:w="314"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证券代码</w:t>
                </w:r>
              </w:p>
            </w:tc>
          </w:sdtContent>
        </w:sdt>
        <w:sdt>
          <w:sdtPr>
            <w:rPr>
              <w:rFonts w:asciiTheme="minorEastAsia" w:eastAsiaTheme="minorEastAsia" w:hAnsiTheme="minorEastAsia" w:hint="eastAsia"/>
              <w:color w:val="000000" w:themeColor="text1"/>
            </w:rPr>
            <w:tag w:val="_PLD_c8973b349e6844f6b68aa45d2db197c6"/>
            <w:id w:val="1643765916"/>
          </w:sdtPr>
          <w:sdtEndPr/>
          <w:sdtContent>
            <w:tc>
              <w:tcPr>
                <w:tcW w:w="314" w:type="pct"/>
                <w:shd w:val="clear" w:color="auto" w:fill="auto"/>
                <w:vAlign w:val="center"/>
              </w:tcPr>
              <w:p w:rsidR="000C5659" w:rsidRDefault="000E33C4">
                <w:pPr>
                  <w:widowControl w:val="0"/>
                  <w:tabs>
                    <w:tab w:val="left" w:pos="60"/>
                  </w:tabs>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证券简称</w:t>
                </w:r>
              </w:p>
            </w:tc>
          </w:sdtContent>
        </w:sdt>
        <w:sdt>
          <w:sdtPr>
            <w:rPr>
              <w:rFonts w:asciiTheme="minorEastAsia" w:eastAsiaTheme="minorEastAsia" w:hAnsiTheme="minorEastAsia" w:hint="eastAsia"/>
              <w:color w:val="000000" w:themeColor="text1"/>
            </w:rPr>
            <w:tag w:val="_PLD_347e7e935c4840d199d2a43abb9a0277"/>
            <w:id w:val="434178388"/>
          </w:sdtPr>
          <w:sdtEndPr/>
          <w:sdtContent>
            <w:tc>
              <w:tcPr>
                <w:tcW w:w="570"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最初投资成本</w:t>
                </w:r>
              </w:p>
            </w:tc>
          </w:sdtContent>
        </w:sdt>
        <w:sdt>
          <w:sdtPr>
            <w:rPr>
              <w:rFonts w:asciiTheme="minorEastAsia" w:eastAsiaTheme="minorEastAsia" w:hAnsiTheme="minorEastAsia" w:hint="eastAsia"/>
              <w:color w:val="000000" w:themeColor="text1"/>
            </w:rPr>
            <w:tag w:val="_PLD_eaf04e6e781c40e2a2c9841ec22e9a3c"/>
            <w:id w:val="562303822"/>
          </w:sdtPr>
          <w:sdtEndPr/>
          <w:sdtContent>
            <w:tc>
              <w:tcPr>
                <w:tcW w:w="376"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资金来源</w:t>
                </w:r>
              </w:p>
            </w:tc>
          </w:sdtContent>
        </w:sdt>
        <w:sdt>
          <w:sdtPr>
            <w:rPr>
              <w:rFonts w:asciiTheme="minorEastAsia" w:eastAsiaTheme="minorEastAsia" w:hAnsiTheme="minorEastAsia" w:hint="eastAsia"/>
              <w:color w:val="000000" w:themeColor="text1"/>
            </w:rPr>
            <w:tag w:val="_PLD_9216cb595859499fb9e2aa94797691b7"/>
            <w:id w:val="-472674694"/>
          </w:sdtPr>
          <w:sdtEndPr/>
          <w:sdtContent>
            <w:tc>
              <w:tcPr>
                <w:tcW w:w="532"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期初账面价值</w:t>
                </w:r>
              </w:p>
            </w:tc>
          </w:sdtContent>
        </w:sdt>
        <w:sdt>
          <w:sdtPr>
            <w:rPr>
              <w:rFonts w:asciiTheme="minorEastAsia" w:eastAsiaTheme="minorEastAsia" w:hAnsiTheme="minorEastAsia" w:hint="eastAsia"/>
              <w:color w:val="000000" w:themeColor="text1"/>
            </w:rPr>
            <w:tag w:val="_PLD_70bd034e9b744b00b4ed7fdd4f0a93f4"/>
            <w:id w:val="1175770095"/>
          </w:sdtPr>
          <w:sdtEndPr/>
          <w:sdtContent>
            <w:tc>
              <w:tcPr>
                <w:tcW w:w="507"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本期公允价值变动损益</w:t>
                </w:r>
              </w:p>
            </w:tc>
          </w:sdtContent>
        </w:sdt>
        <w:sdt>
          <w:sdtPr>
            <w:rPr>
              <w:rFonts w:asciiTheme="minorEastAsia" w:eastAsiaTheme="minorEastAsia" w:hAnsiTheme="minorEastAsia" w:hint="eastAsia"/>
              <w:color w:val="000000" w:themeColor="text1"/>
            </w:rPr>
            <w:tag w:val="_PLD_30b4adc6a16b4f11aeb1b5a776f3974a"/>
            <w:id w:val="-612360506"/>
          </w:sdtPr>
          <w:sdtEndPr/>
          <w:sdtContent>
            <w:tc>
              <w:tcPr>
                <w:tcW w:w="286"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计入权益的累计公允价值变动</w:t>
                </w:r>
              </w:p>
            </w:tc>
          </w:sdtContent>
        </w:sdt>
        <w:sdt>
          <w:sdtPr>
            <w:rPr>
              <w:rFonts w:asciiTheme="minorEastAsia" w:eastAsiaTheme="minorEastAsia" w:hAnsiTheme="minorEastAsia" w:hint="eastAsia"/>
              <w:color w:val="000000" w:themeColor="text1"/>
            </w:rPr>
            <w:tag w:val="_PLD_3a4ce8b113e6440e88c4092cbb39ae07"/>
            <w:id w:val="-555469117"/>
          </w:sdtPr>
          <w:sdtEndPr/>
          <w:sdtContent>
            <w:tc>
              <w:tcPr>
                <w:tcW w:w="315"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本期购买金额</w:t>
                </w:r>
              </w:p>
            </w:tc>
          </w:sdtContent>
        </w:sdt>
        <w:sdt>
          <w:sdtPr>
            <w:rPr>
              <w:rFonts w:asciiTheme="minorEastAsia" w:eastAsiaTheme="minorEastAsia" w:hAnsiTheme="minorEastAsia" w:hint="eastAsia"/>
              <w:color w:val="000000" w:themeColor="text1"/>
            </w:rPr>
            <w:tag w:val="_PLD_e7e0a0b50a064c0d90f4bb3d36650d56"/>
            <w:id w:val="570544627"/>
          </w:sdtPr>
          <w:sdtEndPr/>
          <w:sdtContent>
            <w:tc>
              <w:tcPr>
                <w:tcW w:w="407"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本期出售金额</w:t>
                </w:r>
              </w:p>
            </w:tc>
          </w:sdtContent>
        </w:sdt>
        <w:sdt>
          <w:sdtPr>
            <w:rPr>
              <w:rFonts w:asciiTheme="minorEastAsia" w:eastAsiaTheme="minorEastAsia" w:hAnsiTheme="minorEastAsia" w:hint="eastAsia"/>
              <w:color w:val="000000" w:themeColor="text1"/>
            </w:rPr>
            <w:tag w:val="_PLD_56522d18099a4ba78a8ad3f3062f485d"/>
            <w:id w:val="-1007671423"/>
          </w:sdtPr>
          <w:sdtEndPr/>
          <w:sdtContent>
            <w:tc>
              <w:tcPr>
                <w:tcW w:w="223"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本期投资损益</w:t>
                </w:r>
              </w:p>
            </w:tc>
          </w:sdtContent>
        </w:sdt>
        <w:sdt>
          <w:sdtPr>
            <w:rPr>
              <w:rFonts w:asciiTheme="minorEastAsia" w:eastAsiaTheme="minorEastAsia" w:hAnsiTheme="minorEastAsia" w:hint="eastAsia"/>
              <w:color w:val="000000" w:themeColor="text1"/>
            </w:rPr>
            <w:tag w:val="_PLD_9146d628bb674fb68b7075af9f301304"/>
            <w:id w:val="-1136028934"/>
          </w:sdtPr>
          <w:sdtEndPr/>
          <w:sdtContent>
            <w:tc>
              <w:tcPr>
                <w:tcW w:w="532"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期末账面价值</w:t>
                </w:r>
              </w:p>
            </w:tc>
          </w:sdtContent>
        </w:sdt>
        <w:sdt>
          <w:sdtPr>
            <w:rPr>
              <w:rFonts w:asciiTheme="minorEastAsia" w:eastAsiaTheme="minorEastAsia" w:hAnsiTheme="minorEastAsia" w:hint="eastAsia"/>
              <w:color w:val="000000" w:themeColor="text1"/>
            </w:rPr>
            <w:tag w:val="_PLD_002d877100d94db78bee085431d85d09"/>
            <w:id w:val="-511996524"/>
          </w:sdtPr>
          <w:sdtEndPr/>
          <w:sdtContent>
            <w:tc>
              <w:tcPr>
                <w:tcW w:w="311"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会计核算科目</w:t>
                </w:r>
              </w:p>
            </w:tc>
          </w:sdtContent>
        </w:sdt>
      </w:tr>
      <w:tr w:rsidR="000C5659" w:rsidTr="004D0C8B">
        <w:tc>
          <w:tcPr>
            <w:tcW w:w="311" w:type="pct"/>
            <w:shd w:val="clear" w:color="auto" w:fill="auto"/>
            <w:vAlign w:val="center"/>
          </w:tcPr>
          <w:p w:rsidR="000C5659" w:rsidRDefault="000E33C4">
            <w:pPr>
              <w:widowControl w:val="0"/>
              <w:rPr>
                <w:rFonts w:asciiTheme="minorEastAsia" w:eastAsiaTheme="minorEastAsia" w:hAnsiTheme="minorEastAsia" w:cstheme="minorEastAsia"/>
              </w:rPr>
            </w:pPr>
            <w:r>
              <w:rPr>
                <w:rFonts w:asciiTheme="minorEastAsia" w:eastAsiaTheme="minorEastAsia" w:hAnsiTheme="minorEastAsia" w:cstheme="minorEastAsia" w:hint="eastAsia"/>
              </w:rPr>
              <w:t>股票</w:t>
            </w:r>
          </w:p>
          <w:p w:rsidR="000C5659" w:rsidRDefault="000C5659">
            <w:pPr>
              <w:widowControl w:val="0"/>
              <w:jc w:val="both"/>
              <w:rPr>
                <w:rFonts w:asciiTheme="minorEastAsia" w:eastAsiaTheme="minorEastAsia" w:hAnsiTheme="minorEastAsia" w:cstheme="minorEastAsia"/>
              </w:rPr>
            </w:pPr>
          </w:p>
        </w:tc>
        <w:tc>
          <w:tcPr>
            <w:tcW w:w="314" w:type="pct"/>
            <w:shd w:val="clear" w:color="auto" w:fill="auto"/>
            <w:vAlign w:val="center"/>
          </w:tcPr>
          <w:p w:rsidR="000C5659" w:rsidRDefault="000E33C4">
            <w:pPr>
              <w:widowControl w:val="0"/>
              <w:jc w:val="both"/>
              <w:rPr>
                <w:rFonts w:asciiTheme="minorEastAsia" w:eastAsiaTheme="minorEastAsia" w:hAnsiTheme="minorEastAsia" w:cstheme="minorEastAsia"/>
              </w:rPr>
            </w:pPr>
            <w:r>
              <w:rPr>
                <w:rFonts w:asciiTheme="minorEastAsia" w:eastAsiaTheme="minorEastAsia" w:hAnsiTheme="minorEastAsia" w:cstheme="minorEastAsia" w:hint="eastAsia"/>
              </w:rPr>
              <w:t>601615</w:t>
            </w:r>
          </w:p>
        </w:tc>
        <w:tc>
          <w:tcPr>
            <w:tcW w:w="314" w:type="pct"/>
            <w:shd w:val="clear" w:color="auto" w:fill="auto"/>
            <w:vAlign w:val="center"/>
          </w:tcPr>
          <w:p w:rsidR="000C5659" w:rsidRDefault="000E33C4">
            <w:pPr>
              <w:widowControl w:val="0"/>
              <w:rPr>
                <w:rFonts w:asciiTheme="minorEastAsia" w:eastAsiaTheme="minorEastAsia" w:hAnsiTheme="minorEastAsia" w:cstheme="minorEastAsia"/>
              </w:rPr>
            </w:pPr>
            <w:r>
              <w:rPr>
                <w:rFonts w:asciiTheme="minorEastAsia" w:eastAsiaTheme="minorEastAsia" w:hAnsiTheme="minorEastAsia" w:cstheme="minorEastAsia" w:hint="eastAsia"/>
              </w:rPr>
              <w:t>明阳智能</w:t>
            </w:r>
          </w:p>
        </w:tc>
        <w:tc>
          <w:tcPr>
            <w:tcW w:w="570"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cstheme="minorEastAsia" w:hint="eastAsia"/>
              </w:rPr>
              <w:t>218,090.51</w:t>
            </w:r>
          </w:p>
        </w:tc>
        <w:tc>
          <w:tcPr>
            <w:tcW w:w="376" w:type="pct"/>
            <w:shd w:val="clear" w:color="auto" w:fill="auto"/>
            <w:vAlign w:val="center"/>
          </w:tcPr>
          <w:p w:rsidR="000C5659" w:rsidRDefault="000E33C4" w:rsidP="00491FD7">
            <w:pPr>
              <w:widowControl w:val="0"/>
              <w:jc w:val="center"/>
              <w:rPr>
                <w:rFonts w:asciiTheme="minorEastAsia" w:eastAsiaTheme="minorEastAsia" w:hAnsiTheme="minorEastAsia"/>
              </w:rPr>
            </w:pPr>
            <w:r>
              <w:rPr>
                <w:rFonts w:asciiTheme="minorEastAsia" w:eastAsiaTheme="minorEastAsia" w:hAnsiTheme="minorEastAsia" w:cstheme="minorEastAsia" w:hint="eastAsia"/>
              </w:rPr>
              <w:t>自有资金</w:t>
            </w:r>
          </w:p>
        </w:tc>
        <w:tc>
          <w:tcPr>
            <w:tcW w:w="532"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hint="eastAsia"/>
                <w:color w:val="000000"/>
                <w:lang w:bidi="ar"/>
              </w:rPr>
              <w:t>119,380.80</w:t>
            </w:r>
          </w:p>
        </w:tc>
        <w:tc>
          <w:tcPr>
            <w:tcW w:w="507"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-29,512.00</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jc w:val="right"/>
              <w:textAlignment w:val="center"/>
              <w:rPr>
                <w:rFonts w:asciiTheme="minorEastAsia" w:eastAsiaTheme="minorEastAsia" w:hAnsiTheme="minorEastAsia"/>
              </w:rPr>
            </w:pPr>
            <w:r>
              <w:rPr>
                <w:rFonts w:asciiTheme="minorEastAsia" w:eastAsiaTheme="minorEastAsia" w:hAnsiTheme="minorEastAsia" w:hint="eastAsia"/>
                <w:lang w:bidi="ar"/>
              </w:rPr>
              <w:t>89,868.80</w:t>
            </w:r>
          </w:p>
        </w:tc>
        <w:sdt>
          <w:sdtPr>
            <w:rPr>
              <w:rFonts w:asciiTheme="minorEastAsia" w:eastAsiaTheme="minorEastAsia" w:hAnsiTheme="minorEastAsia"/>
              <w:color w:val="000000" w:themeColor="text1"/>
            </w:rPr>
            <w:alias w:val="上市公司证券投资情况明细－会计核算科目"/>
            <w:tag w:val="_GBC_414476e3ed004196953166bc33839d22"/>
            <w:id w:val="-996186553"/>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11" w:type="pct"/>
                <w:shd w:val="clear" w:color="auto" w:fill="auto"/>
                <w:vAlign w:val="center"/>
              </w:tcPr>
              <w:p w:rsidR="000C5659" w:rsidRDefault="00B708C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交易性金融资产</w:t>
                </w:r>
              </w:p>
            </w:tc>
          </w:sdtContent>
        </w:sdt>
      </w:tr>
      <w:tr w:rsidR="000C5659" w:rsidTr="004D0C8B">
        <w:tc>
          <w:tcPr>
            <w:tcW w:w="311" w:type="pct"/>
            <w:shd w:val="clear" w:color="auto" w:fill="auto"/>
            <w:vAlign w:val="center"/>
          </w:tcPr>
          <w:p w:rsidR="000C5659" w:rsidRDefault="000E33C4">
            <w:pPr>
              <w:widowControl w:val="0"/>
              <w:jc w:val="both"/>
              <w:rPr>
                <w:rFonts w:asciiTheme="minorEastAsia" w:eastAsiaTheme="minorEastAsia" w:hAnsiTheme="minorEastAsia" w:cstheme="minorEastAsia"/>
              </w:rPr>
            </w:pPr>
            <w:r>
              <w:rPr>
                <w:rFonts w:asciiTheme="minorEastAsia" w:eastAsiaTheme="minorEastAsia" w:hAnsiTheme="minorEastAsia" w:cstheme="minorEastAsia" w:hint="eastAsia"/>
              </w:rPr>
              <w:t>基金</w:t>
            </w:r>
          </w:p>
          <w:p w:rsidR="000C5659" w:rsidRDefault="000C5659">
            <w:pPr>
              <w:widowControl w:val="0"/>
              <w:jc w:val="both"/>
              <w:rPr>
                <w:rFonts w:asciiTheme="minorEastAsia" w:eastAsiaTheme="minorEastAsia" w:hAnsiTheme="minorEastAsia" w:cstheme="minorEastAsia"/>
              </w:rPr>
            </w:pP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001714</w:t>
            </w: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工银文体产业股票</w:t>
            </w:r>
          </w:p>
        </w:tc>
        <w:tc>
          <w:tcPr>
            <w:tcW w:w="570"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798,801.79</w:t>
            </w:r>
          </w:p>
        </w:tc>
        <w:tc>
          <w:tcPr>
            <w:tcW w:w="376" w:type="pct"/>
            <w:shd w:val="clear" w:color="auto" w:fill="auto"/>
            <w:vAlign w:val="center"/>
          </w:tcPr>
          <w:p w:rsidR="000C5659" w:rsidRDefault="000E33C4" w:rsidP="00491FD7">
            <w:pPr>
              <w:widowControl w:val="0"/>
              <w:jc w:val="center"/>
              <w:rPr>
                <w:rFonts w:asciiTheme="minorEastAsia" w:eastAsiaTheme="minorEastAsia" w:hAnsiTheme="minorEastAsia"/>
                <w:color w:val="000000" w:themeColor="text1"/>
              </w:rPr>
            </w:pPr>
            <w:r>
              <w:rPr>
                <w:rFonts w:asciiTheme="minorEastAsia" w:eastAsiaTheme="minorEastAsia" w:hAnsiTheme="minorEastAsia" w:cstheme="minorEastAsia" w:hint="eastAsia"/>
              </w:rPr>
              <w:t>自有资金</w:t>
            </w:r>
          </w:p>
        </w:tc>
        <w:tc>
          <w:tcPr>
            <w:tcW w:w="532" w:type="pct"/>
            <w:shd w:val="clear" w:color="auto" w:fill="auto"/>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hint="eastAsia"/>
                <w:color w:val="000000"/>
                <w:lang w:bidi="ar"/>
              </w:rPr>
              <w:t xml:space="preserve"> 645,222.59 </w:t>
            </w:r>
          </w:p>
        </w:tc>
        <w:tc>
          <w:tcPr>
            <w:tcW w:w="507"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16,072.24</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hint="eastAsia"/>
              </w:rPr>
              <w:t>661,294.83</w:t>
            </w:r>
          </w:p>
        </w:tc>
        <w:sdt>
          <w:sdtPr>
            <w:rPr>
              <w:rFonts w:asciiTheme="minorEastAsia" w:eastAsiaTheme="minorEastAsia" w:hAnsiTheme="minorEastAsia"/>
              <w:color w:val="000000" w:themeColor="text1"/>
            </w:rPr>
            <w:alias w:val="上市公司证券投资情况明细－会计核算科目"/>
            <w:tag w:val="_GBC_414476e3ed004196953166bc33839d22"/>
            <w:id w:val="-1538496109"/>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11" w:type="pct"/>
                <w:shd w:val="clear" w:color="auto" w:fill="auto"/>
                <w:vAlign w:val="center"/>
              </w:tcPr>
              <w:p w:rsidR="000C5659" w:rsidRDefault="00B708C8">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交易性金融资产</w:t>
                </w:r>
              </w:p>
            </w:tc>
          </w:sdtContent>
        </w:sdt>
      </w:tr>
      <w:tr w:rsidR="000C5659" w:rsidTr="004D0C8B">
        <w:tc>
          <w:tcPr>
            <w:tcW w:w="311" w:type="pct"/>
            <w:shd w:val="clear" w:color="auto" w:fill="auto"/>
            <w:vAlign w:val="center"/>
          </w:tcPr>
          <w:p w:rsidR="000C5659" w:rsidRDefault="000E33C4">
            <w:pPr>
              <w:widowControl w:val="0"/>
              <w:jc w:val="both"/>
              <w:rPr>
                <w:rFonts w:asciiTheme="minorEastAsia" w:eastAsiaTheme="minorEastAsia" w:hAnsiTheme="minorEastAsia" w:cstheme="minorEastAsia"/>
              </w:rPr>
            </w:pPr>
            <w:r>
              <w:rPr>
                <w:rFonts w:asciiTheme="minorEastAsia" w:eastAsiaTheme="minorEastAsia" w:hAnsiTheme="minorEastAsia" w:cstheme="minorEastAsia" w:hint="eastAsia"/>
              </w:rPr>
              <w:t>基金</w:t>
            </w:r>
          </w:p>
          <w:p w:rsidR="000C5659" w:rsidRDefault="000C5659">
            <w:pPr>
              <w:widowControl w:val="0"/>
              <w:jc w:val="both"/>
              <w:rPr>
                <w:rFonts w:asciiTheme="minorEastAsia" w:eastAsiaTheme="minorEastAsia" w:hAnsiTheme="minorEastAsia" w:cstheme="minorEastAsia"/>
              </w:rPr>
            </w:pP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005827</w:t>
            </w: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易方达蓝筹精选混合</w:t>
            </w:r>
          </w:p>
        </w:tc>
        <w:tc>
          <w:tcPr>
            <w:tcW w:w="570"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1,997,004.49</w:t>
            </w:r>
          </w:p>
        </w:tc>
        <w:tc>
          <w:tcPr>
            <w:tcW w:w="376" w:type="pct"/>
            <w:shd w:val="clear" w:color="auto" w:fill="auto"/>
            <w:vAlign w:val="center"/>
          </w:tcPr>
          <w:p w:rsidR="000C5659" w:rsidRDefault="000E33C4" w:rsidP="00491FD7">
            <w:pPr>
              <w:widowControl w:val="0"/>
              <w:jc w:val="center"/>
              <w:rPr>
                <w:rFonts w:asciiTheme="minorEastAsia" w:eastAsiaTheme="minorEastAsia" w:hAnsiTheme="minorEastAsia"/>
                <w:color w:val="000000" w:themeColor="text1"/>
              </w:rPr>
            </w:pPr>
            <w:r>
              <w:rPr>
                <w:rFonts w:asciiTheme="minorEastAsia" w:eastAsiaTheme="minorEastAsia" w:hAnsiTheme="minorEastAsia" w:cstheme="minorEastAsia" w:hint="eastAsia"/>
              </w:rPr>
              <w:t>自有资金</w:t>
            </w:r>
          </w:p>
        </w:tc>
        <w:tc>
          <w:tcPr>
            <w:tcW w:w="532" w:type="pct"/>
            <w:shd w:val="clear" w:color="auto" w:fill="auto"/>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hint="eastAsia"/>
                <w:color w:val="000000"/>
                <w:lang w:bidi="ar"/>
              </w:rPr>
              <w:t xml:space="preserve"> 1,403,089.09 </w:t>
            </w:r>
          </w:p>
        </w:tc>
        <w:tc>
          <w:tcPr>
            <w:tcW w:w="507"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-28,577.65</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hint="eastAsia"/>
              </w:rPr>
              <w:t>1,374,511.43</w:t>
            </w:r>
          </w:p>
        </w:tc>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会计核算科目"/>
              <w:tag w:val="_GBC_76b2a58bd6904ac98cdb4e48af86b25a"/>
              <w:id w:val="208932468"/>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p w:rsidR="000C5659" w:rsidRDefault="00B708C8">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hint="eastAsia"/>
                  </w:rPr>
                  <w:t>交易性金融资产</w:t>
                </w:r>
              </w:p>
            </w:sdtContent>
          </w:sdt>
        </w:tc>
      </w:tr>
      <w:tr w:rsidR="000C5659" w:rsidTr="004D0C8B">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证券品种"/>
              <w:tag w:val="_GBC_5869f90e2f4241cba6edaadfa74944d0"/>
              <w:id w:val="-75628537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p w:rsidR="000C5659" w:rsidRDefault="00B708C8">
                <w:pPr>
                  <w:widowControl w:val="0"/>
                  <w:jc w:val="both"/>
                  <w:rPr>
                    <w:rFonts w:asciiTheme="minorEastAsia" w:eastAsiaTheme="minorEastAsia" w:hAnsiTheme="minorEastAsia" w:cstheme="minorEastAsia"/>
                  </w:rPr>
                </w:pPr>
                <w:r>
                  <w:rPr>
                    <w:rFonts w:asciiTheme="minorEastAsia" w:eastAsiaTheme="minorEastAsia" w:hAnsiTheme="minorEastAsia" w:cstheme="minorEastAsia" w:hint="eastAsia"/>
                  </w:rPr>
                  <w:t>基金</w:t>
                </w:r>
              </w:p>
            </w:sdtContent>
          </w:sdt>
          <w:p w:rsidR="000C5659" w:rsidRDefault="000C5659">
            <w:pPr>
              <w:widowControl w:val="0"/>
              <w:jc w:val="both"/>
              <w:rPr>
                <w:rFonts w:asciiTheme="minorEastAsia" w:eastAsiaTheme="minorEastAsia" w:hAnsiTheme="minorEastAsia" w:cstheme="minorEastAsia"/>
              </w:rPr>
            </w:pP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009909</w:t>
            </w: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嘉实动力先锋A</w:t>
            </w:r>
          </w:p>
        </w:tc>
        <w:tc>
          <w:tcPr>
            <w:tcW w:w="570"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1,680,935.12</w:t>
            </w:r>
          </w:p>
        </w:tc>
        <w:tc>
          <w:tcPr>
            <w:tcW w:w="376" w:type="pct"/>
            <w:shd w:val="clear" w:color="auto" w:fill="auto"/>
            <w:vAlign w:val="center"/>
          </w:tcPr>
          <w:p w:rsidR="000C5659" w:rsidRDefault="000E33C4" w:rsidP="00491FD7">
            <w:pPr>
              <w:widowControl w:val="0"/>
              <w:jc w:val="center"/>
              <w:rPr>
                <w:rFonts w:asciiTheme="minorEastAsia" w:eastAsiaTheme="minorEastAsia" w:hAnsiTheme="minorEastAsia"/>
                <w:color w:val="000000" w:themeColor="text1"/>
              </w:rPr>
            </w:pPr>
            <w:r>
              <w:rPr>
                <w:rFonts w:asciiTheme="minorEastAsia" w:eastAsiaTheme="minorEastAsia" w:hAnsiTheme="minorEastAsia" w:cstheme="minorEastAsia" w:hint="eastAsia"/>
              </w:rPr>
              <w:t>自有资金</w:t>
            </w:r>
          </w:p>
        </w:tc>
        <w:tc>
          <w:tcPr>
            <w:tcW w:w="532" w:type="pct"/>
            <w:shd w:val="clear" w:color="auto" w:fill="auto"/>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hint="eastAsia"/>
                <w:color w:val="000000"/>
                <w:lang w:bidi="ar"/>
              </w:rPr>
              <w:t xml:space="preserve"> 1,127,403.19 </w:t>
            </w:r>
          </w:p>
        </w:tc>
        <w:tc>
          <w:tcPr>
            <w:tcW w:w="507"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-207,259.30</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jc w:val="right"/>
              <w:textAlignment w:val="center"/>
              <w:rPr>
                <w:rFonts w:asciiTheme="minorEastAsia" w:eastAsiaTheme="minorEastAsia" w:hAnsiTheme="minorEastAsia"/>
              </w:rPr>
            </w:pPr>
            <w:r>
              <w:rPr>
                <w:rFonts w:asciiTheme="minorEastAsia" w:eastAsiaTheme="minorEastAsia" w:hAnsiTheme="minorEastAsia" w:hint="eastAsia"/>
                <w:lang w:bidi="ar"/>
              </w:rPr>
              <w:t>920,143.89</w:t>
            </w:r>
          </w:p>
        </w:tc>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会计核算科目"/>
              <w:tag w:val="_GBC_76b2a58bd6904ac98cdb4e48af86b25a"/>
              <w:id w:val="188883415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p w:rsidR="000C5659" w:rsidRDefault="00B708C8">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hint="eastAsia"/>
                  </w:rPr>
                  <w:t>交易性金融资产</w:t>
                </w:r>
              </w:p>
            </w:sdtContent>
          </w:sdt>
        </w:tc>
      </w:tr>
      <w:tr w:rsidR="000C5659" w:rsidTr="004D0C8B">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证券品种"/>
              <w:tag w:val="_GBC_5869f90e2f4241cba6edaadfa74944d0"/>
              <w:id w:val="163082111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p w:rsidR="000C5659" w:rsidRDefault="00B708C8">
                <w:pPr>
                  <w:widowControl w:val="0"/>
                  <w:jc w:val="both"/>
                  <w:rPr>
                    <w:rFonts w:asciiTheme="minorEastAsia" w:eastAsiaTheme="minorEastAsia" w:hAnsiTheme="minorEastAsia" w:cstheme="minorEastAsia"/>
                  </w:rPr>
                </w:pPr>
                <w:r>
                  <w:rPr>
                    <w:rFonts w:asciiTheme="minorEastAsia" w:eastAsiaTheme="minorEastAsia" w:hAnsiTheme="minorEastAsia" w:cstheme="minorEastAsia" w:hint="eastAsia"/>
                  </w:rPr>
                  <w:t>基金</w:t>
                </w:r>
              </w:p>
            </w:sdtContent>
          </w:sdt>
          <w:p w:rsidR="000C5659" w:rsidRDefault="000C5659">
            <w:pPr>
              <w:widowControl w:val="0"/>
              <w:jc w:val="both"/>
              <w:rPr>
                <w:rFonts w:asciiTheme="minorEastAsia" w:eastAsiaTheme="minorEastAsia" w:hAnsiTheme="minorEastAsia" w:cstheme="minorEastAsia"/>
              </w:rPr>
            </w:pP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010186</w:t>
            </w: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嘉实核心成长混合A</w:t>
            </w:r>
          </w:p>
        </w:tc>
        <w:tc>
          <w:tcPr>
            <w:tcW w:w="570"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4,643,977.65</w:t>
            </w:r>
          </w:p>
        </w:tc>
        <w:tc>
          <w:tcPr>
            <w:tcW w:w="376" w:type="pct"/>
            <w:shd w:val="clear" w:color="auto" w:fill="auto"/>
            <w:vAlign w:val="center"/>
          </w:tcPr>
          <w:p w:rsidR="000C5659" w:rsidRDefault="000E33C4" w:rsidP="00491FD7">
            <w:pPr>
              <w:widowControl w:val="0"/>
              <w:jc w:val="center"/>
              <w:rPr>
                <w:rFonts w:asciiTheme="minorEastAsia" w:eastAsiaTheme="minorEastAsia" w:hAnsiTheme="minorEastAsia"/>
                <w:color w:val="000000" w:themeColor="text1"/>
              </w:rPr>
            </w:pPr>
            <w:r>
              <w:rPr>
                <w:rFonts w:asciiTheme="minorEastAsia" w:eastAsiaTheme="minorEastAsia" w:hAnsiTheme="minorEastAsia" w:cstheme="minorEastAsia" w:hint="eastAsia"/>
              </w:rPr>
              <w:t>自有资金</w:t>
            </w:r>
          </w:p>
        </w:tc>
        <w:tc>
          <w:tcPr>
            <w:tcW w:w="532" w:type="pct"/>
            <w:shd w:val="clear" w:color="auto" w:fill="auto"/>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hint="eastAsia"/>
                <w:color w:val="000000"/>
                <w:lang w:bidi="ar"/>
              </w:rPr>
              <w:t xml:space="preserve"> 2,752,949.95 </w:t>
            </w:r>
          </w:p>
        </w:tc>
        <w:tc>
          <w:tcPr>
            <w:tcW w:w="507"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-235,914.06</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2,517,035.89</w:t>
            </w:r>
          </w:p>
        </w:tc>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会计核算科目"/>
              <w:tag w:val="_GBC_76b2a58bd6904ac98cdb4e48af86b25a"/>
              <w:id w:val="150600998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p w:rsidR="000C5659" w:rsidRDefault="00B708C8">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hint="eastAsia"/>
                  </w:rPr>
                  <w:t>交易性金融资产</w:t>
                </w:r>
              </w:p>
            </w:sdtContent>
          </w:sdt>
        </w:tc>
      </w:tr>
      <w:tr w:rsidR="000C5659" w:rsidTr="004D0C8B">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证券品种"/>
              <w:tag w:val="_GBC_5869f90e2f4241cba6edaadfa74944d0"/>
              <w:id w:val="-103172423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p w:rsidR="000C5659" w:rsidRDefault="00B708C8">
                <w:pPr>
                  <w:widowControl w:val="0"/>
                  <w:jc w:val="both"/>
                  <w:rPr>
                    <w:rFonts w:asciiTheme="minorEastAsia" w:eastAsiaTheme="minorEastAsia" w:hAnsiTheme="minorEastAsia" w:cstheme="minorEastAsia"/>
                  </w:rPr>
                </w:pPr>
                <w:r>
                  <w:rPr>
                    <w:rFonts w:asciiTheme="minorEastAsia" w:eastAsiaTheme="minorEastAsia" w:hAnsiTheme="minorEastAsia" w:cstheme="minorEastAsia" w:hint="eastAsia"/>
                  </w:rPr>
                  <w:t>基金</w:t>
                </w:r>
              </w:p>
            </w:sdtContent>
          </w:sdt>
          <w:p w:rsidR="000C5659" w:rsidRDefault="000C5659">
            <w:pPr>
              <w:widowControl w:val="0"/>
              <w:jc w:val="both"/>
              <w:rPr>
                <w:rFonts w:asciiTheme="minorEastAsia" w:eastAsiaTheme="minorEastAsia" w:hAnsiTheme="minorEastAsia" w:cstheme="minorEastAsia"/>
              </w:rPr>
            </w:pP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270002</w:t>
            </w: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广发稳健增长混合A</w:t>
            </w:r>
          </w:p>
        </w:tc>
        <w:tc>
          <w:tcPr>
            <w:tcW w:w="570"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1,997,603.05</w:t>
            </w:r>
          </w:p>
        </w:tc>
        <w:tc>
          <w:tcPr>
            <w:tcW w:w="376" w:type="pct"/>
            <w:shd w:val="clear" w:color="auto" w:fill="auto"/>
            <w:vAlign w:val="center"/>
          </w:tcPr>
          <w:p w:rsidR="000C5659" w:rsidRDefault="000E33C4" w:rsidP="00491FD7">
            <w:pPr>
              <w:widowControl w:val="0"/>
              <w:jc w:val="center"/>
              <w:rPr>
                <w:rFonts w:asciiTheme="minorEastAsia" w:eastAsiaTheme="minorEastAsia" w:hAnsiTheme="minorEastAsia"/>
                <w:color w:val="000000" w:themeColor="text1"/>
              </w:rPr>
            </w:pPr>
            <w:r>
              <w:rPr>
                <w:rFonts w:asciiTheme="minorEastAsia" w:eastAsiaTheme="minorEastAsia" w:hAnsiTheme="minorEastAsia" w:cstheme="minorEastAsia" w:hint="eastAsia"/>
              </w:rPr>
              <w:t>自有资金</w:t>
            </w:r>
          </w:p>
        </w:tc>
        <w:tc>
          <w:tcPr>
            <w:tcW w:w="532" w:type="pct"/>
            <w:shd w:val="clear" w:color="auto" w:fill="auto"/>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hint="eastAsia"/>
                <w:color w:val="000000"/>
                <w:lang w:bidi="ar"/>
              </w:rPr>
              <w:t xml:space="preserve"> 1,645,751.25 </w:t>
            </w:r>
          </w:p>
        </w:tc>
        <w:tc>
          <w:tcPr>
            <w:tcW w:w="507"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-21,922.37</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1,623,828.88</w:t>
            </w:r>
          </w:p>
        </w:tc>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会计核算科目"/>
              <w:tag w:val="_GBC_76b2a58bd6904ac98cdb4e48af86b25a"/>
              <w:id w:val="161424588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p w:rsidR="000C5659" w:rsidRDefault="00B708C8">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hint="eastAsia"/>
                  </w:rPr>
                  <w:t>交易性金融资产</w:t>
                </w:r>
              </w:p>
            </w:sdtContent>
          </w:sdt>
        </w:tc>
      </w:tr>
      <w:tr w:rsidR="000C5659" w:rsidTr="004D0C8B">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证券品种"/>
              <w:tag w:val="_GBC_5869f90e2f4241cba6edaadfa74944d0"/>
              <w:id w:val="2078853284"/>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p w:rsidR="000C5659" w:rsidRDefault="00B708C8">
                <w:pPr>
                  <w:widowControl w:val="0"/>
                  <w:jc w:val="both"/>
                  <w:rPr>
                    <w:rFonts w:asciiTheme="minorEastAsia" w:eastAsiaTheme="minorEastAsia" w:hAnsiTheme="minorEastAsia" w:cstheme="minorEastAsia"/>
                  </w:rPr>
                </w:pPr>
                <w:r>
                  <w:rPr>
                    <w:rFonts w:asciiTheme="minorEastAsia" w:eastAsiaTheme="minorEastAsia" w:hAnsiTheme="minorEastAsia" w:cstheme="minorEastAsia" w:hint="eastAsia"/>
                  </w:rPr>
                  <w:t>基金</w:t>
                </w:r>
              </w:p>
            </w:sdtContent>
          </w:sdt>
          <w:p w:rsidR="000C5659" w:rsidRDefault="000C5659">
            <w:pPr>
              <w:widowControl w:val="0"/>
              <w:jc w:val="both"/>
              <w:rPr>
                <w:rFonts w:asciiTheme="minorEastAsia" w:eastAsiaTheme="minorEastAsia" w:hAnsiTheme="minorEastAsia" w:cstheme="minorEastAsia"/>
              </w:rPr>
            </w:pP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561190</w:t>
            </w:r>
          </w:p>
        </w:tc>
        <w:tc>
          <w:tcPr>
            <w:tcW w:w="314" w:type="pct"/>
            <w:shd w:val="clear" w:color="auto" w:fill="auto"/>
            <w:vAlign w:val="center"/>
          </w:tcPr>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富国中证上海环交所碳中和ETF</w:t>
            </w:r>
          </w:p>
        </w:tc>
        <w:tc>
          <w:tcPr>
            <w:tcW w:w="570"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1,028,360.00</w:t>
            </w:r>
          </w:p>
        </w:tc>
        <w:tc>
          <w:tcPr>
            <w:tcW w:w="376" w:type="pct"/>
            <w:shd w:val="clear" w:color="auto" w:fill="auto"/>
            <w:vAlign w:val="center"/>
          </w:tcPr>
          <w:p w:rsidR="000C5659" w:rsidRDefault="000E33C4" w:rsidP="00491FD7">
            <w:pPr>
              <w:widowControl w:val="0"/>
              <w:jc w:val="center"/>
              <w:rPr>
                <w:rFonts w:asciiTheme="minorEastAsia" w:eastAsiaTheme="minorEastAsia" w:hAnsiTheme="minorEastAsia"/>
                <w:color w:val="000000" w:themeColor="text1"/>
              </w:rPr>
            </w:pPr>
            <w:r>
              <w:rPr>
                <w:rFonts w:asciiTheme="minorEastAsia" w:eastAsiaTheme="minorEastAsia" w:hAnsiTheme="minorEastAsia" w:cstheme="minorEastAsia" w:hint="eastAsia"/>
              </w:rPr>
              <w:t>自有资金</w:t>
            </w:r>
          </w:p>
        </w:tc>
        <w:tc>
          <w:tcPr>
            <w:tcW w:w="532" w:type="pct"/>
            <w:shd w:val="clear" w:color="auto" w:fill="auto"/>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hint="eastAsia"/>
                <w:color w:val="000000"/>
                <w:lang w:bidi="ar"/>
              </w:rPr>
              <w:t xml:space="preserve"> 690,615.00 </w:t>
            </w:r>
          </w:p>
        </w:tc>
        <w:tc>
          <w:tcPr>
            <w:tcW w:w="507"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20,806.00</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711,421.00</w:t>
            </w:r>
          </w:p>
        </w:tc>
        <w:tc>
          <w:tcPr>
            <w:tcW w:w="311" w:type="pct"/>
            <w:shd w:val="clear" w:color="auto" w:fill="auto"/>
            <w:vAlign w:val="center"/>
          </w:tcPr>
          <w:sdt>
            <w:sdtPr>
              <w:rPr>
                <w:rFonts w:asciiTheme="minorEastAsia" w:eastAsiaTheme="minorEastAsia" w:hAnsiTheme="minorEastAsia" w:cstheme="minorEastAsia" w:hint="eastAsia"/>
              </w:rPr>
              <w:alias w:val="上市公司证券投资情况明细－会计核算科目"/>
              <w:tag w:val="_GBC_76b2a58bd6904ac98cdb4e48af86b25a"/>
              <w:id w:val="-1436588809"/>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p w:rsidR="000C5659" w:rsidRDefault="00B708C8">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hint="eastAsia"/>
                  </w:rPr>
                  <w:t>交易性金融资产</w:t>
                </w:r>
              </w:p>
            </w:sdtContent>
          </w:sdt>
        </w:tc>
      </w:tr>
      <w:tr w:rsidR="000C5659" w:rsidTr="00241718">
        <w:trPr>
          <w:trHeight w:val="493"/>
        </w:trPr>
        <w:tc>
          <w:tcPr>
            <w:tcW w:w="311" w:type="pct"/>
            <w:shd w:val="clear" w:color="auto" w:fill="auto"/>
            <w:vAlign w:val="center"/>
          </w:tcPr>
          <w:p w:rsidR="000C5659" w:rsidRDefault="000E33C4">
            <w:pPr>
              <w:widowControl w:val="0"/>
              <w:jc w:val="both"/>
              <w:rPr>
                <w:rFonts w:asciiTheme="minorEastAsia" w:eastAsiaTheme="minorEastAsia" w:hAnsiTheme="minorEastAsia"/>
                <w:color w:val="000000" w:themeColor="text1"/>
              </w:rPr>
            </w:pPr>
            <w:r>
              <w:rPr>
                <w:rFonts w:asciiTheme="minorEastAsia" w:eastAsiaTheme="minorEastAsia" w:hAnsiTheme="minorEastAsia"/>
                <w:color w:val="000000" w:themeColor="text1"/>
              </w:rPr>
              <w:t>合计</w:t>
            </w:r>
          </w:p>
        </w:tc>
        <w:tc>
          <w:tcPr>
            <w:tcW w:w="314"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314"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570"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hint="eastAsia"/>
              </w:rPr>
              <w:t>12,364,772.61</w:t>
            </w:r>
          </w:p>
        </w:tc>
        <w:tc>
          <w:tcPr>
            <w:tcW w:w="376" w:type="pct"/>
            <w:shd w:val="clear" w:color="auto" w:fill="auto"/>
            <w:vAlign w:val="center"/>
          </w:tcPr>
          <w:p w:rsidR="000C5659" w:rsidRDefault="000E33C4">
            <w:pPr>
              <w:widowControl w:val="0"/>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c>
          <w:tcPr>
            <w:tcW w:w="532"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rPr>
              <w:t>8,384,411.87</w:t>
            </w:r>
          </w:p>
        </w:tc>
        <w:tc>
          <w:tcPr>
            <w:tcW w:w="507"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rPr>
              <w:t>-486,307.14</w:t>
            </w:r>
          </w:p>
        </w:tc>
        <w:tc>
          <w:tcPr>
            <w:tcW w:w="286" w:type="pct"/>
            <w:shd w:val="clear" w:color="auto" w:fill="auto"/>
            <w:vAlign w:val="center"/>
          </w:tcPr>
          <w:p w:rsidR="000C5659" w:rsidRDefault="000C5659">
            <w:pPr>
              <w:widowControl w:val="0"/>
              <w:jc w:val="right"/>
              <w:rPr>
                <w:rFonts w:asciiTheme="minorEastAsia" w:eastAsiaTheme="minorEastAsia" w:hAnsiTheme="minorEastAsia"/>
              </w:rPr>
            </w:pPr>
          </w:p>
        </w:tc>
        <w:tc>
          <w:tcPr>
            <w:tcW w:w="315" w:type="pct"/>
            <w:shd w:val="clear" w:color="auto" w:fill="auto"/>
            <w:vAlign w:val="center"/>
          </w:tcPr>
          <w:p w:rsidR="000C5659" w:rsidRDefault="000C5659">
            <w:pPr>
              <w:widowControl w:val="0"/>
              <w:jc w:val="right"/>
              <w:rPr>
                <w:rFonts w:asciiTheme="minorEastAsia" w:eastAsiaTheme="minorEastAsia" w:hAnsiTheme="minorEastAsia"/>
              </w:rPr>
            </w:pPr>
          </w:p>
        </w:tc>
        <w:tc>
          <w:tcPr>
            <w:tcW w:w="407" w:type="pct"/>
            <w:shd w:val="clear" w:color="auto" w:fill="auto"/>
            <w:vAlign w:val="center"/>
          </w:tcPr>
          <w:p w:rsidR="000C5659" w:rsidRDefault="000C5659">
            <w:pPr>
              <w:widowControl w:val="0"/>
              <w:jc w:val="right"/>
              <w:rPr>
                <w:rFonts w:asciiTheme="minorEastAsia" w:eastAsiaTheme="minorEastAsia" w:hAnsiTheme="minorEastAsia"/>
              </w:rPr>
            </w:pPr>
          </w:p>
        </w:tc>
        <w:tc>
          <w:tcPr>
            <w:tcW w:w="223" w:type="pct"/>
            <w:shd w:val="clear" w:color="auto" w:fill="auto"/>
            <w:vAlign w:val="center"/>
          </w:tcPr>
          <w:p w:rsidR="000C5659" w:rsidRDefault="000C5659">
            <w:pPr>
              <w:widowControl w:val="0"/>
              <w:jc w:val="right"/>
              <w:rPr>
                <w:rFonts w:asciiTheme="minorEastAsia" w:eastAsiaTheme="minorEastAsia" w:hAnsiTheme="minorEastAsia"/>
              </w:rPr>
            </w:pPr>
          </w:p>
        </w:tc>
        <w:tc>
          <w:tcPr>
            <w:tcW w:w="532" w:type="pct"/>
            <w:shd w:val="clear" w:color="auto" w:fill="auto"/>
            <w:vAlign w:val="center"/>
          </w:tcPr>
          <w:p w:rsidR="000C5659" w:rsidRDefault="000E33C4">
            <w:pPr>
              <w:widowControl w:val="0"/>
              <w:jc w:val="right"/>
              <w:rPr>
                <w:rFonts w:asciiTheme="minorEastAsia" w:eastAsiaTheme="minorEastAsia" w:hAnsiTheme="minorEastAsia"/>
              </w:rPr>
            </w:pPr>
            <w:r>
              <w:rPr>
                <w:rFonts w:asciiTheme="minorEastAsia" w:eastAsiaTheme="minorEastAsia" w:hAnsiTheme="minorEastAsia" w:hint="eastAsia"/>
              </w:rPr>
              <w:t>7,898,104.72</w:t>
            </w:r>
          </w:p>
        </w:tc>
        <w:tc>
          <w:tcPr>
            <w:tcW w:w="311" w:type="pct"/>
            <w:shd w:val="clear" w:color="auto" w:fill="auto"/>
            <w:vAlign w:val="center"/>
          </w:tcPr>
          <w:p w:rsidR="000C5659" w:rsidRDefault="000E33C4">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bl>
    <w:p w:rsidR="00616E54" w:rsidRDefault="00616E54">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p w:rsidR="004D0C8B" w:rsidRDefault="004D0C8B">
      <w:pPr>
        <w:pStyle w:val="Style325"/>
      </w:pPr>
    </w:p>
    <w:bookmarkEnd w:id="40"/>
    <w:p w:rsidR="004D0C8B" w:rsidRDefault="004D0C8B">
      <w:pPr>
        <w:rPr>
          <w:color w:val="000000" w:themeColor="text1"/>
        </w:rPr>
        <w:sectPr w:rsidR="004D0C8B">
          <w:pgSz w:w="16838" w:h="11906" w:orient="landscape"/>
          <w:pgMar w:top="1797" w:right="1525" w:bottom="1276" w:left="1440" w:header="851" w:footer="992" w:gutter="0"/>
          <w:cols w:space="425"/>
          <w:docGrid w:linePitch="312"/>
        </w:sectPr>
      </w:pPr>
    </w:p>
    <w:p w:rsidR="000C5659" w:rsidRDefault="000E33C4">
      <w:pPr>
        <w:rPr>
          <w:color w:val="000000" w:themeColor="text1"/>
        </w:rPr>
      </w:pPr>
      <w:r>
        <w:rPr>
          <w:rFonts w:hint="eastAsia"/>
          <w:color w:val="000000" w:themeColor="text1"/>
        </w:rPr>
        <w:lastRenderedPageBreak/>
        <w:t>证券投资情况的说明</w:t>
      </w:r>
    </w:p>
    <w:sdt>
      <w:sdtPr>
        <w:rPr>
          <w:color w:val="000000" w:themeColor="text1"/>
        </w:rPr>
        <w:alias w:val="是否适用：证券投资情况的说明[双击切换]"/>
        <w:tag w:val="_GBC_8d1fa1a2f7a54e699abfdd630205bd35"/>
        <w:id w:val="-1316722731"/>
        <w:placeholder>
          <w:docPart w:val="GBC22222222222222222222222222222"/>
        </w:placeholder>
      </w:sdtPr>
      <w:sdtEndPr/>
      <w:sdtContent>
        <w:p w:rsidR="001377D9" w:rsidRDefault="000E33C4" w:rsidP="001377D9">
          <w:pPr>
            <w:pStyle w:val="Style32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616E54" w:rsidRDefault="00616E54">
      <w:pPr>
        <w:rPr>
          <w:color w:val="000000" w:themeColor="text1"/>
        </w:rPr>
      </w:pPr>
    </w:p>
    <w:p w:rsidR="000C5659" w:rsidRDefault="000E33C4">
      <w:pPr>
        <w:rPr>
          <w:color w:val="000000" w:themeColor="text1"/>
        </w:rPr>
      </w:pPr>
      <w:bookmarkStart w:id="41" w:name="_Hlk40534809"/>
      <w:r>
        <w:rPr>
          <w:rFonts w:hint="eastAsia"/>
          <w:color w:val="000000" w:themeColor="text1"/>
        </w:rPr>
        <w:t>私募基金投资情况</w:t>
      </w:r>
    </w:p>
    <w:bookmarkEnd w:id="41" w:displacedByCustomXml="next"/>
    <w:sdt>
      <w:sdtPr>
        <w:rPr>
          <w:color w:val="000000" w:themeColor="text1"/>
        </w:rPr>
        <w:alias w:val="是否适用：证券投资情况的说明[双击切换]"/>
        <w:tag w:val="_GBC_8d1fa1a2f7a54e699abfdd630205bd35"/>
        <w:id w:val="-1395959138"/>
        <w:placeholder>
          <w:docPart w:val="ADE28485113B4767BDEF7BF0331B7A16"/>
        </w:placeholder>
      </w:sdtPr>
      <w:sdtEndPr/>
      <w:sdtContent>
        <w:p w:rsidR="001377D9" w:rsidRDefault="001377D9" w:rsidP="001377D9">
          <w:pPr>
            <w:pStyle w:val="Style325"/>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1377D9" w:rsidRDefault="001377D9">
      <w:pPr>
        <w:rPr>
          <w:color w:val="000000" w:themeColor="text1"/>
        </w:rPr>
      </w:pPr>
    </w:p>
    <w:p w:rsidR="001377D9" w:rsidRDefault="001377D9">
      <w:pPr>
        <w:rPr>
          <w:color w:val="000000" w:themeColor="text1"/>
        </w:rPr>
      </w:pPr>
    </w:p>
    <w:p w:rsidR="000C5659" w:rsidRDefault="000E33C4">
      <w:pPr>
        <w:rPr>
          <w:color w:val="000000" w:themeColor="text1"/>
        </w:rPr>
      </w:pPr>
      <w:r>
        <w:rPr>
          <w:rFonts w:hint="eastAsia"/>
          <w:color w:val="000000" w:themeColor="text1"/>
        </w:rPr>
        <w:t>衍生品投资情况</w:t>
      </w:r>
    </w:p>
    <w:sdt>
      <w:sdtPr>
        <w:rPr>
          <w:rFonts w:hint="eastAsia"/>
          <w:color w:val="000000" w:themeColor="text1"/>
        </w:rPr>
        <w:alias w:val="是否适用：衍生品投资情况  [双击切换]"/>
        <w:tag w:val="_GBC_bfd154b38b804edbb19ff4896b6b9c42"/>
        <w:id w:val="-168178695"/>
        <w:placeholder>
          <w:docPart w:val="GBC22222222222222222222222222222"/>
        </w:placeholder>
      </w:sdtPr>
      <w:sdtEndPr/>
      <w:sdtContent>
        <w:p w:rsidR="00616E54" w:rsidRDefault="000E33C4" w:rsidP="004D0C8B">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Start w:id="42" w:name="_Hlk167797508" w:displacedByCustomXml="prev"/>
    <w:bookmarkStart w:id="43" w:name="_Hlk155617745" w:displacedByCustomXml="prev"/>
    <w:bookmarkEnd w:id="39"/>
    <w:bookmarkEnd w:id="43"/>
    <w:bookmarkEnd w:id="42"/>
    <w:p w:rsidR="004D0C8B" w:rsidRDefault="004D0C8B">
      <w:pPr>
        <w:rPr>
          <w:color w:val="000000" w:themeColor="text1"/>
        </w:rPr>
        <w:sectPr w:rsidR="004D0C8B" w:rsidSect="00616E54">
          <w:pgSz w:w="11906" w:h="16838"/>
          <w:pgMar w:top="1525" w:right="1276" w:bottom="1440" w:left="1797" w:header="851" w:footer="992" w:gutter="0"/>
          <w:cols w:space="425"/>
          <w:docGrid w:linePitch="312"/>
        </w:sectPr>
      </w:pPr>
    </w:p>
    <w:p w:rsidR="004D0C8B" w:rsidRDefault="004D0C8B">
      <w:pPr>
        <w:rPr>
          <w:color w:val="000000" w:themeColor="text1"/>
        </w:rPr>
        <w:sectPr w:rsidR="004D0C8B" w:rsidSect="004D0C8B">
          <w:type w:val="continuous"/>
          <w:pgSz w:w="11906" w:h="16838"/>
          <w:pgMar w:top="1525" w:right="1276" w:bottom="1440" w:left="1797" w:header="851" w:footer="992" w:gutter="0"/>
          <w:cols w:space="425"/>
          <w:docGrid w:linePitch="312"/>
        </w:sectPr>
      </w:pPr>
    </w:p>
    <w:p w:rsidR="000C5659" w:rsidRDefault="000C5659">
      <w:pPr>
        <w:rPr>
          <w:color w:val="000000" w:themeColor="text1"/>
        </w:rPr>
        <w:sectPr w:rsidR="000C5659" w:rsidSect="004D0C8B">
          <w:type w:val="continuous"/>
          <w:pgSz w:w="11906" w:h="16838"/>
          <w:pgMar w:top="1525" w:right="1276" w:bottom="1440" w:left="1797" w:header="851" w:footer="992" w:gutter="0"/>
          <w:cols w:space="425"/>
          <w:docGrid w:linePitch="312"/>
        </w:sectPr>
      </w:pPr>
    </w:p>
    <w:p w:rsidR="000C5659" w:rsidRDefault="000E33C4" w:rsidP="000743DD">
      <w:pPr>
        <w:pStyle w:val="3"/>
        <w:numPr>
          <w:ilvl w:val="0"/>
          <w:numId w:val="10"/>
        </w:numPr>
        <w:rPr>
          <w:rFonts w:ascii="宋体" w:hAnsi="宋体"/>
          <w:color w:val="000000" w:themeColor="text1"/>
        </w:rPr>
      </w:pPr>
      <w:r>
        <w:rPr>
          <w:rFonts w:ascii="宋体" w:hAnsi="宋体"/>
          <w:color w:val="000000" w:themeColor="text1"/>
        </w:rPr>
        <w:lastRenderedPageBreak/>
        <w:t>重大资产和股权出售</w:t>
      </w:r>
    </w:p>
    <w:sdt>
      <w:sdtPr>
        <w:rPr>
          <w:rFonts w:hint="eastAsia"/>
          <w:color w:val="000000" w:themeColor="text1"/>
        </w:rPr>
        <w:alias w:val="是否适用：重大资产和股权出售[双击切换]"/>
        <w:tag w:val="_GBC_f566f251245e49238092032f065852be"/>
        <w:id w:val="21426045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0"/>
          <w:numId w:val="10"/>
        </w:numPr>
        <w:rPr>
          <w:rFonts w:ascii="宋体" w:hAnsi="宋体"/>
          <w:color w:val="000000" w:themeColor="text1"/>
        </w:rPr>
      </w:pPr>
      <w:r>
        <w:rPr>
          <w:rFonts w:ascii="宋体" w:hAnsi="宋体" w:hint="eastAsia"/>
          <w:color w:val="000000" w:themeColor="text1"/>
        </w:rPr>
        <w:t>主要控股参股公司分析</w:t>
      </w:r>
    </w:p>
    <w:sdt>
      <w:sdtPr>
        <w:rPr>
          <w:color w:val="000000" w:themeColor="text1"/>
        </w:rPr>
        <w:alias w:val="是否适用：主要控股参股公司分析[双击切换]"/>
        <w:tag w:val="_GBC_3f3bd67865a44413bcd1143c0df7558d"/>
        <w:id w:val="-206875109"/>
        <w:placeholder>
          <w:docPart w:val="GBC22222222222222222222222222222"/>
        </w:placeholder>
      </w:sdtPr>
      <w:sdtEndPr/>
      <w:sdtContent>
        <w:p w:rsidR="004E64E6" w:rsidRDefault="000E33C4" w:rsidP="004E64E6">
          <w:pPr>
            <w:rPr>
              <w:color w:val="000000" w:themeColor="text1"/>
            </w:rPr>
          </w:pPr>
          <w:r>
            <w:rPr>
              <w:color w:val="000000" w:themeColor="text1"/>
            </w:rPr>
            <w:fldChar w:fldCharType="begin"/>
          </w:r>
          <w:r w:rsidR="004E64E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4E64E6">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主要子公司、参股公司分析"/>
        <w:tag w:val="_GBC_839e73df2f5d460cbcde577c1623d15c"/>
        <w:id w:val="-1668086278"/>
        <w:placeholder>
          <w:docPart w:val="11977DD635A04512A697885C49BF4772"/>
        </w:placeholder>
      </w:sdtPr>
      <w:sdtEndPr/>
      <w:sdtContent>
        <w:p w:rsidR="004E64E6" w:rsidRDefault="004E64E6" w:rsidP="004E64E6">
          <w:pPr>
            <w:jc w:val="right"/>
            <w:rPr>
              <w:color w:val="000000" w:themeColor="text1"/>
            </w:rPr>
          </w:pPr>
          <w:r>
            <w:rPr>
              <w:rFonts w:hint="eastAsia"/>
              <w:color w:val="000000" w:themeColor="text1"/>
            </w:rPr>
            <w:t>单位：万元</w:t>
          </w:r>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954"/>
            <w:gridCol w:w="1229"/>
            <w:gridCol w:w="1221"/>
            <w:gridCol w:w="1416"/>
            <w:gridCol w:w="1273"/>
            <w:gridCol w:w="1116"/>
          </w:tblGrid>
          <w:tr w:rsidR="004E64E6" w:rsidTr="00315B82">
            <w:trPr>
              <w:trHeight w:val="290"/>
            </w:trPr>
            <w:tc>
              <w:tcPr>
                <w:tcW w:w="921" w:type="pct"/>
                <w:vAlign w:val="center"/>
              </w:tcPr>
              <w:p w:rsidR="004E64E6" w:rsidRDefault="004E64E6" w:rsidP="00315B82">
                <w:pPr>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公司名称</w:t>
                </w:r>
              </w:p>
            </w:tc>
            <w:tc>
              <w:tcPr>
                <w:tcW w:w="548" w:type="pct"/>
                <w:vAlign w:val="center"/>
              </w:tcPr>
              <w:p w:rsidR="004E64E6" w:rsidRDefault="004E64E6" w:rsidP="00315B82">
                <w:pPr>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主营业务</w:t>
                </w:r>
              </w:p>
            </w:tc>
            <w:tc>
              <w:tcPr>
                <w:tcW w:w="703" w:type="pct"/>
                <w:vAlign w:val="center"/>
              </w:tcPr>
              <w:p w:rsidR="004E64E6" w:rsidRDefault="004E64E6" w:rsidP="00315B82">
                <w:pPr>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注册资本</w:t>
                </w:r>
              </w:p>
            </w:tc>
            <w:tc>
              <w:tcPr>
                <w:tcW w:w="698" w:type="pct"/>
                <w:vAlign w:val="center"/>
              </w:tcPr>
              <w:p w:rsidR="004E64E6" w:rsidRDefault="004E64E6" w:rsidP="00315B82">
                <w:pPr>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持股比例</w:t>
                </w:r>
              </w:p>
            </w:tc>
            <w:tc>
              <w:tcPr>
                <w:tcW w:w="782" w:type="pct"/>
                <w:vAlign w:val="center"/>
              </w:tcPr>
              <w:p w:rsidR="004E64E6" w:rsidRDefault="004E64E6" w:rsidP="00315B82">
                <w:pPr>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总资产</w:t>
                </w:r>
              </w:p>
            </w:tc>
            <w:tc>
              <w:tcPr>
                <w:tcW w:w="727" w:type="pct"/>
                <w:vAlign w:val="center"/>
              </w:tcPr>
              <w:p w:rsidR="004E64E6" w:rsidRDefault="004E64E6" w:rsidP="00315B82">
                <w:pPr>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净资产</w:t>
                </w:r>
              </w:p>
            </w:tc>
            <w:tc>
              <w:tcPr>
                <w:tcW w:w="617" w:type="pct"/>
                <w:vAlign w:val="center"/>
              </w:tcPr>
              <w:p w:rsidR="004E64E6" w:rsidRDefault="004E64E6" w:rsidP="00315B82">
                <w:pPr>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净利润</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扬州倍加洁日化有限公司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湿巾生产、销售</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5,241.12</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46,268.07</w:t>
                </w:r>
              </w:p>
            </w:tc>
            <w:tc>
              <w:tcPr>
                <w:tcW w:w="727"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19,514.00</w:t>
                </w:r>
              </w:p>
            </w:tc>
            <w:tc>
              <w:tcPr>
                <w:tcW w:w="617"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2,433.18</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扬州美星口腔护理用品有限公司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口腔护理产品的生产、销售</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5,000.00</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29,753.46</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12,988.07</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1,390.53</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扬州恒生精密模具有限公司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模具的设计、制造</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300</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4,384.61</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3,658.57</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257.57</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江苏明星牙刷有限公司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牙刷生产、销售</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20,000.00</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21,828.56</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19,684.03</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212.26</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扬州明星牙刷口腔护理有限公司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日用品销售、企业管理咨询、股权投资</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50</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0</w:t>
                </w:r>
              </w:p>
            </w:tc>
            <w:tc>
              <w:tcPr>
                <w:tcW w:w="727"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0</w:t>
                </w:r>
              </w:p>
            </w:tc>
            <w:tc>
              <w:tcPr>
                <w:tcW w:w="617"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0</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上海益生电子商务有限公司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电子商务</w:t>
                </w:r>
              </w:p>
            </w:tc>
            <w:tc>
              <w:tcPr>
                <w:tcW w:w="703"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600</w:t>
                </w:r>
              </w:p>
            </w:tc>
            <w:tc>
              <w:tcPr>
                <w:tcW w:w="698"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876.56</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879.49</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-0.34</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杭州益倍电子商务有限公司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电子商务</w:t>
                </w:r>
              </w:p>
            </w:tc>
            <w:tc>
              <w:tcPr>
                <w:tcW w:w="703"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600</w:t>
                </w:r>
              </w:p>
            </w:tc>
            <w:tc>
              <w:tcPr>
                <w:tcW w:w="698"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1,585.04</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603.77</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362.04</w:t>
                </w:r>
              </w:p>
            </w:tc>
          </w:tr>
          <w:tr w:rsidR="004E64E6" w:rsidTr="00315B82">
            <w:trPr>
              <w:trHeight w:val="290"/>
            </w:trPr>
            <w:tc>
              <w:tcPr>
                <w:tcW w:w="921" w:type="pct"/>
                <w:vAlign w:val="center"/>
              </w:tcPr>
              <w:p w:rsidR="004E64E6" w:rsidRDefault="004E64E6" w:rsidP="00315B82">
                <w:pPr>
                  <w:textAlignment w:val="center"/>
                  <w:rPr>
                    <w:rFonts w:ascii="Times New Roman" w:hAnsi="Times New Roman" w:cs="Times New Roman"/>
                    <w:sz w:val="20"/>
                    <w:szCs w:val="20"/>
                  </w:rPr>
                </w:pPr>
                <w:r>
                  <w:rPr>
                    <w:rFonts w:hint="eastAsia"/>
                    <w:color w:val="000000"/>
                    <w:sz w:val="20"/>
                    <w:szCs w:val="20"/>
                    <w:lang w:bidi="ar"/>
                  </w:rPr>
                  <w:t>杭州益亲电子商务有限公司</w:t>
                </w:r>
              </w:p>
            </w:tc>
            <w:tc>
              <w:tcPr>
                <w:tcW w:w="548" w:type="pct"/>
                <w:vAlign w:val="center"/>
              </w:tcPr>
              <w:p w:rsidR="004E64E6" w:rsidRDefault="004E64E6" w:rsidP="00315B82">
                <w:pPr>
                  <w:textAlignment w:val="center"/>
                  <w:rPr>
                    <w:rFonts w:ascii="Times New Roman" w:hAnsi="Times New Roman" w:cs="Times New Roman"/>
                    <w:sz w:val="20"/>
                    <w:szCs w:val="20"/>
                  </w:rPr>
                </w:pPr>
                <w:r>
                  <w:rPr>
                    <w:rFonts w:hint="eastAsia"/>
                    <w:color w:val="000000"/>
                    <w:sz w:val="20"/>
                    <w:szCs w:val="20"/>
                    <w:lang w:bidi="ar"/>
                  </w:rPr>
                  <w:t>电子商务</w:t>
                </w:r>
              </w:p>
            </w:tc>
            <w:tc>
              <w:tcPr>
                <w:tcW w:w="703" w:type="pct"/>
                <w:vAlign w:val="center"/>
              </w:tcPr>
              <w:p w:rsidR="004E64E6" w:rsidRDefault="004E64E6" w:rsidP="00315B82">
                <w:pPr>
                  <w:jc w:val="right"/>
                  <w:textAlignment w:val="center"/>
                  <w:rPr>
                    <w:rFonts w:cs="Times New Roman"/>
                    <w:sz w:val="20"/>
                    <w:szCs w:val="20"/>
                  </w:rPr>
                </w:pPr>
                <w:r>
                  <w:rPr>
                    <w:rFonts w:hint="eastAsia"/>
                    <w:color w:val="000000"/>
                    <w:sz w:val="20"/>
                    <w:szCs w:val="20"/>
                    <w:lang w:bidi="ar"/>
                  </w:rPr>
                  <w:t>600</w:t>
                </w:r>
              </w:p>
            </w:tc>
            <w:tc>
              <w:tcPr>
                <w:tcW w:w="698" w:type="pct"/>
                <w:vAlign w:val="center"/>
              </w:tcPr>
              <w:p w:rsidR="004E64E6" w:rsidRDefault="004E64E6" w:rsidP="00315B82">
                <w:pPr>
                  <w:jc w:val="right"/>
                  <w:textAlignment w:val="center"/>
                  <w:rPr>
                    <w:rFonts w:cs="Times New Roman"/>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imes New Roman"/>
                    <w:sz w:val="20"/>
                    <w:szCs w:val="20"/>
                  </w:rPr>
                </w:pPr>
                <w:r>
                  <w:rPr>
                    <w:rFonts w:hint="eastAsia"/>
                    <w:color w:val="000000"/>
                    <w:sz w:val="20"/>
                    <w:szCs w:val="20"/>
                    <w:lang w:bidi="ar"/>
                  </w:rPr>
                  <w:t>110.22</w:t>
                </w:r>
              </w:p>
            </w:tc>
            <w:tc>
              <w:tcPr>
                <w:tcW w:w="727" w:type="pct"/>
                <w:vAlign w:val="center"/>
              </w:tcPr>
              <w:p w:rsidR="004E64E6" w:rsidRDefault="004E64E6" w:rsidP="00315B82">
                <w:pPr>
                  <w:jc w:val="right"/>
                  <w:textAlignment w:val="center"/>
                  <w:rPr>
                    <w:rFonts w:cs="Times New Roman"/>
                    <w:sz w:val="20"/>
                    <w:szCs w:val="20"/>
                  </w:rPr>
                </w:pPr>
                <w:r>
                  <w:rPr>
                    <w:rFonts w:hint="eastAsia"/>
                    <w:color w:val="000000"/>
                    <w:sz w:val="20"/>
                    <w:szCs w:val="20"/>
                    <w:lang w:bidi="ar"/>
                  </w:rPr>
                  <w:t>70.27</w:t>
                </w:r>
              </w:p>
            </w:tc>
            <w:tc>
              <w:tcPr>
                <w:tcW w:w="617" w:type="pct"/>
                <w:vAlign w:val="center"/>
              </w:tcPr>
              <w:p w:rsidR="004E64E6" w:rsidRDefault="004E64E6" w:rsidP="00315B82">
                <w:pPr>
                  <w:jc w:val="right"/>
                  <w:textAlignment w:val="center"/>
                  <w:rPr>
                    <w:rFonts w:cs="Times New Roman"/>
                    <w:sz w:val="20"/>
                    <w:szCs w:val="20"/>
                  </w:rPr>
                </w:pPr>
                <w:r>
                  <w:rPr>
                    <w:rFonts w:hint="eastAsia"/>
                    <w:color w:val="000000"/>
                    <w:sz w:val="20"/>
                    <w:szCs w:val="20"/>
                    <w:lang w:bidi="ar"/>
                  </w:rPr>
                  <w:t>-34.73</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珠海云舒壹号企业管理合伙企业（有限合伙）</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股权投资</w:t>
                </w:r>
              </w:p>
            </w:tc>
            <w:tc>
              <w:tcPr>
                <w:tcW w:w="703"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5,600.00</w:t>
                </w:r>
              </w:p>
            </w:tc>
            <w:tc>
              <w:tcPr>
                <w:tcW w:w="698"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99.98%</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7,782.88</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7,782.86</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w:t>
                </w:r>
                <w:r>
                  <w:rPr>
                    <w:color w:val="000000"/>
                    <w:sz w:val="20"/>
                    <w:szCs w:val="20"/>
                    <w:lang w:bidi="ar"/>
                  </w:rPr>
                  <w:t>226</w:t>
                </w:r>
                <w:r>
                  <w:rPr>
                    <w:rFonts w:hint="eastAsia"/>
                    <w:color w:val="000000"/>
                    <w:sz w:val="20"/>
                    <w:szCs w:val="20"/>
                    <w:lang w:bidi="ar"/>
                  </w:rPr>
                  <w:t>.6</w:t>
                </w:r>
                <w:r>
                  <w:rPr>
                    <w:color w:val="000000"/>
                    <w:sz w:val="20"/>
                    <w:szCs w:val="20"/>
                    <w:lang w:bidi="ar"/>
                  </w:rPr>
                  <w:t>4</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南京沄洁科技有限公司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家电、日化品的生产、销售</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25,000.00</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67,772.51</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18,273.35</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w:t>
                </w:r>
                <w:r>
                  <w:rPr>
                    <w:color w:val="000000"/>
                    <w:sz w:val="20"/>
                    <w:szCs w:val="20"/>
                    <w:lang w:bidi="ar"/>
                  </w:rPr>
                  <w:t>1</w:t>
                </w:r>
                <w:r>
                  <w:rPr>
                    <w:rFonts w:hint="eastAsia"/>
                    <w:color w:val="000000"/>
                    <w:sz w:val="20"/>
                    <w:szCs w:val="20"/>
                    <w:lang w:bidi="ar"/>
                  </w:rPr>
                  <w:t>,0</w:t>
                </w:r>
                <w:r>
                  <w:rPr>
                    <w:color w:val="000000"/>
                    <w:sz w:val="20"/>
                    <w:szCs w:val="20"/>
                    <w:lang w:bidi="ar"/>
                  </w:rPr>
                  <w:t>39</w:t>
                </w:r>
                <w:r>
                  <w:rPr>
                    <w:rFonts w:hint="eastAsia"/>
                    <w:color w:val="000000"/>
                    <w:sz w:val="20"/>
                    <w:szCs w:val="20"/>
                    <w:lang w:bidi="ar"/>
                  </w:rPr>
                  <w:t>.</w:t>
                </w:r>
                <w:r>
                  <w:rPr>
                    <w:color w:val="000000"/>
                    <w:sz w:val="20"/>
                    <w:szCs w:val="20"/>
                    <w:lang w:bidi="ar"/>
                  </w:rPr>
                  <w:t>22</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珠海云舒贰号企业管理合伙企业（有限合伙）</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股权投资</w:t>
                </w:r>
              </w:p>
            </w:tc>
            <w:tc>
              <w:tcPr>
                <w:tcW w:w="703"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25,100.00</w:t>
                </w:r>
              </w:p>
            </w:tc>
            <w:tc>
              <w:tcPr>
                <w:tcW w:w="698" w:type="pct"/>
                <w:vAlign w:val="center"/>
              </w:tcPr>
              <w:p w:rsidR="004E64E6" w:rsidRDefault="004E64E6" w:rsidP="00315B82">
                <w:pPr>
                  <w:jc w:val="right"/>
                  <w:textAlignment w:val="center"/>
                  <w:rPr>
                    <w:rFonts w:cstheme="minorEastAsia"/>
                    <w:sz w:val="20"/>
                    <w:szCs w:val="20"/>
                  </w:rPr>
                </w:pPr>
                <w:r>
                  <w:rPr>
                    <w:rFonts w:hint="eastAsia"/>
                    <w:color w:val="000000"/>
                    <w:sz w:val="20"/>
                    <w:szCs w:val="20"/>
                    <w:lang w:bidi="ar"/>
                  </w:rPr>
                  <w:t>99.99%</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31,864.37</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31,791.94</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w:t>
                </w:r>
                <w:r>
                  <w:rPr>
                    <w:color w:val="000000"/>
                    <w:sz w:val="20"/>
                    <w:szCs w:val="20"/>
                    <w:lang w:bidi="ar"/>
                  </w:rPr>
                  <w:t>918</w:t>
                </w:r>
                <w:r>
                  <w:rPr>
                    <w:rFonts w:hint="eastAsia"/>
                    <w:color w:val="000000"/>
                    <w:sz w:val="20"/>
                    <w:szCs w:val="20"/>
                    <w:lang w:bidi="ar"/>
                  </w:rPr>
                  <w:t>.</w:t>
                </w:r>
                <w:r>
                  <w:rPr>
                    <w:color w:val="000000"/>
                    <w:sz w:val="20"/>
                    <w:szCs w:val="20"/>
                    <w:lang w:bidi="ar"/>
                  </w:rPr>
                  <w:t>45</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倍加洁国际（香港）有限公司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商品贸易</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25.22</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65.68</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-109.96</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-15.85</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lastRenderedPageBreak/>
                  <w:t>扬州烁阳新能源有限公司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太阳能发电</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300</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100.00%</w:t>
                </w:r>
              </w:p>
            </w:tc>
            <w:tc>
              <w:tcPr>
                <w:tcW w:w="782"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1,016.23</w:t>
                </w:r>
              </w:p>
            </w:tc>
            <w:tc>
              <w:tcPr>
                <w:tcW w:w="72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569.7</w:t>
                </w:r>
              </w:p>
            </w:tc>
            <w:tc>
              <w:tcPr>
                <w:tcW w:w="617" w:type="pct"/>
                <w:vAlign w:val="center"/>
              </w:tcPr>
              <w:p w:rsidR="004E64E6" w:rsidRDefault="004E64E6" w:rsidP="00315B82">
                <w:pPr>
                  <w:jc w:val="right"/>
                  <w:textAlignment w:val="center"/>
                  <w:rPr>
                    <w:rFonts w:cstheme="minorEastAsia"/>
                    <w:sz w:val="20"/>
                    <w:szCs w:val="20"/>
                    <w:lang w:bidi="ar"/>
                  </w:rPr>
                </w:pPr>
                <w:r>
                  <w:rPr>
                    <w:rFonts w:hint="eastAsia"/>
                    <w:color w:val="000000"/>
                    <w:sz w:val="20"/>
                    <w:szCs w:val="20"/>
                    <w:lang w:bidi="ar"/>
                  </w:rPr>
                  <w:t>63.8</w:t>
                </w:r>
              </w:p>
            </w:tc>
          </w:tr>
          <w:tr w:rsidR="004E64E6" w:rsidTr="00315B82">
            <w:trPr>
              <w:trHeight w:val="290"/>
            </w:trPr>
            <w:tc>
              <w:tcPr>
                <w:tcW w:w="921"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善恩康生物科技（苏州）有限公司</w:t>
                </w:r>
              </w:p>
            </w:tc>
            <w:tc>
              <w:tcPr>
                <w:tcW w:w="548" w:type="pct"/>
                <w:vAlign w:val="center"/>
              </w:tcPr>
              <w:p w:rsidR="004E64E6" w:rsidRDefault="004E64E6" w:rsidP="00315B82">
                <w:pPr>
                  <w:textAlignment w:val="center"/>
                  <w:rPr>
                    <w:rFonts w:asciiTheme="minorEastAsia" w:eastAsiaTheme="minorEastAsia" w:hAnsiTheme="minorEastAsia" w:cstheme="minorEastAsia"/>
                    <w:sz w:val="20"/>
                    <w:szCs w:val="20"/>
                  </w:rPr>
                </w:pPr>
                <w:r>
                  <w:rPr>
                    <w:rFonts w:hint="eastAsia"/>
                    <w:color w:val="000000"/>
                    <w:sz w:val="20"/>
                    <w:szCs w:val="20"/>
                    <w:lang w:bidi="ar"/>
                  </w:rPr>
                  <w:t>益生菌制品研发、生产和销售</w:t>
                </w:r>
              </w:p>
            </w:tc>
            <w:tc>
              <w:tcPr>
                <w:tcW w:w="703"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8,729.28</w:t>
                </w:r>
              </w:p>
            </w:tc>
            <w:tc>
              <w:tcPr>
                <w:tcW w:w="698" w:type="pct"/>
                <w:vAlign w:val="center"/>
              </w:tcPr>
              <w:p w:rsidR="004E64E6" w:rsidRDefault="004E64E6" w:rsidP="00315B82">
                <w:pPr>
                  <w:jc w:val="right"/>
                  <w:textAlignment w:val="center"/>
                  <w:rPr>
                    <w:rFonts w:asciiTheme="minorEastAsia" w:eastAsiaTheme="minorEastAsia" w:hAnsiTheme="minorEastAsia" w:cstheme="minorEastAsia"/>
                    <w:sz w:val="20"/>
                    <w:szCs w:val="20"/>
                  </w:rPr>
                </w:pPr>
                <w:r>
                  <w:rPr>
                    <w:rFonts w:hint="eastAsia"/>
                    <w:color w:val="000000"/>
                    <w:sz w:val="20"/>
                    <w:szCs w:val="20"/>
                    <w:lang w:bidi="ar"/>
                  </w:rPr>
                  <w:t>52.00</w:t>
                </w:r>
                <w:r>
                  <w:rPr>
                    <w:color w:val="000000"/>
                    <w:sz w:val="20"/>
                    <w:szCs w:val="20"/>
                    <w:lang w:bidi="ar"/>
                  </w:rPr>
                  <w:t>06</w:t>
                </w:r>
                <w:r>
                  <w:rPr>
                    <w:rFonts w:hint="eastAsia"/>
                    <w:color w:val="000000"/>
                    <w:sz w:val="20"/>
                    <w:szCs w:val="20"/>
                    <w:lang w:bidi="ar"/>
                  </w:rPr>
                  <w:t>%</w:t>
                </w:r>
              </w:p>
            </w:tc>
            <w:tc>
              <w:tcPr>
                <w:tcW w:w="782" w:type="pct"/>
                <w:vAlign w:val="center"/>
              </w:tcPr>
              <w:p w:rsidR="004E64E6" w:rsidRDefault="004E64E6" w:rsidP="00315B82">
                <w:pPr>
                  <w:jc w:val="right"/>
                  <w:textAlignment w:val="center"/>
                  <w:rPr>
                    <w:rFonts w:cstheme="minorEastAsia"/>
                    <w:color w:val="FF0000"/>
                    <w:sz w:val="20"/>
                    <w:szCs w:val="20"/>
                    <w:lang w:bidi="ar"/>
                  </w:rPr>
                </w:pPr>
                <w:r>
                  <w:rPr>
                    <w:rFonts w:hint="eastAsia"/>
                    <w:color w:val="000000"/>
                    <w:sz w:val="20"/>
                    <w:szCs w:val="20"/>
                    <w:lang w:bidi="ar"/>
                  </w:rPr>
                  <w:t>12,352.36</w:t>
                </w:r>
              </w:p>
            </w:tc>
            <w:tc>
              <w:tcPr>
                <w:tcW w:w="727" w:type="pct"/>
                <w:vAlign w:val="center"/>
              </w:tcPr>
              <w:p w:rsidR="004E64E6" w:rsidRDefault="004E64E6" w:rsidP="00315B82">
                <w:pPr>
                  <w:jc w:val="right"/>
                  <w:textAlignment w:val="center"/>
                  <w:rPr>
                    <w:rFonts w:cstheme="minorEastAsia"/>
                    <w:color w:val="FF0000"/>
                    <w:sz w:val="20"/>
                    <w:szCs w:val="20"/>
                    <w:lang w:bidi="ar"/>
                  </w:rPr>
                </w:pPr>
                <w:r>
                  <w:rPr>
                    <w:rFonts w:hint="eastAsia"/>
                    <w:color w:val="000000"/>
                    <w:sz w:val="20"/>
                    <w:szCs w:val="20"/>
                    <w:lang w:bidi="ar"/>
                  </w:rPr>
                  <w:t>7,223.76</w:t>
                </w:r>
              </w:p>
            </w:tc>
            <w:tc>
              <w:tcPr>
                <w:tcW w:w="617" w:type="pct"/>
                <w:vAlign w:val="center"/>
              </w:tcPr>
              <w:p w:rsidR="004E64E6" w:rsidRDefault="004E64E6" w:rsidP="00315B82">
                <w:pPr>
                  <w:jc w:val="right"/>
                  <w:textAlignment w:val="center"/>
                  <w:rPr>
                    <w:rFonts w:cstheme="minorEastAsia"/>
                    <w:color w:val="FF0000"/>
                    <w:sz w:val="20"/>
                    <w:szCs w:val="20"/>
                    <w:lang w:bidi="ar"/>
                  </w:rPr>
                </w:pPr>
                <w:r>
                  <w:rPr>
                    <w:rFonts w:hint="eastAsia"/>
                    <w:color w:val="000000"/>
                    <w:sz w:val="20"/>
                    <w:szCs w:val="20"/>
                    <w:lang w:bidi="ar"/>
                  </w:rPr>
                  <w:t>-</w:t>
                </w:r>
                <w:r>
                  <w:rPr>
                    <w:color w:val="000000"/>
                    <w:sz w:val="20"/>
                    <w:szCs w:val="20"/>
                    <w:lang w:bidi="ar"/>
                  </w:rPr>
                  <w:t>15</w:t>
                </w:r>
                <w:r>
                  <w:rPr>
                    <w:rFonts w:hint="eastAsia"/>
                    <w:color w:val="000000"/>
                    <w:sz w:val="20"/>
                    <w:szCs w:val="20"/>
                    <w:lang w:bidi="ar"/>
                  </w:rPr>
                  <w:t>.</w:t>
                </w:r>
                <w:r>
                  <w:rPr>
                    <w:color w:val="000000"/>
                    <w:sz w:val="20"/>
                    <w:szCs w:val="20"/>
                    <w:lang w:bidi="ar"/>
                  </w:rPr>
                  <w:t>93</w:t>
                </w:r>
              </w:p>
            </w:tc>
          </w:tr>
          <w:tr w:rsidR="004E64E6" w:rsidTr="00315B82">
            <w:trPr>
              <w:trHeight w:val="290"/>
            </w:trPr>
            <w:tc>
              <w:tcPr>
                <w:tcW w:w="921" w:type="pct"/>
                <w:vAlign w:val="center"/>
              </w:tcPr>
              <w:p w:rsidR="004E64E6" w:rsidRDefault="004E64E6" w:rsidP="00315B82">
                <w:pPr>
                  <w:textAlignment w:val="center"/>
                  <w:rPr>
                    <w:color w:val="000000"/>
                    <w:sz w:val="20"/>
                    <w:szCs w:val="20"/>
                    <w:lang w:bidi="ar"/>
                  </w:rPr>
                </w:pPr>
                <w:r>
                  <w:rPr>
                    <w:rFonts w:hint="eastAsia"/>
                    <w:color w:val="000000"/>
                    <w:sz w:val="20"/>
                    <w:szCs w:val="20"/>
                    <w:lang w:bidi="ar"/>
                  </w:rPr>
                  <w:t>薇美姿实业（广东）股份有限公司</w:t>
                </w:r>
              </w:p>
            </w:tc>
            <w:tc>
              <w:tcPr>
                <w:tcW w:w="548" w:type="pct"/>
                <w:vAlign w:val="center"/>
              </w:tcPr>
              <w:p w:rsidR="004E64E6" w:rsidRDefault="004E64E6" w:rsidP="00315B82">
                <w:pPr>
                  <w:textAlignment w:val="center"/>
                  <w:rPr>
                    <w:color w:val="000000"/>
                    <w:sz w:val="20"/>
                    <w:szCs w:val="20"/>
                    <w:lang w:bidi="ar"/>
                  </w:rPr>
                </w:pPr>
                <w:r>
                  <w:rPr>
                    <w:rFonts w:hint="eastAsia"/>
                    <w:color w:val="000000"/>
                    <w:sz w:val="20"/>
                    <w:szCs w:val="20"/>
                    <w:lang w:bidi="ar"/>
                  </w:rPr>
                  <w:t>日化品制造、销售</w:t>
                </w:r>
              </w:p>
            </w:tc>
            <w:tc>
              <w:tcPr>
                <w:tcW w:w="1274" w:type="dxa"/>
                <w:vAlign w:val="center"/>
              </w:tcPr>
              <w:p w:rsidR="004E64E6" w:rsidRDefault="004E64E6" w:rsidP="00315B82">
                <w:pPr>
                  <w:jc w:val="right"/>
                  <w:textAlignment w:val="center"/>
                  <w:rPr>
                    <w:color w:val="000000"/>
                    <w:sz w:val="20"/>
                    <w:szCs w:val="20"/>
                    <w:lang w:bidi="ar"/>
                  </w:rPr>
                </w:pPr>
                <w:r>
                  <w:rPr>
                    <w:rFonts w:hint="eastAsia"/>
                    <w:color w:val="000000"/>
                    <w:sz w:val="20"/>
                    <w:szCs w:val="20"/>
                    <w:lang w:bidi="ar"/>
                  </w:rPr>
                  <w:t>11,248.58</w:t>
                </w:r>
              </w:p>
            </w:tc>
            <w:tc>
              <w:tcPr>
                <w:tcW w:w="1265" w:type="dxa"/>
                <w:vAlign w:val="center"/>
              </w:tcPr>
              <w:p w:rsidR="004E64E6" w:rsidRDefault="004E64E6" w:rsidP="00315B82">
                <w:pPr>
                  <w:jc w:val="right"/>
                  <w:rPr>
                    <w:color w:val="000000"/>
                    <w:sz w:val="20"/>
                    <w:szCs w:val="20"/>
                    <w:lang w:bidi="ar"/>
                  </w:rPr>
                </w:pPr>
                <w:r>
                  <w:rPr>
                    <w:rFonts w:hint="eastAsia"/>
                    <w:color w:val="000000"/>
                    <w:sz w:val="20"/>
                    <w:szCs w:val="20"/>
                    <w:lang w:bidi="ar"/>
                  </w:rPr>
                  <w:t>32.27%</w:t>
                </w:r>
              </w:p>
            </w:tc>
            <w:tc>
              <w:tcPr>
                <w:tcW w:w="1416" w:type="dxa"/>
                <w:vAlign w:val="center"/>
              </w:tcPr>
              <w:p w:rsidR="004E64E6" w:rsidRDefault="004E64E6" w:rsidP="00315B82">
                <w:pPr>
                  <w:jc w:val="right"/>
                  <w:rPr>
                    <w:color w:val="000000"/>
                    <w:sz w:val="20"/>
                    <w:szCs w:val="20"/>
                    <w:lang w:bidi="ar"/>
                  </w:rPr>
                </w:pPr>
                <w:r>
                  <w:rPr>
                    <w:rFonts w:hint="eastAsia"/>
                    <w:color w:val="000000"/>
                    <w:sz w:val="20"/>
                    <w:szCs w:val="20"/>
                    <w:lang w:bidi="ar"/>
                  </w:rPr>
                  <w:t>134,809.17</w:t>
                </w:r>
              </w:p>
            </w:tc>
            <w:tc>
              <w:tcPr>
                <w:tcW w:w="1316" w:type="dxa"/>
                <w:vAlign w:val="center"/>
              </w:tcPr>
              <w:p w:rsidR="004E64E6" w:rsidRDefault="004E64E6" w:rsidP="00315B82">
                <w:pPr>
                  <w:jc w:val="right"/>
                  <w:rPr>
                    <w:color w:val="000000"/>
                    <w:sz w:val="20"/>
                    <w:szCs w:val="20"/>
                    <w:lang w:bidi="ar"/>
                  </w:rPr>
                </w:pPr>
                <w:r>
                  <w:rPr>
                    <w:rFonts w:hint="eastAsia"/>
                    <w:color w:val="000000"/>
                    <w:sz w:val="20"/>
                    <w:szCs w:val="20"/>
                    <w:lang w:bidi="ar"/>
                  </w:rPr>
                  <w:t>64,948.46</w:t>
                </w:r>
              </w:p>
            </w:tc>
            <w:tc>
              <w:tcPr>
                <w:tcW w:w="1117" w:type="dxa"/>
                <w:vAlign w:val="center"/>
              </w:tcPr>
              <w:p w:rsidR="004E64E6" w:rsidRDefault="004E64E6" w:rsidP="00315B82">
                <w:pPr>
                  <w:jc w:val="right"/>
                  <w:rPr>
                    <w:color w:val="000000"/>
                    <w:sz w:val="20"/>
                    <w:szCs w:val="20"/>
                    <w:lang w:bidi="ar"/>
                  </w:rPr>
                </w:pPr>
                <w:r>
                  <w:rPr>
                    <w:rFonts w:hint="eastAsia"/>
                    <w:color w:val="000000"/>
                    <w:sz w:val="20"/>
                    <w:szCs w:val="20"/>
                    <w:lang w:bidi="ar"/>
                  </w:rPr>
                  <w:t>-3,943.95</w:t>
                </w:r>
              </w:p>
            </w:tc>
          </w:tr>
          <w:tr w:rsidR="004E64E6" w:rsidTr="00315B82">
            <w:trPr>
              <w:trHeight w:val="290"/>
            </w:trPr>
            <w:tc>
              <w:tcPr>
                <w:tcW w:w="921" w:type="pct"/>
                <w:vAlign w:val="center"/>
              </w:tcPr>
              <w:p w:rsidR="004E64E6" w:rsidRDefault="004E64E6" w:rsidP="00315B82">
                <w:pPr>
                  <w:textAlignment w:val="center"/>
                  <w:rPr>
                    <w:color w:val="000000"/>
                    <w:sz w:val="20"/>
                    <w:szCs w:val="20"/>
                    <w:lang w:bidi="ar"/>
                  </w:rPr>
                </w:pPr>
                <w:r>
                  <w:rPr>
                    <w:rFonts w:hint="eastAsia"/>
                    <w:color w:val="000000"/>
                    <w:sz w:val="20"/>
                    <w:szCs w:val="20"/>
                    <w:lang w:bidi="ar"/>
                  </w:rPr>
                  <w:t>江苏扬州农村商业银行股份有限公司</w:t>
                </w:r>
              </w:p>
            </w:tc>
            <w:tc>
              <w:tcPr>
                <w:tcW w:w="548" w:type="pct"/>
                <w:vAlign w:val="center"/>
              </w:tcPr>
              <w:p w:rsidR="004E64E6" w:rsidRDefault="004E64E6" w:rsidP="00315B82">
                <w:pPr>
                  <w:textAlignment w:val="center"/>
                  <w:rPr>
                    <w:color w:val="000000"/>
                    <w:sz w:val="20"/>
                    <w:szCs w:val="20"/>
                    <w:lang w:bidi="ar"/>
                  </w:rPr>
                </w:pPr>
                <w:r>
                  <w:rPr>
                    <w:rFonts w:hint="eastAsia"/>
                    <w:color w:val="000000"/>
                    <w:sz w:val="20"/>
                    <w:szCs w:val="20"/>
                    <w:lang w:bidi="ar"/>
                  </w:rPr>
                  <w:t>银行业务</w:t>
                </w:r>
              </w:p>
            </w:tc>
            <w:tc>
              <w:tcPr>
                <w:tcW w:w="703" w:type="pct"/>
                <w:vAlign w:val="center"/>
              </w:tcPr>
              <w:p w:rsidR="004E64E6" w:rsidRDefault="004E64E6" w:rsidP="00315B82">
                <w:pPr>
                  <w:jc w:val="right"/>
                  <w:textAlignment w:val="center"/>
                  <w:rPr>
                    <w:color w:val="000000"/>
                    <w:sz w:val="20"/>
                    <w:szCs w:val="20"/>
                    <w:lang w:bidi="ar"/>
                  </w:rPr>
                </w:pPr>
                <w:r>
                  <w:rPr>
                    <w:rFonts w:hint="eastAsia"/>
                    <w:color w:val="000000"/>
                    <w:sz w:val="20"/>
                    <w:szCs w:val="20"/>
                    <w:lang w:bidi="ar"/>
                  </w:rPr>
                  <w:t>89,115.60</w:t>
                </w:r>
              </w:p>
            </w:tc>
            <w:tc>
              <w:tcPr>
                <w:tcW w:w="698" w:type="pct"/>
                <w:vAlign w:val="center"/>
              </w:tcPr>
              <w:p w:rsidR="004E64E6" w:rsidRDefault="004E64E6" w:rsidP="00315B82">
                <w:pPr>
                  <w:jc w:val="right"/>
                  <w:textAlignment w:val="center"/>
                  <w:rPr>
                    <w:color w:val="000000"/>
                    <w:sz w:val="20"/>
                    <w:szCs w:val="20"/>
                    <w:lang w:bidi="ar"/>
                  </w:rPr>
                </w:pPr>
                <w:r>
                  <w:rPr>
                    <w:color w:val="000000"/>
                    <w:sz w:val="20"/>
                    <w:szCs w:val="20"/>
                    <w:lang w:bidi="ar"/>
                  </w:rPr>
                  <w:t>2.98</w:t>
                </w:r>
                <w:r>
                  <w:rPr>
                    <w:rFonts w:hint="eastAsia"/>
                    <w:color w:val="000000"/>
                    <w:sz w:val="20"/>
                    <w:szCs w:val="20"/>
                    <w:lang w:bidi="ar"/>
                  </w:rPr>
                  <w:t>%</w:t>
                </w:r>
              </w:p>
            </w:tc>
            <w:tc>
              <w:tcPr>
                <w:tcW w:w="782" w:type="pct"/>
                <w:vAlign w:val="center"/>
              </w:tcPr>
              <w:p w:rsidR="004E64E6" w:rsidRDefault="004E64E6" w:rsidP="00315B82">
                <w:pPr>
                  <w:jc w:val="right"/>
                  <w:textAlignment w:val="center"/>
                  <w:rPr>
                    <w:color w:val="000000"/>
                    <w:sz w:val="20"/>
                    <w:szCs w:val="20"/>
                    <w:lang w:bidi="ar"/>
                  </w:rPr>
                </w:pPr>
                <w:r>
                  <w:rPr>
                    <w:rFonts w:hint="eastAsia"/>
                    <w:color w:val="000000"/>
                    <w:sz w:val="20"/>
                    <w:szCs w:val="20"/>
                    <w:lang w:bidi="ar"/>
                  </w:rPr>
                  <w:t>6,257,826.02</w:t>
                </w:r>
              </w:p>
            </w:tc>
            <w:tc>
              <w:tcPr>
                <w:tcW w:w="727" w:type="pct"/>
                <w:vAlign w:val="center"/>
              </w:tcPr>
              <w:p w:rsidR="004E64E6" w:rsidRDefault="004E64E6" w:rsidP="00315B82">
                <w:pPr>
                  <w:jc w:val="right"/>
                  <w:textAlignment w:val="center"/>
                  <w:rPr>
                    <w:color w:val="000000"/>
                    <w:sz w:val="20"/>
                    <w:szCs w:val="20"/>
                    <w:lang w:bidi="ar"/>
                  </w:rPr>
                </w:pPr>
                <w:r>
                  <w:rPr>
                    <w:rFonts w:hint="eastAsia"/>
                    <w:color w:val="000000"/>
                    <w:sz w:val="20"/>
                    <w:szCs w:val="20"/>
                    <w:lang w:bidi="ar"/>
                  </w:rPr>
                  <w:t>379,696.36</w:t>
                </w:r>
              </w:p>
            </w:tc>
            <w:tc>
              <w:tcPr>
                <w:tcW w:w="617" w:type="pct"/>
                <w:vAlign w:val="center"/>
              </w:tcPr>
              <w:p w:rsidR="004E64E6" w:rsidRDefault="004E64E6" w:rsidP="00315B82">
                <w:pPr>
                  <w:jc w:val="right"/>
                  <w:textAlignment w:val="center"/>
                  <w:rPr>
                    <w:color w:val="000000"/>
                    <w:sz w:val="20"/>
                    <w:szCs w:val="20"/>
                    <w:lang w:bidi="ar"/>
                  </w:rPr>
                </w:pPr>
                <w:r>
                  <w:rPr>
                    <w:rFonts w:hint="eastAsia"/>
                    <w:color w:val="000000"/>
                    <w:sz w:val="20"/>
                    <w:szCs w:val="20"/>
                    <w:lang w:bidi="ar"/>
                  </w:rPr>
                  <w:t>22,334.30</w:t>
                </w:r>
              </w:p>
            </w:tc>
          </w:tr>
        </w:tbl>
        <w:p w:rsidR="000C5659" w:rsidRDefault="00220B84"/>
      </w:sdtContent>
    </w:sdt>
    <w:p w:rsidR="000C5659" w:rsidRDefault="000E33C4" w:rsidP="000743DD">
      <w:pPr>
        <w:pStyle w:val="3"/>
        <w:numPr>
          <w:ilvl w:val="0"/>
          <w:numId w:val="10"/>
        </w:numPr>
        <w:rPr>
          <w:rFonts w:ascii="宋体" w:hAnsi="宋体"/>
          <w:color w:val="000000" w:themeColor="text1"/>
        </w:rPr>
      </w:pPr>
      <w:r>
        <w:rPr>
          <w:rFonts w:ascii="宋体" w:hAnsi="宋体"/>
          <w:color w:val="000000" w:themeColor="text1"/>
        </w:rPr>
        <w:t>公司控制的结构化主体情况</w:t>
      </w:r>
    </w:p>
    <w:sdt>
      <w:sdtPr>
        <w:rPr>
          <w:rFonts w:hint="eastAsia"/>
          <w:color w:val="000000" w:themeColor="text1"/>
        </w:rPr>
        <w:alias w:val="是否适用：公司控制的结构化主体情况[双击切换]"/>
        <w:tag w:val="_GBC_6dee8f13bc9a4596ad3e5af6f90f0b8b"/>
        <w:id w:val="-180192173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2"/>
        <w:numPr>
          <w:ilvl w:val="0"/>
          <w:numId w:val="6"/>
        </w:numPr>
        <w:tabs>
          <w:tab w:val="left" w:pos="426"/>
        </w:tabs>
        <w:ind w:left="422" w:hanging="422"/>
        <w:jc w:val="left"/>
        <w:rPr>
          <w:rFonts w:ascii="宋体" w:hAnsi="宋体" w:cs="宋体"/>
          <w:color w:val="000000" w:themeColor="text1"/>
          <w:kern w:val="0"/>
          <w:szCs w:val="24"/>
        </w:rPr>
      </w:pPr>
      <w:r>
        <w:rPr>
          <w:rFonts w:ascii="宋体" w:hAnsi="宋体" w:cs="宋体" w:hint="eastAsia"/>
          <w:color w:val="000000" w:themeColor="text1"/>
          <w:kern w:val="0"/>
          <w:szCs w:val="24"/>
        </w:rPr>
        <w:t>其他披露事项</w:t>
      </w:r>
    </w:p>
    <w:p w:rsidR="000C5659" w:rsidRDefault="000E33C4" w:rsidP="000743DD">
      <w:pPr>
        <w:pStyle w:val="3"/>
        <w:numPr>
          <w:ilvl w:val="0"/>
          <w:numId w:val="15"/>
        </w:numPr>
        <w:rPr>
          <w:rFonts w:ascii="宋体" w:hAnsi="宋体"/>
          <w:color w:val="000000" w:themeColor="text1"/>
        </w:rPr>
      </w:pPr>
      <w:r>
        <w:rPr>
          <w:rFonts w:ascii="宋体" w:hAnsi="宋体"/>
          <w:color w:val="000000" w:themeColor="text1"/>
        </w:rPr>
        <w:t>可能面对的风险</w:t>
      </w:r>
    </w:p>
    <w:sdt>
      <w:sdtPr>
        <w:rPr>
          <w:rFonts w:hint="eastAsia"/>
          <w:color w:val="000000" w:themeColor="text1"/>
        </w:rPr>
        <w:alias w:val="是否适用：可能面对的风险[双击切换]"/>
        <w:tag w:val="_GBC_2a971d8ab5884d3eb5547ede4e1e17c9"/>
        <w:id w:val="8301827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公司可能面对的风险"/>
        <w:tag w:val="_GBC_6e03b01ba4f1453dbc563404b41bfdbc"/>
        <w:id w:val="336576306"/>
        <w:placeholder>
          <w:docPart w:val="GBC22222222222222222222222222222"/>
        </w:placeholder>
      </w:sdtPr>
      <w:sdtEndPr/>
      <w:sdtContent>
        <w:p w:rsidR="000C5659" w:rsidRDefault="000E33C4">
          <w:pPr>
            <w:rPr>
              <w:color w:val="000000" w:themeColor="text1"/>
            </w:rPr>
          </w:pPr>
          <w:r>
            <w:rPr>
              <w:color w:val="000000" w:themeColor="text1"/>
            </w:rPr>
            <w:t>1.</w:t>
          </w:r>
          <w:r>
            <w:rPr>
              <w:rFonts w:hint="eastAsia"/>
              <w:color w:val="000000" w:themeColor="text1"/>
            </w:rPr>
            <w:t>主要原材料价格波动的风险</w:t>
          </w:r>
        </w:p>
        <w:p w:rsidR="000C5659" w:rsidRDefault="000E33C4">
          <w:pPr>
            <w:ind w:firstLineChars="200" w:firstLine="420"/>
            <w:jc w:val="both"/>
            <w:rPr>
              <w:color w:val="000000" w:themeColor="text1"/>
            </w:rPr>
          </w:pPr>
          <w:r>
            <w:rPr>
              <w:rFonts w:hint="eastAsia"/>
              <w:color w:val="000000" w:themeColor="text1"/>
            </w:rPr>
            <w:t>公司口腔清洁护理及湿巾产品主要原材料包括刷丝、无纺布、塑料粒子、胶料、PVC/PET片材等，均属于石化产品，与国际原油价格关联性较高。原油是国际大宗原材料，价格受经济周期、国际政治形势影响明显，波动幅度较大；益生菌的生产成本包括菌种选育、发酵工艺、原材料采购等多个环节，这些环节的成本变化都会直接影响到原料的最终价格。例如，原材料价格上涨、人工成本增加、生产设备更新等都会推高生产成本，进而传导到原料价格上。若未来公司主要原材料价格上涨，将降低公司的盈利水平。</w:t>
          </w:r>
        </w:p>
        <w:p w:rsidR="000C5659" w:rsidRDefault="000E33C4">
          <w:pPr>
            <w:jc w:val="both"/>
            <w:rPr>
              <w:color w:val="000000" w:themeColor="text1"/>
            </w:rPr>
          </w:pPr>
          <w:r>
            <w:rPr>
              <w:rFonts w:hint="eastAsia"/>
              <w:color w:val="000000" w:themeColor="text1"/>
            </w:rPr>
            <w:t>2</w:t>
          </w:r>
          <w:r>
            <w:rPr>
              <w:color w:val="000000" w:themeColor="text1"/>
            </w:rPr>
            <w:t>.</w:t>
          </w:r>
          <w:r>
            <w:rPr>
              <w:rFonts w:hint="eastAsia"/>
              <w:color w:val="000000" w:themeColor="text1"/>
            </w:rPr>
            <w:t>市场竞争的风险</w:t>
          </w:r>
        </w:p>
        <w:p w:rsidR="000C5659" w:rsidRDefault="000E33C4">
          <w:pPr>
            <w:ind w:firstLineChars="200" w:firstLine="420"/>
            <w:jc w:val="both"/>
            <w:rPr>
              <w:color w:val="000000" w:themeColor="text1"/>
            </w:rPr>
          </w:pPr>
          <w:r>
            <w:rPr>
              <w:rFonts w:hint="eastAsia"/>
              <w:color w:val="000000" w:themeColor="text1"/>
            </w:rPr>
            <w:t>口腔清洁护理用品因行业门槛相对较低，生产企业大多数规模较小、产品档次和质量较低、营销能力和产品开发能力有限，而中高端市场主要被大型外资企业所占据。为了维持生存和发展，行业内企业在规模化、品牌效应及服务质量等方面展开全方位的竞争。如果公司在新产品开发、产品品质、交货时间和服务水平等方面不能持续满足客户需求，可能会面临客户资源流失、市场份额下降的风险。</w:t>
          </w:r>
        </w:p>
        <w:p w:rsidR="000C5659" w:rsidRDefault="000E33C4">
          <w:pPr>
            <w:ind w:firstLineChars="200" w:firstLine="420"/>
            <w:jc w:val="both"/>
            <w:rPr>
              <w:color w:val="000000" w:themeColor="text1"/>
            </w:rPr>
          </w:pPr>
          <w:r>
            <w:rPr>
              <w:rFonts w:hint="eastAsia"/>
              <w:color w:val="000000" w:themeColor="text1"/>
            </w:rPr>
            <w:t>益生菌原料市场主要由外资品牌如丹尼斯克和科汉森主导，这两家公司在国内市场的份额合计高达</w:t>
          </w:r>
          <w:r>
            <w:rPr>
              <w:color w:val="000000" w:themeColor="text1"/>
            </w:rPr>
            <w:t>85%左右，高度集中的市场份额使得国内益生菌企业在竞争中处于不利地位。</w:t>
          </w:r>
          <w:r>
            <w:rPr>
              <w:rFonts w:hint="eastAsia"/>
              <w:color w:val="000000" w:themeColor="text1"/>
            </w:rPr>
            <w:t>益生菌代工通常按照品牌客户的要求进行生产，利润空间受到品牌客户定价策略和成本控制的影响。中国益生菌品牌市场同质化竞争现象较为突出，许多企业的产品在功能、成分、包装等方面缺乏差异化，这种同质化竞争不仅加剧了市场竞争的激烈程度，还可能导致价格战等恶性竞争行为的出现。</w:t>
          </w:r>
        </w:p>
        <w:p w:rsidR="000C5659" w:rsidRDefault="000E33C4">
          <w:pPr>
            <w:jc w:val="both"/>
            <w:rPr>
              <w:color w:val="000000" w:themeColor="text1"/>
            </w:rPr>
          </w:pPr>
          <w:r>
            <w:rPr>
              <w:rFonts w:hint="eastAsia"/>
              <w:color w:val="000000" w:themeColor="text1"/>
            </w:rPr>
            <w:t>3</w:t>
          </w:r>
          <w:r>
            <w:rPr>
              <w:color w:val="000000" w:themeColor="text1"/>
            </w:rPr>
            <w:t>.</w:t>
          </w:r>
          <w:r>
            <w:rPr>
              <w:rFonts w:hint="eastAsia"/>
              <w:color w:val="000000" w:themeColor="text1"/>
            </w:rPr>
            <w:t>下游市场波动的风险</w:t>
          </w:r>
        </w:p>
        <w:p w:rsidR="000C5659" w:rsidRDefault="000E33C4">
          <w:pPr>
            <w:ind w:firstLine="430"/>
            <w:jc w:val="both"/>
            <w:rPr>
              <w:color w:val="000000" w:themeColor="text1"/>
            </w:rPr>
          </w:pPr>
          <w:r>
            <w:rPr>
              <w:rFonts w:hint="eastAsia"/>
              <w:color w:val="000000" w:themeColor="text1"/>
            </w:rPr>
            <w:t>益生菌原料下游客户主要为代工企业、乳制品企业、药企、功能性食品企业。益生菌下游企业的产品需求多样化、个性化需求高，导致对益生菌原料菌粉的需求多样化。益生菌下游企业产品的许多品牌在成分、功效和口感等方面相似，缺乏创新和差异化，从而给代工企业带来竞争压力，代工企业的竞争压力可能会传递给上游益生菌原料企业。</w:t>
          </w:r>
        </w:p>
        <w:p w:rsidR="000C5659" w:rsidRDefault="000E33C4">
          <w:pPr>
            <w:ind w:firstLine="430"/>
            <w:jc w:val="both"/>
            <w:rPr>
              <w:color w:val="000000" w:themeColor="text1"/>
            </w:rPr>
          </w:pPr>
          <w:r>
            <w:rPr>
              <w:rFonts w:hint="eastAsia"/>
              <w:color w:val="000000" w:themeColor="text1"/>
            </w:rPr>
            <w:t>益生菌代工下游客户主要为膳食补充剂企业、大健康企业，成品以即食型益生菌、固体饮料、压片糖果为主。消费者需求是益生菌下游市场波动的核心驱动力。随着健康意识的不断提升，消费者对益生菌产品的认知度和接受度逐渐提高，推动了市场的快速增长。然而，这种需求并非一成不变。消费者偏好的快速变化、健康理念的更新以及市场上新兴产品的不断涌现，都可能导致消费者需求发生转移。</w:t>
          </w:r>
        </w:p>
        <w:p w:rsidR="000C5659" w:rsidRDefault="000E33C4">
          <w:pPr>
            <w:jc w:val="both"/>
            <w:rPr>
              <w:color w:val="000000" w:themeColor="text1"/>
            </w:rPr>
          </w:pPr>
          <w:r>
            <w:rPr>
              <w:color w:val="000000" w:themeColor="text1"/>
            </w:rPr>
            <w:t>4.</w:t>
          </w:r>
          <w:r>
            <w:rPr>
              <w:rFonts w:hint="eastAsia"/>
              <w:color w:val="000000" w:themeColor="text1"/>
            </w:rPr>
            <w:t>海外市场的风险</w:t>
          </w:r>
        </w:p>
        <w:p w:rsidR="000C5659" w:rsidRDefault="000E33C4">
          <w:pPr>
            <w:ind w:firstLineChars="200" w:firstLine="420"/>
            <w:jc w:val="both"/>
            <w:rPr>
              <w:color w:val="000000" w:themeColor="text1"/>
            </w:rPr>
          </w:pPr>
          <w:r>
            <w:rPr>
              <w:rFonts w:hint="eastAsia"/>
              <w:color w:val="000000" w:themeColor="text1"/>
            </w:rPr>
            <w:lastRenderedPageBreak/>
            <w:t>经过多年的海外市场拓展，公司与美洲、欧洲、东南亚等地区的客户建立了良好稳定的合作关系，主要客户基本保持稳定。但如果公司在产品质量控制、交货期、产品设计等方面不能持续满足客户需求，或者公司主要出口国或地区市场出现大幅度波动，出口市场所在国家或地区的政治、经济形势、贸易政策等发生重大变化以及这些国家、地区与我国政治、外交、经济合作关系发生变化，均会对公司的经营造成不利影响。</w:t>
          </w:r>
        </w:p>
        <w:p w:rsidR="000C5659" w:rsidRDefault="000E33C4">
          <w:pPr>
            <w:jc w:val="both"/>
            <w:rPr>
              <w:color w:val="000000" w:themeColor="text1"/>
            </w:rPr>
          </w:pPr>
          <w:r>
            <w:rPr>
              <w:color w:val="000000" w:themeColor="text1"/>
            </w:rPr>
            <w:t>5.</w:t>
          </w:r>
          <w:r>
            <w:rPr>
              <w:rFonts w:hint="eastAsia"/>
              <w:color w:val="000000" w:themeColor="text1"/>
            </w:rPr>
            <w:t>汇率波动的风险和出口退税率下调的风险</w:t>
          </w:r>
        </w:p>
        <w:p w:rsidR="000C5659" w:rsidRDefault="000E33C4">
          <w:pPr>
            <w:ind w:firstLineChars="200" w:firstLine="420"/>
            <w:jc w:val="both"/>
            <w:rPr>
              <w:color w:val="000000" w:themeColor="text1"/>
            </w:rPr>
          </w:pPr>
          <w:r>
            <w:rPr>
              <w:rFonts w:hint="eastAsia"/>
              <w:color w:val="000000" w:themeColor="text1"/>
            </w:rPr>
            <w:t>外销业务中公司采取的主要结算货币为美元。人民币汇率波动直接影响到公司外销产品的销售价格，公司面临一定的汇率波动风险。公司出口产品执行国家的出口产品增值税“免、抵、退”政策，主要出口产品享受的退税率为13%，未来公司仍将大力拓展海外业务，如果国家未来下调产品的出口退税率，将对公司的外销业务造成不利影响。</w:t>
          </w:r>
        </w:p>
        <w:p w:rsidR="000C5659" w:rsidRDefault="000E33C4">
          <w:pPr>
            <w:jc w:val="both"/>
            <w:rPr>
              <w:color w:val="000000" w:themeColor="text1"/>
            </w:rPr>
          </w:pPr>
          <w:r>
            <w:rPr>
              <w:rFonts w:hint="eastAsia"/>
              <w:color w:val="000000" w:themeColor="text1"/>
            </w:rPr>
            <w:t>6</w:t>
          </w:r>
          <w:r>
            <w:rPr>
              <w:color w:val="000000" w:themeColor="text1"/>
            </w:rPr>
            <w:t>.核心技术、产品配方和核心数据等泄密的风险</w:t>
          </w:r>
        </w:p>
        <w:p w:rsidR="000C5659" w:rsidRDefault="000E33C4">
          <w:pPr>
            <w:ind w:firstLineChars="200" w:firstLine="420"/>
            <w:jc w:val="both"/>
            <w:rPr>
              <w:color w:val="000000" w:themeColor="text1"/>
            </w:rPr>
          </w:pPr>
          <w:r>
            <w:rPr>
              <w:rFonts w:hint="eastAsia"/>
              <w:color w:val="000000" w:themeColor="text1"/>
            </w:rPr>
            <w:t>经过多年的积累，善恩康已拥有较为丰富的技术成果和产品开发成果，在益生菌原料和代工等方面，截至</w:t>
          </w:r>
          <w:r>
            <w:rPr>
              <w:color w:val="000000" w:themeColor="text1"/>
            </w:rPr>
            <w:t>2024年6月30日</w:t>
          </w:r>
          <w:r>
            <w:rPr>
              <w:rFonts w:hint="eastAsia"/>
              <w:color w:val="000000" w:themeColor="text1"/>
            </w:rPr>
            <w:t>，已授权拥有与益生菌相关的</w:t>
          </w:r>
          <w:r>
            <w:rPr>
              <w:color w:val="000000" w:themeColor="text1"/>
            </w:rPr>
            <w:t>中国发明专利57项、中国实用新型专利21项</w:t>
          </w:r>
          <w:r>
            <w:rPr>
              <w:rFonts w:hint="eastAsia"/>
              <w:color w:val="000000" w:themeColor="text1"/>
            </w:rPr>
            <w:t>、</w:t>
          </w:r>
          <w:r>
            <w:rPr>
              <w:color w:val="000000" w:themeColor="text1"/>
            </w:rPr>
            <w:t>中国外观设计专利1项</w:t>
          </w:r>
          <w:r>
            <w:rPr>
              <w:rFonts w:hint="eastAsia"/>
              <w:color w:val="000000" w:themeColor="text1"/>
            </w:rPr>
            <w:t>、</w:t>
          </w:r>
          <w:r>
            <w:rPr>
              <w:color w:val="000000" w:themeColor="text1"/>
            </w:rPr>
            <w:t>中国香港发明专利6项、澳大利亚专利4项，涉及益生菌的选育、检测、功效性评价、高密度发酵、高活性高稳定菌粉制备、配方制剂等方面。核心技术泄密可能会使</w:t>
          </w:r>
          <w:r>
            <w:rPr>
              <w:rFonts w:hint="eastAsia"/>
              <w:color w:val="000000" w:themeColor="text1"/>
            </w:rPr>
            <w:t>善恩康</w:t>
          </w:r>
          <w:r>
            <w:rPr>
              <w:color w:val="000000" w:themeColor="text1"/>
            </w:rPr>
            <w:t>丧失部分技术优势，并</w:t>
          </w:r>
          <w:r>
            <w:rPr>
              <w:rFonts w:hint="eastAsia"/>
              <w:color w:val="000000" w:themeColor="text1"/>
            </w:rPr>
            <w:t>其</w:t>
          </w:r>
          <w:r>
            <w:rPr>
              <w:color w:val="000000" w:themeColor="text1"/>
            </w:rPr>
            <w:t>对造成不利影响，为此</w:t>
          </w:r>
          <w:r>
            <w:rPr>
              <w:rFonts w:hint="eastAsia"/>
              <w:color w:val="000000" w:themeColor="text1"/>
            </w:rPr>
            <w:t>善恩康</w:t>
          </w:r>
          <w:r>
            <w:rPr>
              <w:color w:val="000000" w:themeColor="text1"/>
            </w:rPr>
            <w:t>建立了知识产权保护部门和核心商业秘密监督管理部门。</w:t>
          </w:r>
        </w:p>
        <w:p w:rsidR="000C5659" w:rsidRDefault="000E33C4">
          <w:pPr>
            <w:jc w:val="both"/>
            <w:rPr>
              <w:color w:val="000000" w:themeColor="text1"/>
            </w:rPr>
          </w:pPr>
          <w:r>
            <w:rPr>
              <w:color w:val="000000" w:themeColor="text1"/>
            </w:rPr>
            <w:t>7.</w:t>
          </w:r>
          <w:r>
            <w:rPr>
              <w:rFonts w:hint="eastAsia"/>
              <w:color w:val="000000" w:themeColor="text1"/>
            </w:rPr>
            <w:t>善恩康未实现业绩承诺的风险</w:t>
          </w:r>
        </w:p>
        <w:p w:rsidR="000C5659" w:rsidRDefault="000E33C4">
          <w:pPr>
            <w:ind w:firstLineChars="200" w:firstLine="420"/>
            <w:jc w:val="both"/>
            <w:rPr>
              <w:color w:val="000000" w:themeColor="text1"/>
            </w:rPr>
          </w:pPr>
          <w:r>
            <w:rPr>
              <w:color w:val="000000" w:themeColor="text1"/>
            </w:rPr>
            <w:t>善恩康原实际控制人承诺</w:t>
          </w:r>
          <w:r>
            <w:rPr>
              <w:rFonts w:hint="eastAsia"/>
              <w:color w:val="000000" w:themeColor="text1"/>
            </w:rPr>
            <w:t>善恩康</w:t>
          </w:r>
          <w:r>
            <w:rPr>
              <w:color w:val="000000" w:themeColor="text1"/>
            </w:rPr>
            <w:t>2024年、2025年、2026年实现</w:t>
          </w:r>
          <w:r>
            <w:rPr>
              <w:rFonts w:hint="eastAsia"/>
              <w:color w:val="000000" w:themeColor="text1"/>
            </w:rPr>
            <w:t>扣除非经常性损益后的</w:t>
          </w:r>
          <w:r>
            <w:rPr>
              <w:color w:val="000000" w:themeColor="text1"/>
            </w:rPr>
            <w:t>净利润分别不低于1200万元、1800万元、3000万元</w:t>
          </w:r>
          <w:r>
            <w:rPr>
              <w:rFonts w:hint="eastAsia"/>
              <w:color w:val="000000" w:themeColor="text1"/>
            </w:rPr>
            <w:t>，</w:t>
          </w:r>
          <w:r>
            <w:rPr>
              <w:color w:val="000000" w:themeColor="text1"/>
            </w:rPr>
            <w:t>三年累计不低于6000万元</w:t>
          </w:r>
          <w:r>
            <w:rPr>
              <w:rFonts w:hint="eastAsia"/>
              <w:color w:val="000000" w:themeColor="text1"/>
            </w:rPr>
            <w:t>，</w:t>
          </w:r>
          <w:r>
            <w:rPr>
              <w:color w:val="000000" w:themeColor="text1"/>
            </w:rPr>
            <w:t>如</w:t>
          </w:r>
          <w:r>
            <w:rPr>
              <w:rFonts w:hint="eastAsia"/>
              <w:color w:val="000000" w:themeColor="text1"/>
            </w:rPr>
            <w:t>未来善恩康</w:t>
          </w:r>
          <w:r>
            <w:rPr>
              <w:color w:val="000000" w:themeColor="text1"/>
            </w:rPr>
            <w:t>未能实现前述净利润，将</w:t>
          </w:r>
          <w:r>
            <w:rPr>
              <w:rFonts w:hint="eastAsia"/>
              <w:color w:val="000000" w:themeColor="text1"/>
            </w:rPr>
            <w:t>给</w:t>
          </w:r>
          <w:r>
            <w:rPr>
              <w:color w:val="000000" w:themeColor="text1"/>
            </w:rPr>
            <w:t>公司带来一定的投资损失</w:t>
          </w:r>
          <w:r>
            <w:rPr>
              <w:rFonts w:hint="eastAsia"/>
              <w:color w:val="000000" w:themeColor="text1"/>
            </w:rPr>
            <w:t>。此外，</w:t>
          </w:r>
          <w:r>
            <w:rPr>
              <w:color w:val="000000" w:themeColor="text1"/>
            </w:rPr>
            <w:t>如未来</w:t>
          </w:r>
          <w:r>
            <w:rPr>
              <w:rFonts w:hint="eastAsia"/>
              <w:color w:val="000000" w:themeColor="text1"/>
            </w:rPr>
            <w:t>善恩康</w:t>
          </w:r>
          <w:r>
            <w:rPr>
              <w:color w:val="000000" w:themeColor="text1"/>
            </w:rPr>
            <w:t>经营业绩不达预期</w:t>
          </w:r>
          <w:r>
            <w:rPr>
              <w:rFonts w:hint="eastAsia"/>
              <w:color w:val="000000" w:themeColor="text1"/>
            </w:rPr>
            <w:t>，也</w:t>
          </w:r>
          <w:r>
            <w:rPr>
              <w:color w:val="000000" w:themeColor="text1"/>
            </w:rPr>
            <w:t>可能会造成商誉减值风险</w:t>
          </w:r>
          <w:r>
            <w:rPr>
              <w:rFonts w:hint="eastAsia"/>
              <w:color w:val="000000" w:themeColor="text1"/>
            </w:rPr>
            <w:t>。</w:t>
          </w:r>
        </w:p>
      </w:sdtContent>
    </w:sdt>
    <w:p w:rsidR="000C5659" w:rsidRDefault="000C5659">
      <w:pPr>
        <w:ind w:firstLineChars="200" w:firstLine="420"/>
        <w:jc w:val="both"/>
        <w:rPr>
          <w:color w:val="000000" w:themeColor="text1"/>
        </w:rPr>
      </w:pPr>
    </w:p>
    <w:p w:rsidR="000C5659" w:rsidRDefault="000E33C4" w:rsidP="000743DD">
      <w:pPr>
        <w:pStyle w:val="3"/>
        <w:numPr>
          <w:ilvl w:val="0"/>
          <w:numId w:val="15"/>
        </w:numPr>
        <w:rPr>
          <w:rFonts w:ascii="宋体" w:hAnsi="宋体"/>
          <w:color w:val="000000" w:themeColor="text1"/>
        </w:rPr>
      </w:pPr>
      <w:r>
        <w:rPr>
          <w:rFonts w:ascii="宋体" w:hAnsi="宋体"/>
          <w:color w:val="000000" w:themeColor="text1"/>
        </w:rPr>
        <w:t>其他披露事项</w:t>
      </w:r>
    </w:p>
    <w:sdt>
      <w:sdtPr>
        <w:rPr>
          <w:rFonts w:hint="eastAsia"/>
          <w:color w:val="000000" w:themeColor="text1"/>
        </w:rPr>
        <w:alias w:val="是否适用：董事会其他需要披露的事项[双击切换]"/>
        <w:tag w:val="_GBC_4bd5ba6bf4044aee9ecd40a0c2fc29bf"/>
        <w:id w:val="95198911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1"/>
        <w:numPr>
          <w:ilvl w:val="0"/>
          <w:numId w:val="3"/>
        </w:numPr>
        <w:rPr>
          <w:rFonts w:ascii="黑体" w:hAnsi="黑体"/>
          <w:color w:val="000000" w:themeColor="text1"/>
        </w:rPr>
      </w:pPr>
      <w:bookmarkStart w:id="44" w:name="_Toc142578258"/>
      <w:bookmarkStart w:id="45" w:name="_Toc76114275"/>
      <w:r>
        <w:rPr>
          <w:rFonts w:ascii="黑体" w:hAnsi="黑体" w:hint="eastAsia"/>
          <w:color w:val="000000" w:themeColor="text1"/>
        </w:rPr>
        <w:t>公司治理</w:t>
      </w:r>
      <w:bookmarkEnd w:id="44"/>
      <w:bookmarkEnd w:id="45"/>
    </w:p>
    <w:p w:rsidR="000C5659" w:rsidRDefault="000E33C4" w:rsidP="000743DD">
      <w:pPr>
        <w:pStyle w:val="2"/>
        <w:numPr>
          <w:ilvl w:val="0"/>
          <w:numId w:val="16"/>
        </w:numPr>
        <w:tabs>
          <w:tab w:val="left" w:pos="426"/>
        </w:tabs>
        <w:ind w:firstLineChars="0"/>
        <w:jc w:val="left"/>
        <w:rPr>
          <w:rFonts w:ascii="宋体" w:hAnsi="宋体"/>
          <w:color w:val="000000" w:themeColor="text1"/>
        </w:rPr>
      </w:pPr>
      <w:bookmarkStart w:id="46" w:name="_Hlk74646363"/>
      <w:r>
        <w:rPr>
          <w:rFonts w:ascii="宋体" w:hAnsi="宋体"/>
          <w:color w:val="000000" w:themeColor="text1"/>
        </w:rPr>
        <w:t>股东大会情况简介</w:t>
      </w: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99"/>
        <w:gridCol w:w="1686"/>
        <w:gridCol w:w="1235"/>
        <w:gridCol w:w="3737"/>
      </w:tblGrid>
      <w:tr w:rsidR="000C5659">
        <w:trPr>
          <w:trHeight w:val="165"/>
        </w:trPr>
        <w:sdt>
          <w:sdtPr>
            <w:rPr>
              <w:color w:val="000000" w:themeColor="text1"/>
            </w:rPr>
            <w:tag w:val="_PLD_22bc61a8a37f49b2b6002bda8044b00b"/>
            <w:id w:val="863551613"/>
          </w:sdtPr>
          <w:sdtEndPr/>
          <w:sdtContent>
            <w:tc>
              <w:tcPr>
                <w:tcW w:w="608" w:type="pct"/>
                <w:vAlign w:val="center"/>
              </w:tcPr>
              <w:p w:rsidR="000C5659" w:rsidRDefault="000E33C4">
                <w:pPr>
                  <w:widowControl w:val="0"/>
                  <w:jc w:val="center"/>
                  <w:rPr>
                    <w:color w:val="000000" w:themeColor="text1"/>
                  </w:rPr>
                </w:pPr>
                <w:r>
                  <w:rPr>
                    <w:color w:val="000000" w:themeColor="text1"/>
                  </w:rPr>
                  <w:t>会议届次</w:t>
                </w:r>
              </w:p>
            </w:tc>
          </w:sdtContent>
        </w:sdt>
        <w:sdt>
          <w:sdtPr>
            <w:rPr>
              <w:color w:val="000000" w:themeColor="text1"/>
            </w:rPr>
            <w:tag w:val="_PLD_4d4c6f75c14e44a5ae87874c2dde133c"/>
            <w:id w:val="-613903448"/>
          </w:sdtPr>
          <w:sdtEndPr/>
          <w:sdtContent>
            <w:tc>
              <w:tcPr>
                <w:tcW w:w="627" w:type="pct"/>
                <w:vAlign w:val="center"/>
              </w:tcPr>
              <w:p w:rsidR="000C5659" w:rsidRDefault="000E33C4">
                <w:pPr>
                  <w:widowControl w:val="0"/>
                  <w:jc w:val="center"/>
                  <w:rPr>
                    <w:color w:val="000000" w:themeColor="text1"/>
                  </w:rPr>
                </w:pPr>
                <w:r>
                  <w:rPr>
                    <w:color w:val="000000" w:themeColor="text1"/>
                  </w:rPr>
                  <w:t>召开日期</w:t>
                </w:r>
              </w:p>
            </w:tc>
          </w:sdtContent>
        </w:sdt>
        <w:sdt>
          <w:sdtPr>
            <w:rPr>
              <w:color w:val="000000" w:themeColor="text1"/>
            </w:rPr>
            <w:tag w:val="_PLD_63dde22e2e0a412986c86439c3ed05c3"/>
            <w:id w:val="-181973117"/>
          </w:sdtPr>
          <w:sdtEndPr/>
          <w:sdtContent>
            <w:tc>
              <w:tcPr>
                <w:tcW w:w="940" w:type="pct"/>
                <w:vAlign w:val="center"/>
              </w:tcPr>
              <w:p w:rsidR="000C5659" w:rsidRDefault="000E33C4">
                <w:pPr>
                  <w:widowControl w:val="0"/>
                  <w:jc w:val="center"/>
                  <w:rPr>
                    <w:color w:val="000000" w:themeColor="text1"/>
                  </w:rPr>
                </w:pPr>
                <w:r>
                  <w:rPr>
                    <w:color w:val="000000" w:themeColor="text1"/>
                  </w:rPr>
                  <w:t>决议刊登的指定网站的查询索引</w:t>
                </w:r>
              </w:p>
            </w:tc>
          </w:sdtContent>
        </w:sdt>
        <w:sdt>
          <w:sdtPr>
            <w:rPr>
              <w:color w:val="000000" w:themeColor="text1"/>
            </w:rPr>
            <w:tag w:val="_PLD_68e4d17d74f541f9b1d7075bcbb5b6c5"/>
            <w:id w:val="-1357420946"/>
          </w:sdtPr>
          <w:sdtEndPr/>
          <w:sdtContent>
            <w:tc>
              <w:tcPr>
                <w:tcW w:w="704" w:type="pct"/>
                <w:vAlign w:val="center"/>
              </w:tcPr>
              <w:p w:rsidR="000C5659" w:rsidRDefault="000E33C4">
                <w:pPr>
                  <w:widowControl w:val="0"/>
                  <w:jc w:val="center"/>
                  <w:rPr>
                    <w:color w:val="000000" w:themeColor="text1"/>
                  </w:rPr>
                </w:pPr>
                <w:r>
                  <w:rPr>
                    <w:color w:val="000000" w:themeColor="text1"/>
                  </w:rPr>
                  <w:t>决议刊登的披露日期</w:t>
                </w:r>
              </w:p>
            </w:tc>
          </w:sdtContent>
        </w:sdt>
        <w:tc>
          <w:tcPr>
            <w:tcW w:w="2121" w:type="pct"/>
            <w:vAlign w:val="center"/>
          </w:tcPr>
          <w:sdt>
            <w:sdtPr>
              <w:rPr>
                <w:rFonts w:hint="eastAsia"/>
                <w:color w:val="000000" w:themeColor="text1"/>
              </w:rPr>
              <w:tag w:val="_PLD_d7d78aa5be2349bcb77c83b55ac046e4"/>
              <w:id w:val="-771548850"/>
            </w:sdtPr>
            <w:sdtEndPr/>
            <w:sdtContent>
              <w:p w:rsidR="000C5659" w:rsidRDefault="000E33C4">
                <w:pPr>
                  <w:widowControl w:val="0"/>
                  <w:jc w:val="center"/>
                  <w:rPr>
                    <w:color w:val="000000" w:themeColor="text1"/>
                  </w:rPr>
                </w:pPr>
                <w:r>
                  <w:rPr>
                    <w:rFonts w:hint="eastAsia"/>
                    <w:color w:val="000000" w:themeColor="text1"/>
                  </w:rPr>
                  <w:t>会议决议</w:t>
                </w:r>
              </w:p>
            </w:sdtContent>
          </w:sdt>
        </w:tc>
      </w:tr>
      <w:tr w:rsidR="000C5659">
        <w:trPr>
          <w:trHeight w:val="195"/>
        </w:trPr>
        <w:tc>
          <w:tcPr>
            <w:tcW w:w="608" w:type="pct"/>
          </w:tcPr>
          <w:p w:rsidR="000C5659" w:rsidRDefault="000E33C4">
            <w:pPr>
              <w:widowControl w:val="0"/>
              <w:jc w:val="both"/>
            </w:pPr>
            <w:r>
              <w:t>2023年年度股东大会</w:t>
            </w:r>
          </w:p>
        </w:tc>
        <w:tc>
          <w:tcPr>
            <w:tcW w:w="627" w:type="pct"/>
          </w:tcPr>
          <w:p w:rsidR="000C5659" w:rsidRDefault="000E33C4">
            <w:pPr>
              <w:widowControl w:val="0"/>
              <w:jc w:val="both"/>
            </w:pPr>
            <w:r>
              <w:rPr>
                <w:rFonts w:hint="eastAsia"/>
              </w:rPr>
              <w:t>2</w:t>
            </w:r>
            <w:r>
              <w:t>024</w:t>
            </w:r>
            <w:r>
              <w:rPr>
                <w:rFonts w:hint="eastAsia"/>
              </w:rPr>
              <w:t>年5月2</w:t>
            </w:r>
            <w:r>
              <w:t>2</w:t>
            </w:r>
            <w:r>
              <w:rPr>
                <w:rFonts w:hint="eastAsia"/>
              </w:rPr>
              <w:t>日</w:t>
            </w:r>
          </w:p>
        </w:tc>
        <w:tc>
          <w:tcPr>
            <w:tcW w:w="940" w:type="pct"/>
          </w:tcPr>
          <w:p w:rsidR="000C5659" w:rsidRDefault="000E33C4">
            <w:pPr>
              <w:widowControl w:val="0"/>
              <w:jc w:val="both"/>
            </w:pPr>
            <w:r>
              <w:t>www.sse.com.cn</w:t>
            </w:r>
          </w:p>
        </w:tc>
        <w:tc>
          <w:tcPr>
            <w:tcW w:w="704" w:type="pct"/>
          </w:tcPr>
          <w:p w:rsidR="000C5659" w:rsidRDefault="000E33C4">
            <w:pPr>
              <w:widowControl w:val="0"/>
              <w:jc w:val="both"/>
            </w:pPr>
            <w:r>
              <w:t>2024</w:t>
            </w:r>
            <w:r>
              <w:rPr>
                <w:rFonts w:hint="eastAsia"/>
              </w:rPr>
              <w:t>年5月2</w:t>
            </w:r>
            <w:r>
              <w:t>3</w:t>
            </w:r>
            <w:r>
              <w:rPr>
                <w:rFonts w:hint="eastAsia"/>
              </w:rPr>
              <w:t>日</w:t>
            </w:r>
          </w:p>
        </w:tc>
        <w:tc>
          <w:tcPr>
            <w:tcW w:w="2121" w:type="pct"/>
          </w:tcPr>
          <w:p w:rsidR="000C5659" w:rsidRDefault="000E33C4">
            <w:pPr>
              <w:widowControl w:val="0"/>
              <w:jc w:val="both"/>
            </w:pPr>
            <w:r>
              <w:rPr>
                <w:rFonts w:hint="eastAsia"/>
              </w:rPr>
              <w:t>审议通过《倍加洁</w:t>
            </w:r>
            <w:r>
              <w:t>2023年度董事会工作报告》等议案</w:t>
            </w:r>
            <w:r>
              <w:rPr>
                <w:rFonts w:hint="eastAsia"/>
              </w:rPr>
              <w:t>，详见公司于上海证券交易所网站刊登的《倍加洁集团股份有限公司</w:t>
            </w:r>
            <w:r>
              <w:t>2023年年度股东大会决议公告》</w:t>
            </w:r>
          </w:p>
        </w:tc>
      </w:tr>
    </w:tbl>
    <w:p w:rsidR="000C5659" w:rsidRDefault="000C5659">
      <w:pPr>
        <w:rPr>
          <w:color w:val="000000" w:themeColor="text1"/>
        </w:rPr>
      </w:pPr>
    </w:p>
    <w:p w:rsidR="000C5659" w:rsidRDefault="000E33C4">
      <w:pPr>
        <w:rPr>
          <w:b/>
          <w:color w:val="000000" w:themeColor="text1"/>
        </w:rPr>
      </w:pPr>
      <w:bookmarkStart w:id="47" w:name="_Hlk41294309"/>
      <w:bookmarkEnd w:id="46"/>
      <w:r>
        <w:rPr>
          <w:rFonts w:hint="eastAsia"/>
          <w:b/>
          <w:color w:val="000000" w:themeColor="text1"/>
        </w:rPr>
        <w:t>表决权恢复的优先股股东请求召开临时股东大会</w:t>
      </w:r>
    </w:p>
    <w:sdt>
      <w:sdtPr>
        <w:rPr>
          <w:color w:val="000000" w:themeColor="text1"/>
        </w:rPr>
        <w:alias w:val="是否适用：表决权恢复的优先股股东请求召开临时股东大会[双击切换]"/>
        <w:tag w:val="_GBC_07c9bc8db9ab4498ac0bfac48beddedc"/>
        <w:id w:val="60723843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7"/>
    <w:p w:rsidR="000C5659" w:rsidRDefault="000C5659">
      <w:pPr>
        <w:rPr>
          <w:color w:val="000000" w:themeColor="text1"/>
        </w:rPr>
      </w:pPr>
    </w:p>
    <w:p w:rsidR="000C5659" w:rsidRDefault="000E33C4">
      <w:pPr>
        <w:rPr>
          <w:color w:val="000000" w:themeColor="text1"/>
        </w:rPr>
      </w:pPr>
      <w:r>
        <w:rPr>
          <w:rFonts w:hint="eastAsia"/>
          <w:color w:val="000000" w:themeColor="text1"/>
        </w:rPr>
        <w:t>股东大会情况说明</w:t>
      </w:r>
    </w:p>
    <w:sdt>
      <w:sdtPr>
        <w:rPr>
          <w:rFonts w:hint="eastAsia"/>
          <w:color w:val="000000" w:themeColor="text1"/>
        </w:rPr>
        <w:alias w:val="是否适用：股东大会情况说明[双击切换]"/>
        <w:tag w:val="_GBC_bc06fc78c35044b0a848192606e2a5ad"/>
        <w:id w:val="-24172663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16"/>
        </w:numPr>
        <w:tabs>
          <w:tab w:val="left" w:pos="426"/>
        </w:tabs>
        <w:ind w:left="422" w:hanging="422"/>
        <w:jc w:val="left"/>
        <w:rPr>
          <w:rFonts w:ascii="宋体" w:hAnsi="宋体"/>
          <w:color w:val="000000" w:themeColor="text1"/>
        </w:rPr>
      </w:pPr>
      <w:bookmarkStart w:id="48" w:name="_Toc342057949"/>
      <w:bookmarkStart w:id="49" w:name="_Toc342566009"/>
      <w:r>
        <w:rPr>
          <w:rFonts w:ascii="宋体" w:hAnsi="宋体" w:hint="eastAsia"/>
          <w:color w:val="000000" w:themeColor="text1"/>
        </w:rPr>
        <w:t>公司董事、监事、高级管理人员变动情况</w:t>
      </w:r>
      <w:bookmarkEnd w:id="48"/>
      <w:bookmarkEnd w:id="49"/>
    </w:p>
    <w:sdt>
      <w:sdtPr>
        <w:rPr>
          <w:color w:val="000000" w:themeColor="text1"/>
        </w:rPr>
        <w:alias w:val="是否适用：公司董事、监事、高级管理人员变动情况[双击切换]"/>
        <w:tag w:val="_GBC_001d837207464f1aaa52a7fb8cd9d226"/>
        <w:id w:val="16009903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公司董事、监事、高级管理人员变动的情况说明</w:t>
      </w:r>
    </w:p>
    <w:sdt>
      <w:sdtPr>
        <w:rPr>
          <w:rFonts w:hint="eastAsia"/>
          <w:color w:val="000000" w:themeColor="text1"/>
        </w:rPr>
        <w:alias w:val="是否适用：公司董事、监事、高级管理人员变动的情况说明 [双击切换]"/>
        <w:tag w:val="_GBC_1eda708e71a542fa89f6ad1bb8abbf70"/>
        <w:id w:val="-158768497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16"/>
        </w:numPr>
        <w:tabs>
          <w:tab w:val="left" w:pos="426"/>
        </w:tabs>
        <w:ind w:left="422" w:hanging="422"/>
        <w:jc w:val="left"/>
        <w:rPr>
          <w:rFonts w:ascii="宋体" w:hAnsi="宋体"/>
          <w:color w:val="000000" w:themeColor="text1"/>
        </w:rPr>
      </w:pPr>
      <w:r>
        <w:rPr>
          <w:rFonts w:ascii="宋体" w:hAnsi="宋体"/>
          <w:color w:val="000000" w:themeColor="text1"/>
        </w:rPr>
        <w:lastRenderedPageBreak/>
        <w:t>利润分配或资本公积金转增预案</w:t>
      </w:r>
    </w:p>
    <w:p w:rsidR="000C5659" w:rsidRDefault="000E33C4">
      <w:pPr>
        <w:rPr>
          <w:b/>
          <w:bCs/>
          <w:color w:val="000000" w:themeColor="text1"/>
        </w:rPr>
      </w:pPr>
      <w:r>
        <w:rPr>
          <w:b/>
          <w:color w:val="000000" w:themeColor="text1"/>
        </w:rPr>
        <w:t>半年度拟定的利润分配预案、公积金转增股本预案</w:t>
      </w:r>
    </w:p>
    <w:tbl>
      <w:tblPr>
        <w:tblStyle w:val="aff2"/>
        <w:tblW w:w="0" w:type="auto"/>
        <w:tblLook w:val="04A0" w:firstRow="1" w:lastRow="0" w:firstColumn="1" w:lastColumn="0" w:noHBand="0" w:noVBand="1"/>
      </w:tblPr>
      <w:tblGrid>
        <w:gridCol w:w="4418"/>
        <w:gridCol w:w="4405"/>
      </w:tblGrid>
      <w:tr w:rsidR="000C5659">
        <w:sdt>
          <w:sdtPr>
            <w:rPr>
              <w:rFonts w:ascii="Times New Roman" w:hAnsi="Times New Roman"/>
              <w:color w:val="000000" w:themeColor="text1"/>
            </w:rPr>
            <w:tag w:val="_PLD_dee68179c02c4ccc8a9b8d7e3f70f2c6"/>
            <w:id w:val="-1307547904"/>
          </w:sdtPr>
          <w:sdtEndPr/>
          <w:sdtContent>
            <w:tc>
              <w:tcPr>
                <w:tcW w:w="4524" w:type="dxa"/>
              </w:tcPr>
              <w:p w:rsidR="000C5659" w:rsidRDefault="000E33C4">
                <w:pPr>
                  <w:rPr>
                    <w:rFonts w:ascii="Times New Roman" w:hAnsi="Times New Roman"/>
                    <w:color w:val="000000" w:themeColor="text1"/>
                  </w:rPr>
                </w:pPr>
                <w:r>
                  <w:rPr>
                    <w:rFonts w:ascii="Times New Roman" w:hAnsi="Times New Roman"/>
                    <w:color w:val="000000" w:themeColor="text1"/>
                  </w:rPr>
                  <w:t>是否分配或转增</w:t>
                </w:r>
              </w:p>
            </w:tc>
          </w:sdtContent>
        </w:sdt>
        <w:sdt>
          <w:sdtPr>
            <w:rPr>
              <w:rFonts w:ascii="Times New Roman" w:hAnsi="Times New Roman" w:hint="eastAsia"/>
              <w:color w:val="000000" w:themeColor="text1"/>
            </w:rPr>
            <w:alias w:val="是否分配或转增"/>
            <w:tag w:val="_GBC_1aa3bb539f35454da0536200efcc4f60"/>
            <w:id w:val="-944074028"/>
            <w:comboBox>
              <w:listItem w:displayText="是" w:value="true"/>
              <w:listItem w:displayText="否" w:value="false"/>
            </w:comboBox>
          </w:sdtPr>
          <w:sdtEndPr/>
          <w:sdtContent>
            <w:tc>
              <w:tcPr>
                <w:tcW w:w="4524" w:type="dxa"/>
              </w:tcPr>
              <w:p w:rsidR="000C5659" w:rsidRDefault="00B708C8">
                <w:pPr>
                  <w:rPr>
                    <w:rFonts w:ascii="Times New Roman" w:hAnsi="Times New Roman"/>
                    <w:color w:val="000000" w:themeColor="text1"/>
                  </w:rPr>
                </w:pPr>
                <w:r>
                  <w:rPr>
                    <w:rFonts w:ascii="Times New Roman" w:hAnsi="Times New Roman" w:hint="eastAsia"/>
                    <w:color w:val="000000" w:themeColor="text1"/>
                  </w:rPr>
                  <w:t>否</w:t>
                </w:r>
              </w:p>
            </w:tc>
          </w:sdtContent>
        </w:sdt>
      </w:tr>
      <w:tr w:rsidR="000C5659">
        <w:tc>
          <w:tcPr>
            <w:tcW w:w="4524" w:type="dxa"/>
          </w:tcPr>
          <w:p w:rsidR="000C5659" w:rsidRDefault="000E33C4">
            <w:pPr>
              <w:rPr>
                <w:rFonts w:ascii="Times New Roman" w:hAnsi="Times New Roman"/>
                <w:color w:val="000000" w:themeColor="text1"/>
              </w:rPr>
            </w:pPr>
            <w:r>
              <w:rPr>
                <w:rFonts w:ascii="Times New Roman" w:hAnsi="Times New Roman"/>
                <w:color w:val="000000" w:themeColor="text1"/>
              </w:rPr>
              <w:t>每</w:t>
            </w:r>
            <w:r>
              <w:rPr>
                <w:rFonts w:ascii="Times New Roman" w:hAnsi="Times New Roman"/>
                <w:color w:val="000000" w:themeColor="text1"/>
              </w:rPr>
              <w:t>10</w:t>
            </w:r>
            <w:r>
              <w:rPr>
                <w:rFonts w:ascii="Times New Roman" w:hAnsi="Times New Roman"/>
                <w:color w:val="000000" w:themeColor="text1"/>
              </w:rPr>
              <w:t>股送红股数（股）</w:t>
            </w:r>
          </w:p>
        </w:tc>
        <w:tc>
          <w:tcPr>
            <w:tcW w:w="4524" w:type="dxa"/>
          </w:tcPr>
          <w:p w:rsidR="000C5659" w:rsidRDefault="000E33C4">
            <w:pPr>
              <w:jc w:val="right"/>
              <w:rPr>
                <w:rFonts w:ascii="Times New Roman" w:hAnsi="Times New Roman"/>
              </w:rPr>
            </w:pPr>
            <w:r>
              <w:rPr>
                <w:rFonts w:ascii="Times New Roman" w:hAnsi="Times New Roman" w:hint="eastAsia"/>
              </w:rPr>
              <w:t>0</w:t>
            </w:r>
          </w:p>
        </w:tc>
      </w:tr>
      <w:tr w:rsidR="000C5659">
        <w:tc>
          <w:tcPr>
            <w:tcW w:w="4524" w:type="dxa"/>
          </w:tcPr>
          <w:p w:rsidR="000C5659" w:rsidRDefault="000E33C4">
            <w:pPr>
              <w:rPr>
                <w:rFonts w:ascii="Times New Roman" w:hAnsi="Times New Roman"/>
                <w:color w:val="000000" w:themeColor="text1"/>
              </w:rPr>
            </w:pPr>
            <w:r>
              <w:rPr>
                <w:rFonts w:ascii="Times New Roman" w:hAnsi="Times New Roman"/>
                <w:color w:val="000000" w:themeColor="text1"/>
              </w:rPr>
              <w:t>每</w:t>
            </w:r>
            <w:r>
              <w:rPr>
                <w:rFonts w:ascii="Times New Roman" w:hAnsi="Times New Roman"/>
                <w:color w:val="000000" w:themeColor="text1"/>
              </w:rPr>
              <w:t>10</w:t>
            </w:r>
            <w:r>
              <w:rPr>
                <w:rFonts w:ascii="Times New Roman" w:hAnsi="Times New Roman"/>
                <w:color w:val="000000" w:themeColor="text1"/>
              </w:rPr>
              <w:t>股派息数</w:t>
            </w:r>
            <w:r>
              <w:rPr>
                <w:rFonts w:ascii="Times New Roman" w:hAnsi="Times New Roman"/>
                <w:color w:val="000000" w:themeColor="text1"/>
              </w:rPr>
              <w:t>(</w:t>
            </w:r>
            <w:r>
              <w:rPr>
                <w:rFonts w:ascii="Times New Roman" w:hAnsi="Times New Roman"/>
                <w:color w:val="000000" w:themeColor="text1"/>
              </w:rPr>
              <w:t>元</w:t>
            </w:r>
            <w:r>
              <w:rPr>
                <w:rFonts w:ascii="Times New Roman" w:hAnsi="Times New Roman"/>
                <w:color w:val="000000" w:themeColor="text1"/>
              </w:rPr>
              <w:t>)</w:t>
            </w:r>
            <w:r>
              <w:rPr>
                <w:rFonts w:ascii="Times New Roman" w:hAnsi="Times New Roman"/>
                <w:color w:val="000000" w:themeColor="text1"/>
              </w:rPr>
              <w:t>（含税）</w:t>
            </w:r>
          </w:p>
        </w:tc>
        <w:tc>
          <w:tcPr>
            <w:tcW w:w="4524" w:type="dxa"/>
          </w:tcPr>
          <w:p w:rsidR="000C5659" w:rsidRDefault="000E33C4">
            <w:pPr>
              <w:jc w:val="right"/>
              <w:rPr>
                <w:rFonts w:ascii="Times New Roman" w:hAnsi="Times New Roman"/>
              </w:rPr>
            </w:pPr>
            <w:r>
              <w:rPr>
                <w:rFonts w:ascii="Times New Roman" w:hAnsi="Times New Roman" w:hint="eastAsia"/>
              </w:rPr>
              <w:t>0</w:t>
            </w:r>
          </w:p>
        </w:tc>
      </w:tr>
      <w:tr w:rsidR="000C5659">
        <w:tc>
          <w:tcPr>
            <w:tcW w:w="4524" w:type="dxa"/>
          </w:tcPr>
          <w:p w:rsidR="000C5659" w:rsidRDefault="000E33C4">
            <w:pPr>
              <w:rPr>
                <w:rFonts w:ascii="Times New Roman" w:hAnsi="Times New Roman"/>
                <w:color w:val="000000" w:themeColor="text1"/>
              </w:rPr>
            </w:pPr>
            <w:r>
              <w:rPr>
                <w:rFonts w:ascii="Times New Roman" w:hAnsi="Times New Roman"/>
                <w:color w:val="000000" w:themeColor="text1"/>
              </w:rPr>
              <w:t>每</w:t>
            </w:r>
            <w:r>
              <w:rPr>
                <w:rFonts w:ascii="Times New Roman" w:hAnsi="Times New Roman"/>
                <w:color w:val="000000" w:themeColor="text1"/>
              </w:rPr>
              <w:t>10</w:t>
            </w:r>
            <w:r>
              <w:rPr>
                <w:rFonts w:ascii="Times New Roman" w:hAnsi="Times New Roman"/>
                <w:color w:val="000000" w:themeColor="text1"/>
              </w:rPr>
              <w:t>股转增数（股）</w:t>
            </w:r>
          </w:p>
        </w:tc>
        <w:tc>
          <w:tcPr>
            <w:tcW w:w="4524" w:type="dxa"/>
          </w:tcPr>
          <w:p w:rsidR="000C5659" w:rsidRDefault="000E33C4">
            <w:pPr>
              <w:jc w:val="right"/>
              <w:rPr>
                <w:rFonts w:ascii="Times New Roman" w:hAnsi="Times New Roman"/>
              </w:rPr>
            </w:pPr>
            <w:r>
              <w:rPr>
                <w:rFonts w:ascii="Times New Roman" w:hAnsi="Times New Roman" w:hint="eastAsia"/>
              </w:rPr>
              <w:t>0</w:t>
            </w:r>
          </w:p>
        </w:tc>
      </w:tr>
      <w:tr w:rsidR="000C5659">
        <w:sdt>
          <w:sdtPr>
            <w:rPr>
              <w:rFonts w:ascii="Times New Roman" w:hAnsi="Times New Roman"/>
              <w:color w:val="000000" w:themeColor="text1"/>
            </w:rPr>
            <w:tag w:val="_PLD_6f4b1db2793f4d00b5b11589fa8a57fc"/>
            <w:id w:val="457464376"/>
          </w:sdtPr>
          <w:sdtEndPr/>
          <w:sdtContent>
            <w:tc>
              <w:tcPr>
                <w:tcW w:w="9048" w:type="dxa"/>
                <w:gridSpan w:val="2"/>
              </w:tcPr>
              <w:p w:rsidR="000C5659" w:rsidRDefault="000E33C4">
                <w:pPr>
                  <w:jc w:val="center"/>
                  <w:rPr>
                    <w:rFonts w:ascii="Times New Roman" w:hAnsi="Times New Roman"/>
                    <w:color w:val="000000" w:themeColor="text1"/>
                  </w:rPr>
                </w:pPr>
                <w:r>
                  <w:rPr>
                    <w:rFonts w:ascii="Times New Roman" w:hAnsi="Times New Roman"/>
                    <w:color w:val="000000" w:themeColor="text1"/>
                  </w:rPr>
                  <w:t>利润分配或资本公积金转增预案的相关情况说明</w:t>
                </w:r>
              </w:p>
            </w:tc>
          </w:sdtContent>
        </w:sdt>
      </w:tr>
      <w:tr w:rsidR="000C5659">
        <w:tc>
          <w:tcPr>
            <w:tcW w:w="9048" w:type="dxa"/>
            <w:gridSpan w:val="2"/>
          </w:tcPr>
          <w:p w:rsidR="000C5659" w:rsidRDefault="000E33C4">
            <w:pPr>
              <w:rPr>
                <w:rFonts w:ascii="Times New Roman" w:hAnsi="Times New Roman"/>
                <w:color w:val="000000" w:themeColor="text1"/>
              </w:rPr>
            </w:pPr>
            <w:r>
              <w:rPr>
                <w:rFonts w:ascii="Times New Roman" w:hAnsi="Times New Roman" w:hint="eastAsia"/>
                <w:color w:val="000000" w:themeColor="text1"/>
              </w:rPr>
              <w:t>不适用</w:t>
            </w:r>
          </w:p>
        </w:tc>
      </w:tr>
    </w:tbl>
    <w:p w:rsidR="000C5659" w:rsidRDefault="000C5659">
      <w:pPr>
        <w:rPr>
          <w:color w:val="000000" w:themeColor="text1"/>
        </w:rPr>
      </w:pPr>
    </w:p>
    <w:p w:rsidR="000C5659" w:rsidRDefault="000E33C4" w:rsidP="000743DD">
      <w:pPr>
        <w:pStyle w:val="2"/>
        <w:numPr>
          <w:ilvl w:val="0"/>
          <w:numId w:val="16"/>
        </w:numPr>
        <w:tabs>
          <w:tab w:val="left" w:pos="426"/>
        </w:tabs>
        <w:ind w:left="422" w:hanging="422"/>
        <w:jc w:val="left"/>
        <w:rPr>
          <w:rFonts w:ascii="宋体" w:hAnsi="宋体"/>
          <w:color w:val="000000" w:themeColor="text1"/>
        </w:rPr>
      </w:pPr>
      <w:r>
        <w:rPr>
          <w:rFonts w:ascii="宋体" w:hAnsi="宋体" w:hint="eastAsia"/>
          <w:color w:val="000000" w:themeColor="text1"/>
        </w:rPr>
        <w:t>公司股权激励计划、员工持股计划或其他员工激励措施的情况及其影响</w:t>
      </w:r>
    </w:p>
    <w:p w:rsidR="000C5659" w:rsidRDefault="000E33C4" w:rsidP="000743DD">
      <w:pPr>
        <w:pStyle w:val="3"/>
        <w:numPr>
          <w:ilvl w:val="1"/>
          <w:numId w:val="17"/>
        </w:numPr>
        <w:rPr>
          <w:rFonts w:ascii="宋体" w:hAnsi="宋体"/>
          <w:color w:val="000000" w:themeColor="text1"/>
          <w:kern w:val="44"/>
        </w:rPr>
      </w:pPr>
      <w:bookmarkStart w:id="50" w:name="_Hlk74641818"/>
      <w:r>
        <w:rPr>
          <w:rFonts w:ascii="宋体" w:hAnsi="宋体" w:hint="eastAsia"/>
          <w:color w:val="000000" w:themeColor="text1"/>
          <w:kern w:val="44"/>
        </w:rPr>
        <w:t>相关股权激励事项已在临时公告披露且后续实施无进展或变化的</w:t>
      </w:r>
    </w:p>
    <w:sdt>
      <w:sdtPr>
        <w:rPr>
          <w:color w:val="000000" w:themeColor="text1"/>
        </w:rPr>
        <w:alias w:val="是否适用：相关激励事项已在临时公告披露且后续实施无进展或变化的[双击切换]"/>
        <w:tag w:val="_GBC_3c43a5cea9ef47daa40f133532dcd63c"/>
        <w:id w:val="188999630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6921"/>
      </w:tblGrid>
      <w:tr w:rsidR="000C5659">
        <w:sdt>
          <w:sdtPr>
            <w:rPr>
              <w:color w:val="000000" w:themeColor="text1"/>
            </w:rPr>
            <w:tag w:val="_PLD_ef812a0a3e304bed86eb0a29278eb98f"/>
            <w:id w:val="1732035020"/>
          </w:sdtPr>
          <w:sdtEndPr/>
          <w:sdtContent>
            <w:tc>
              <w:tcPr>
                <w:tcW w:w="1078" w:type="pct"/>
                <w:shd w:val="clear" w:color="auto" w:fill="auto"/>
              </w:tcPr>
              <w:p w:rsidR="000C5659" w:rsidRDefault="000E33C4">
                <w:pPr>
                  <w:jc w:val="center"/>
                  <w:rPr>
                    <w:bCs/>
                    <w:color w:val="000000" w:themeColor="text1"/>
                    <w:kern w:val="44"/>
                  </w:rPr>
                </w:pPr>
                <w:r>
                  <w:rPr>
                    <w:rFonts w:hint="eastAsia"/>
                    <w:color w:val="000000" w:themeColor="text1"/>
                    <w:kern w:val="44"/>
                  </w:rPr>
                  <w:t>事项概述</w:t>
                </w:r>
              </w:p>
            </w:tc>
          </w:sdtContent>
        </w:sdt>
        <w:sdt>
          <w:sdtPr>
            <w:rPr>
              <w:color w:val="000000" w:themeColor="text1"/>
            </w:rPr>
            <w:tag w:val="_PLD_765d129d92594e59b6a30bc92f2cc4f2"/>
            <w:id w:val="293876314"/>
          </w:sdtPr>
          <w:sdtEndPr/>
          <w:sdtContent>
            <w:tc>
              <w:tcPr>
                <w:tcW w:w="3922" w:type="pct"/>
                <w:shd w:val="clear" w:color="auto" w:fill="auto"/>
              </w:tcPr>
              <w:p w:rsidR="000C5659" w:rsidRDefault="000E33C4">
                <w:pPr>
                  <w:jc w:val="center"/>
                  <w:rPr>
                    <w:bCs/>
                    <w:color w:val="000000" w:themeColor="text1"/>
                    <w:kern w:val="44"/>
                  </w:rPr>
                </w:pPr>
                <w:r>
                  <w:rPr>
                    <w:rFonts w:hint="eastAsia"/>
                    <w:color w:val="000000" w:themeColor="text1"/>
                    <w:kern w:val="44"/>
                  </w:rPr>
                  <w:t>查询索引</w:t>
                </w:r>
              </w:p>
            </w:tc>
          </w:sdtContent>
        </w:sdt>
      </w:tr>
      <w:tr w:rsidR="000C5659">
        <w:tc>
          <w:tcPr>
            <w:tcW w:w="1078" w:type="pct"/>
            <w:shd w:val="clear" w:color="auto" w:fill="auto"/>
          </w:tcPr>
          <w:p w:rsidR="000C5659" w:rsidRDefault="000E33C4">
            <w:pPr>
              <w:rPr>
                <w:bCs/>
                <w:kern w:val="44"/>
              </w:rPr>
            </w:pPr>
            <w:r>
              <w:rPr>
                <w:bCs/>
                <w:kern w:val="44"/>
              </w:rPr>
              <w:t>2023</w:t>
            </w:r>
            <w:r>
              <w:rPr>
                <w:rFonts w:hint="eastAsia"/>
                <w:bCs/>
                <w:kern w:val="44"/>
              </w:rPr>
              <w:t>年第四季度自主行权结果</w:t>
            </w:r>
          </w:p>
        </w:tc>
        <w:tc>
          <w:tcPr>
            <w:tcW w:w="3922" w:type="pct"/>
            <w:shd w:val="clear" w:color="auto" w:fill="auto"/>
          </w:tcPr>
          <w:p w:rsidR="000C5659" w:rsidRDefault="000E33C4">
            <w:pPr>
              <w:rPr>
                <w:bCs/>
                <w:kern w:val="44"/>
              </w:rPr>
            </w:pPr>
            <w:r>
              <w:rPr>
                <w:rFonts w:hint="eastAsia"/>
                <w:bCs/>
                <w:kern w:val="44"/>
              </w:rPr>
              <w:t>详见2</w:t>
            </w:r>
            <w:r>
              <w:rPr>
                <w:bCs/>
                <w:kern w:val="44"/>
              </w:rPr>
              <w:t>024</w:t>
            </w:r>
            <w:r>
              <w:rPr>
                <w:rFonts w:hint="eastAsia"/>
                <w:bCs/>
                <w:kern w:val="44"/>
              </w:rPr>
              <w:t>年1月3日刊登于上海证券交易所网站的《关于</w:t>
            </w:r>
            <w:r>
              <w:rPr>
                <w:bCs/>
                <w:kern w:val="44"/>
              </w:rPr>
              <w:t>2021年股票期权激励计划2023年第</w:t>
            </w:r>
            <w:r>
              <w:rPr>
                <w:rFonts w:hint="eastAsia"/>
                <w:bCs/>
                <w:kern w:val="44"/>
              </w:rPr>
              <w:t>四</w:t>
            </w:r>
            <w:r>
              <w:rPr>
                <w:bCs/>
                <w:kern w:val="44"/>
              </w:rPr>
              <w:t>季度自主行权结果暨股份上市公告》（公告编号2024-001）</w:t>
            </w:r>
          </w:p>
        </w:tc>
      </w:tr>
      <w:tr w:rsidR="000C5659">
        <w:tc>
          <w:tcPr>
            <w:tcW w:w="1078" w:type="pct"/>
            <w:shd w:val="clear" w:color="auto" w:fill="auto"/>
          </w:tcPr>
          <w:p w:rsidR="000C5659" w:rsidRDefault="000E33C4">
            <w:pPr>
              <w:rPr>
                <w:bCs/>
                <w:kern w:val="44"/>
              </w:rPr>
            </w:pPr>
            <w:r>
              <w:rPr>
                <w:rFonts w:hint="eastAsia"/>
                <w:bCs/>
                <w:kern w:val="44"/>
              </w:rPr>
              <w:t>注销部分股票期权</w:t>
            </w:r>
          </w:p>
        </w:tc>
        <w:tc>
          <w:tcPr>
            <w:tcW w:w="3922" w:type="pct"/>
            <w:shd w:val="clear" w:color="auto" w:fill="auto"/>
          </w:tcPr>
          <w:p w:rsidR="000C5659" w:rsidRDefault="000E33C4">
            <w:pPr>
              <w:rPr>
                <w:b/>
                <w:bCs/>
              </w:rPr>
            </w:pPr>
            <w:r>
              <w:rPr>
                <w:rFonts w:hint="eastAsia"/>
                <w:bCs/>
                <w:kern w:val="44"/>
              </w:rPr>
              <w:t>详见2</w:t>
            </w:r>
            <w:r>
              <w:rPr>
                <w:bCs/>
                <w:kern w:val="44"/>
              </w:rPr>
              <w:t>024</w:t>
            </w:r>
            <w:r>
              <w:rPr>
                <w:rFonts w:hint="eastAsia"/>
                <w:bCs/>
                <w:kern w:val="44"/>
              </w:rPr>
              <w:t>年</w:t>
            </w:r>
            <w:r>
              <w:rPr>
                <w:bCs/>
                <w:kern w:val="44"/>
              </w:rPr>
              <w:t>2</w:t>
            </w:r>
            <w:r>
              <w:rPr>
                <w:rFonts w:hint="eastAsia"/>
                <w:bCs/>
                <w:kern w:val="44"/>
              </w:rPr>
              <w:t>月3日刊登于上海证券交易所网站的《</w:t>
            </w:r>
            <w:r>
              <w:rPr>
                <w:bCs/>
              </w:rPr>
              <w:t>倍加洁关于注销2021年股票期权激励计划部分股票期权的公告</w:t>
            </w:r>
            <w:r>
              <w:rPr>
                <w:bCs/>
                <w:kern w:val="44"/>
              </w:rPr>
              <w:t>》（公告编号2024-002）</w:t>
            </w:r>
          </w:p>
        </w:tc>
      </w:tr>
      <w:tr w:rsidR="000C5659">
        <w:tc>
          <w:tcPr>
            <w:tcW w:w="1078" w:type="pct"/>
            <w:shd w:val="clear" w:color="auto" w:fill="auto"/>
          </w:tcPr>
          <w:p w:rsidR="000C5659" w:rsidRDefault="000E33C4">
            <w:pPr>
              <w:rPr>
                <w:bCs/>
                <w:kern w:val="44"/>
              </w:rPr>
            </w:pPr>
            <w:r>
              <w:rPr>
                <w:rFonts w:hint="eastAsia"/>
                <w:bCs/>
                <w:kern w:val="44"/>
              </w:rPr>
              <w:t>注销部分股票期权</w:t>
            </w:r>
          </w:p>
        </w:tc>
        <w:tc>
          <w:tcPr>
            <w:tcW w:w="3922" w:type="pct"/>
            <w:shd w:val="clear" w:color="auto" w:fill="auto"/>
          </w:tcPr>
          <w:p w:rsidR="000C5659" w:rsidRDefault="000E33C4">
            <w:pPr>
              <w:rPr>
                <w:bCs/>
                <w:kern w:val="44"/>
              </w:rPr>
            </w:pPr>
            <w:r>
              <w:rPr>
                <w:rFonts w:hint="eastAsia"/>
                <w:bCs/>
                <w:kern w:val="44"/>
              </w:rPr>
              <w:t>详见2</w:t>
            </w:r>
            <w:r>
              <w:rPr>
                <w:bCs/>
                <w:kern w:val="44"/>
              </w:rPr>
              <w:t>024</w:t>
            </w:r>
            <w:r>
              <w:rPr>
                <w:rFonts w:hint="eastAsia"/>
                <w:bCs/>
                <w:kern w:val="44"/>
              </w:rPr>
              <w:t>年</w:t>
            </w:r>
            <w:r>
              <w:rPr>
                <w:bCs/>
                <w:kern w:val="44"/>
              </w:rPr>
              <w:t>4</w:t>
            </w:r>
            <w:r>
              <w:rPr>
                <w:rFonts w:hint="eastAsia"/>
                <w:bCs/>
                <w:kern w:val="44"/>
              </w:rPr>
              <w:t>月23日刊登于上海证券交易所网站的《</w:t>
            </w:r>
            <w:r>
              <w:rPr>
                <w:bCs/>
                <w:kern w:val="44"/>
              </w:rPr>
              <w:t>倍加洁关于注销2021年股票期权激励计划部分股票期权的公告》（公告编号2024-021）</w:t>
            </w:r>
          </w:p>
        </w:tc>
      </w:tr>
    </w:tbl>
    <w:p w:rsidR="000C5659" w:rsidRDefault="000C5659">
      <w:pPr>
        <w:rPr>
          <w:color w:val="000000" w:themeColor="text1"/>
        </w:rPr>
      </w:pPr>
    </w:p>
    <w:bookmarkEnd w:id="50"/>
    <w:p w:rsidR="000C5659" w:rsidRDefault="000E33C4" w:rsidP="000743DD">
      <w:pPr>
        <w:pStyle w:val="3"/>
        <w:numPr>
          <w:ilvl w:val="1"/>
          <w:numId w:val="17"/>
        </w:numPr>
        <w:rPr>
          <w:rFonts w:ascii="宋体" w:hAnsi="宋体" w:cs="宋体"/>
          <w:color w:val="000000" w:themeColor="text1"/>
          <w:kern w:val="0"/>
          <w:szCs w:val="24"/>
        </w:rPr>
      </w:pPr>
      <w:r>
        <w:rPr>
          <w:rFonts w:ascii="宋体" w:hAnsi="宋体" w:cs="宋体" w:hint="eastAsia"/>
          <w:color w:val="000000" w:themeColor="text1"/>
          <w:kern w:val="0"/>
          <w:szCs w:val="24"/>
        </w:rPr>
        <w:t>临时公告未披露或有后续进展的激励情况</w:t>
      </w:r>
    </w:p>
    <w:p w:rsidR="000C5659" w:rsidRDefault="000E33C4">
      <w:pPr>
        <w:rPr>
          <w:color w:val="000000" w:themeColor="text1"/>
        </w:rPr>
      </w:pPr>
      <w:r>
        <w:rPr>
          <w:rFonts w:hint="eastAsia"/>
          <w:color w:val="000000" w:themeColor="text1"/>
        </w:rPr>
        <w:t>股权激励情况</w:t>
      </w:r>
    </w:p>
    <w:sdt>
      <w:sdtPr>
        <w:rPr>
          <w:color w:val="000000" w:themeColor="text1"/>
        </w:rPr>
        <w:alias w:val="是否适用：股权激励情况[双击切换]"/>
        <w:tag w:val="_GBC_388221bc7be24cdca55be337256c8bc1"/>
        <w:id w:val="-598186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p w:rsidR="000C5659" w:rsidRDefault="00220B84">
      <w:pPr>
        <w:rPr>
          <w:color w:val="000000" w:themeColor="text1"/>
        </w:rPr>
      </w:pPr>
      <w:sdt>
        <w:sdtPr>
          <w:rPr>
            <w:rFonts w:hint="eastAsia"/>
            <w:color w:val="000000" w:themeColor="text1"/>
          </w:rPr>
          <w:alias w:val="是否适用：股权激励情况的说明[双击切换]"/>
          <w:tag w:val="_GBC_e5a032ecd3e24335b29a38809f65a990"/>
          <w:id w:val="-632566882"/>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rPr>
      </w:pPr>
    </w:p>
    <w:p w:rsidR="000C5659" w:rsidRDefault="000E33C4">
      <w:pPr>
        <w:rPr>
          <w:color w:val="000000" w:themeColor="text1"/>
        </w:rPr>
      </w:pPr>
      <w:r>
        <w:rPr>
          <w:rFonts w:hint="eastAsia"/>
          <w:color w:val="000000" w:themeColor="text1"/>
        </w:rPr>
        <w:t>员工持股计划情况</w:t>
      </w:r>
    </w:p>
    <w:sdt>
      <w:sdtPr>
        <w:rPr>
          <w:color w:val="000000" w:themeColor="text1"/>
        </w:rPr>
        <w:alias w:val="是否适用：员工持股计划情况[双击切换]"/>
        <w:tag w:val="_GBC_60a13b60efda4715a83fed9c5960ee3b"/>
        <w:id w:val="-751582411"/>
        <w:placeholder>
          <w:docPart w:val="GBC22222222222222222222222222222"/>
        </w:placeholder>
      </w:sdtPr>
      <w:sdtEndPr/>
      <w:sdtContent>
        <w:p w:rsidR="000C5659" w:rsidRDefault="000E33C4">
          <w:pPr>
            <w:rPr>
              <w:bCs/>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bCs/>
          <w:color w:val="000000" w:themeColor="text1"/>
        </w:rPr>
      </w:pPr>
    </w:p>
    <w:p w:rsidR="000C5659" w:rsidRDefault="000E33C4">
      <w:pPr>
        <w:rPr>
          <w:color w:val="000000" w:themeColor="text1"/>
        </w:rPr>
      </w:pPr>
      <w:r>
        <w:rPr>
          <w:rFonts w:hint="eastAsia"/>
          <w:color w:val="000000" w:themeColor="text1"/>
        </w:rPr>
        <w:t>其他激励措施</w:t>
      </w:r>
    </w:p>
    <w:sdt>
      <w:sdtPr>
        <w:rPr>
          <w:color w:val="000000" w:themeColor="text1"/>
        </w:rPr>
        <w:alias w:val="是否适用：其他激励措施[双击切换]"/>
        <w:tag w:val="_GBC_87e3c04518ac4bed97846d84cc8784e1"/>
        <w:id w:val="803729437"/>
        <w:placeholder>
          <w:docPart w:val="GBC22222222222222222222222222222"/>
        </w:placeholder>
      </w:sdtPr>
      <w:sdtEndPr/>
      <w:sdtContent>
        <w:p w:rsidR="000C5659" w:rsidRDefault="000E33C4">
          <w:pPr>
            <w:rPr>
              <w:bCs/>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1"/>
        <w:numPr>
          <w:ilvl w:val="0"/>
          <w:numId w:val="3"/>
        </w:numPr>
        <w:rPr>
          <w:rFonts w:ascii="黑体" w:hAnsi="黑体"/>
          <w:color w:val="000000" w:themeColor="text1"/>
        </w:rPr>
      </w:pPr>
      <w:bookmarkStart w:id="51" w:name="_Toc142578259"/>
      <w:bookmarkStart w:id="52" w:name="_Toc76114276"/>
      <w:r>
        <w:rPr>
          <w:rFonts w:ascii="黑体" w:hAnsi="黑体" w:hint="eastAsia"/>
          <w:color w:val="000000" w:themeColor="text1"/>
        </w:rPr>
        <w:t>环境与社会责任</w:t>
      </w:r>
      <w:bookmarkEnd w:id="51"/>
      <w:bookmarkEnd w:id="52"/>
    </w:p>
    <w:p w:rsidR="000C5659" w:rsidRDefault="000E33C4" w:rsidP="000743DD">
      <w:pPr>
        <w:pStyle w:val="2"/>
        <w:numPr>
          <w:ilvl w:val="0"/>
          <w:numId w:val="18"/>
        </w:numPr>
        <w:tabs>
          <w:tab w:val="left" w:pos="426"/>
        </w:tabs>
        <w:ind w:left="450" w:firstLineChars="0" w:hanging="450"/>
        <w:jc w:val="left"/>
        <w:rPr>
          <w:rFonts w:ascii="宋体" w:hAnsi="宋体"/>
          <w:color w:val="000000" w:themeColor="text1"/>
        </w:rPr>
      </w:pPr>
      <w:r>
        <w:rPr>
          <w:rFonts w:ascii="宋体" w:hAnsi="宋体" w:hint="eastAsia"/>
          <w:color w:val="000000" w:themeColor="text1"/>
        </w:rPr>
        <w:t>环境</w:t>
      </w:r>
      <w:r>
        <w:rPr>
          <w:rFonts w:ascii="宋体" w:hAnsi="宋体"/>
          <w:color w:val="000000" w:themeColor="text1"/>
        </w:rPr>
        <w:t>信息情况</w:t>
      </w:r>
    </w:p>
    <w:p w:rsidR="000C5659" w:rsidRDefault="000E33C4" w:rsidP="000743DD">
      <w:pPr>
        <w:pStyle w:val="3"/>
        <w:numPr>
          <w:ilvl w:val="0"/>
          <w:numId w:val="19"/>
        </w:numPr>
        <w:rPr>
          <w:rFonts w:ascii="宋体" w:hAnsi="宋体"/>
          <w:color w:val="000000" w:themeColor="text1"/>
        </w:rPr>
      </w:pPr>
      <w:r>
        <w:rPr>
          <w:rFonts w:ascii="宋体" w:hAnsi="宋体"/>
          <w:color w:val="000000" w:themeColor="text1"/>
        </w:rPr>
        <w:t>属于环境保护部门公布的重点排污单位的公司及其</w:t>
      </w:r>
      <w:r>
        <w:rPr>
          <w:rFonts w:ascii="宋体" w:hAnsi="宋体" w:hint="eastAsia"/>
          <w:color w:val="000000" w:themeColor="text1"/>
        </w:rPr>
        <w:t>主要</w:t>
      </w:r>
      <w:r>
        <w:rPr>
          <w:rFonts w:ascii="宋体" w:hAnsi="宋体"/>
          <w:color w:val="000000" w:themeColor="text1"/>
        </w:rPr>
        <w:t>子公司的环保情况说明</w:t>
      </w:r>
    </w:p>
    <w:sdt>
      <w:sdtPr>
        <w:rPr>
          <w:rFonts w:hint="eastAsia"/>
          <w:color w:val="000000" w:themeColor="text1"/>
        </w:rPr>
        <w:alias w:val="是否适用：重点排污单位环保情况[双击切换]"/>
        <w:tag w:val="_GBC_820250e25791459fb9ab9ed79c168408"/>
        <w:id w:val="5660032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0"/>
          <w:numId w:val="19"/>
        </w:numPr>
        <w:rPr>
          <w:rFonts w:ascii="宋体" w:hAnsi="宋体"/>
          <w:color w:val="000000" w:themeColor="text1"/>
        </w:rPr>
      </w:pPr>
      <w:r>
        <w:rPr>
          <w:rFonts w:ascii="宋体" w:hAnsi="宋体" w:hint="eastAsia"/>
          <w:color w:val="000000" w:themeColor="text1"/>
        </w:rPr>
        <w:t>重点排污单位之外的公司环保情况说明</w:t>
      </w:r>
    </w:p>
    <w:sdt>
      <w:sdtPr>
        <w:rPr>
          <w:color w:val="000000" w:themeColor="text1"/>
        </w:rPr>
        <w:alias w:val="是否适用：重点排污单位之外的公司的环保情况[双击切换]"/>
        <w:tag w:val="_GBC_5429e6d325df48abbf95eb4f87e71363"/>
        <w:id w:val="3121498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rsidP="000743DD">
      <w:pPr>
        <w:pStyle w:val="4"/>
        <w:numPr>
          <w:ilvl w:val="0"/>
          <w:numId w:val="20"/>
        </w:numPr>
        <w:ind w:left="450" w:hanging="450"/>
        <w:rPr>
          <w:rFonts w:ascii="宋体" w:hAnsi="宋体"/>
          <w:color w:val="000000" w:themeColor="text1"/>
          <w:szCs w:val="21"/>
        </w:rPr>
      </w:pPr>
      <w:bookmarkStart w:id="53" w:name="_Hlk74731776"/>
      <w:r>
        <w:rPr>
          <w:rFonts w:ascii="宋体" w:hAnsi="宋体" w:hint="eastAsia"/>
          <w:color w:val="000000" w:themeColor="text1"/>
          <w:szCs w:val="21"/>
        </w:rPr>
        <w:t>因环境问题受到行政处罚的情况</w:t>
      </w:r>
    </w:p>
    <w:sdt>
      <w:sdtPr>
        <w:rPr>
          <w:color w:val="000000" w:themeColor="text1"/>
        </w:rPr>
        <w:alias w:val="是否适用：重点排污单位之外的公司因环境问题受到行政处罚的情况[双击切换]"/>
        <w:tag w:val="_GBC_305b6bc67ef1434084d2e95288a4935d"/>
        <w:id w:val="-325521248"/>
        <w:placeholder>
          <w:docPart w:val="DF91B4601F5D4544B8EFC94F2A9690A9"/>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53"/>
    <w:p w:rsidR="000C5659" w:rsidRDefault="000E33C4" w:rsidP="000743DD">
      <w:pPr>
        <w:pStyle w:val="4"/>
        <w:numPr>
          <w:ilvl w:val="0"/>
          <w:numId w:val="20"/>
        </w:numPr>
        <w:ind w:left="450" w:hanging="450"/>
        <w:rPr>
          <w:rFonts w:ascii="宋体" w:hAnsi="宋体"/>
          <w:color w:val="000000" w:themeColor="text1"/>
          <w:szCs w:val="21"/>
        </w:rPr>
      </w:pPr>
      <w:r>
        <w:rPr>
          <w:rFonts w:ascii="宋体" w:hAnsi="宋体" w:hint="eastAsia"/>
          <w:color w:val="000000" w:themeColor="text1"/>
          <w:szCs w:val="21"/>
        </w:rPr>
        <w:lastRenderedPageBreak/>
        <w:t>参照</w:t>
      </w:r>
      <w:r>
        <w:rPr>
          <w:rFonts w:ascii="宋体" w:hAnsi="宋体"/>
          <w:color w:val="000000" w:themeColor="text1"/>
          <w:szCs w:val="21"/>
        </w:rPr>
        <w:t>重点排污单位</w:t>
      </w:r>
      <w:r>
        <w:rPr>
          <w:rFonts w:ascii="宋体" w:hAnsi="宋体" w:hint="eastAsia"/>
          <w:color w:val="000000" w:themeColor="text1"/>
          <w:szCs w:val="21"/>
        </w:rPr>
        <w:t>披露其他环境信息</w:t>
      </w:r>
    </w:p>
    <w:sdt>
      <w:sdtPr>
        <w:rPr>
          <w:color w:val="000000" w:themeColor="text1"/>
        </w:rPr>
        <w:alias w:val="是否适用：参照重点排污单位披露其它环境信息[双击切换]"/>
        <w:tag w:val="_GBC_9c01117420e34ec98e6c3270ab89a087"/>
        <w:id w:val="-1788497627"/>
        <w:placeholder>
          <w:docPart w:val="DF91B4601F5D4544B8EFC94F2A9690A9"/>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0"/>
        </w:numPr>
        <w:ind w:left="450" w:hanging="450"/>
        <w:rPr>
          <w:rFonts w:ascii="宋体" w:hAnsi="宋体"/>
          <w:color w:val="000000" w:themeColor="text1"/>
          <w:szCs w:val="21"/>
        </w:rPr>
      </w:pPr>
      <w:r>
        <w:rPr>
          <w:rFonts w:ascii="宋体" w:hAnsi="宋体" w:hint="eastAsia"/>
          <w:color w:val="000000" w:themeColor="text1"/>
          <w:szCs w:val="21"/>
        </w:rPr>
        <w:t>未披露其他环境信息的原因</w:t>
      </w:r>
    </w:p>
    <w:sdt>
      <w:sdtPr>
        <w:rPr>
          <w:color w:val="000000" w:themeColor="text1"/>
        </w:rPr>
        <w:alias w:val="是否适用：重点排污单位之外的公司未披露环境信息的原因[双击切换]"/>
        <w:tag w:val="_GBC_31106daab34d41698243bfe90ff75054"/>
        <w:id w:val="1025063938"/>
        <w:placeholder>
          <w:docPart w:val="DF91B4601F5D4544B8EFC94F2A9690A9"/>
        </w:placeholder>
      </w:sdtPr>
      <w:sdtEndPr/>
      <w:sdtContent>
        <w:p w:rsidR="000C5659" w:rsidRDefault="000E33C4">
          <w:pPr>
            <w:pStyle w:val="Style116"/>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0"/>
          <w:numId w:val="19"/>
        </w:numPr>
        <w:rPr>
          <w:rFonts w:ascii="宋体" w:hAnsi="宋体"/>
          <w:color w:val="000000" w:themeColor="text1"/>
        </w:rPr>
      </w:pPr>
      <w:r>
        <w:rPr>
          <w:rFonts w:ascii="宋体" w:hAnsi="宋体" w:hint="eastAsia"/>
          <w:color w:val="000000" w:themeColor="text1"/>
        </w:rPr>
        <w:t>报告期内披露环境信息内容的后续进展或变化情况的说明</w:t>
      </w:r>
    </w:p>
    <w:sdt>
      <w:sdtPr>
        <w:rPr>
          <w:color w:val="000000" w:themeColor="text1"/>
        </w:rPr>
        <w:alias w:val="是否适用：披露环境信息内容的后续进展或变化情况[双击切换]"/>
        <w:tag w:val="_GBC_451a415ae7344df7ba110ec71bce5279"/>
        <w:id w:val="178699804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0"/>
          <w:numId w:val="19"/>
        </w:numPr>
        <w:ind w:left="450" w:hanging="450"/>
        <w:rPr>
          <w:rFonts w:ascii="宋体" w:hAnsi="宋体" w:cs="宋体"/>
          <w:color w:val="000000" w:themeColor="text1"/>
          <w:kern w:val="0"/>
          <w:szCs w:val="24"/>
        </w:rPr>
      </w:pPr>
      <w:r>
        <w:rPr>
          <w:rFonts w:ascii="宋体" w:hAnsi="宋体" w:cs="宋体" w:hint="eastAsia"/>
          <w:color w:val="000000" w:themeColor="text1"/>
          <w:kern w:val="0"/>
          <w:szCs w:val="24"/>
        </w:rPr>
        <w:t xml:space="preserve"> 有利于保护生态、防治污染、履行环境责任的相关信息</w:t>
      </w:r>
    </w:p>
    <w:sdt>
      <w:sdtPr>
        <w:rPr>
          <w:color w:val="000000" w:themeColor="text1"/>
        </w:rPr>
        <w:alias w:val="是否适用：有利于保护生态、防治污染、履行环境责任的相关信息[双击切换]"/>
        <w:tag w:val="_GBC_1d95a0d39baa46e594806677748c6810"/>
        <w:id w:val="-128280894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220B84">
      <w:pPr>
        <w:jc w:val="both"/>
        <w:rPr>
          <w:color w:val="000000" w:themeColor="text1"/>
        </w:rPr>
      </w:pPr>
      <w:sdt>
        <w:sdtPr>
          <w:rPr>
            <w:color w:val="000000" w:themeColor="text1"/>
          </w:rPr>
          <w:alias w:val="有利于保护生态、防治污染、履行环境责任的相关信息"/>
          <w:tag w:val="_GBC_a7d973127b43494bb6876b836c3ec06c"/>
          <w:id w:val="1077096706"/>
          <w:placeholder>
            <w:docPart w:val="DD2A81682CF54531BCEFC8E1FB25D842"/>
          </w:placeholder>
        </w:sdtPr>
        <w:sdtEndPr/>
        <w:sdtContent>
          <w:r w:rsidR="000E33C4">
            <w:rPr>
              <w:rFonts w:hint="eastAsia"/>
              <w:color w:val="000000" w:themeColor="text1"/>
            </w:rPr>
            <w:t>公司通过了能源管理体系、温室气体核查报告、产品碳足际等体系认证。建有屋顶，总装机容量</w:t>
          </w:r>
          <w:r w:rsidR="000E33C4">
            <w:rPr>
              <w:color w:val="000000" w:themeColor="text1"/>
            </w:rPr>
            <w:t>2.66MW，年发电量280万kWh左右光伏电站，同时2024年与华能江苏综合能源服务有限公司签订了2000万千瓦时绿电购售合同，实现全面绿色能源应用。现公司正在申报江苏省绿色工厂。</w:t>
          </w:r>
        </w:sdtContent>
      </w:sdt>
    </w:p>
    <w:p w:rsidR="000C5659" w:rsidRDefault="000C5659">
      <w:pPr>
        <w:rPr>
          <w:color w:val="000000" w:themeColor="text1"/>
        </w:rPr>
      </w:pPr>
    </w:p>
    <w:p w:rsidR="000C5659" w:rsidRDefault="000E33C4" w:rsidP="000743DD">
      <w:pPr>
        <w:pStyle w:val="3"/>
        <w:numPr>
          <w:ilvl w:val="0"/>
          <w:numId w:val="19"/>
        </w:numPr>
        <w:ind w:left="450" w:hanging="450"/>
        <w:rPr>
          <w:rFonts w:ascii="宋体" w:hAnsi="宋体"/>
          <w:color w:val="000000" w:themeColor="text1"/>
        </w:rPr>
      </w:pPr>
      <w:bookmarkStart w:id="54" w:name="_Hlk138060310"/>
      <w:r>
        <w:rPr>
          <w:rFonts w:ascii="宋体" w:hAnsi="宋体"/>
          <w:color w:val="000000" w:themeColor="text1"/>
        </w:rPr>
        <w:t>在报告期内为减少其碳排放所采取的措施及效果</w:t>
      </w:r>
    </w:p>
    <w:sdt>
      <w:sdtPr>
        <w:rPr>
          <w:color w:val="000000" w:themeColor="text1"/>
        </w:rPr>
        <w:alias w:val="是否适用：在报告期内为减少其碳排放所采取的措施及效果 [双击切换]"/>
        <w:tag w:val="_GBC_3f6f203e2a75413bbe27afcb7ca629ab"/>
        <w:id w:val="160075219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在报告期内为减少其碳排放所采取的措施及效果 "/>
        <w:tag w:val="_GBC_8746e0ea6a004dee9126fc2c7e2176a8"/>
        <w:id w:val="-444466077"/>
        <w:placeholder>
          <w:docPart w:val="GBC22222222222222222222222222222"/>
        </w:placeholder>
      </w:sdtPr>
      <w:sdtEndPr/>
      <w:sdtContent>
        <w:sdt>
          <w:sdtPr>
            <w:rPr>
              <w:bCs/>
              <w:color w:val="000000" w:themeColor="text1"/>
            </w:rPr>
            <w:alias w:val="在报告期内为减少其碳排放所采取的措施及效果 "/>
            <w:tag w:val="_GBC_8746e0ea6a004dee9126fc2c7e2176a8"/>
            <w:id w:val="-417406969"/>
            <w:placeholder>
              <w:docPart w:val="489100DB019745D4AA8F1504D4A792B1"/>
            </w:placeholder>
          </w:sdtPr>
          <w:sdtEndPr/>
          <w:sdtContent>
            <w:p w:rsidR="000C5659" w:rsidRDefault="000E33C4">
              <w:pPr>
                <w:rPr>
                  <w:bCs/>
                  <w:color w:val="000000" w:themeColor="text1"/>
                </w:rPr>
              </w:pPr>
              <w:r>
                <w:rPr>
                  <w:bCs/>
                  <w:color w:val="000000" w:themeColor="text1"/>
                </w:rPr>
                <w:t>2024</w:t>
              </w:r>
              <w:r>
                <w:rPr>
                  <w:rFonts w:hint="eastAsia"/>
                  <w:bCs/>
                  <w:color w:val="000000" w:themeColor="text1"/>
                </w:rPr>
                <w:t>年1</w:t>
              </w:r>
              <w:r>
                <w:rPr>
                  <w:bCs/>
                  <w:color w:val="000000" w:themeColor="text1"/>
                </w:rPr>
                <w:t>-6</w:t>
              </w:r>
              <w:r>
                <w:rPr>
                  <w:rFonts w:hint="eastAsia"/>
                  <w:bCs/>
                  <w:color w:val="000000" w:themeColor="text1"/>
                </w:rPr>
                <w:t>月公司共光伏发电1</w:t>
              </w:r>
              <w:r>
                <w:rPr>
                  <w:bCs/>
                  <w:color w:val="000000" w:themeColor="text1"/>
                </w:rPr>
                <w:t>52.1805</w:t>
              </w:r>
              <w:r>
                <w:rPr>
                  <w:rFonts w:hint="eastAsia"/>
                  <w:bCs/>
                  <w:color w:val="000000" w:themeColor="text1"/>
                </w:rPr>
                <w:t>万K</w:t>
              </w:r>
              <w:r>
                <w:rPr>
                  <w:bCs/>
                  <w:color w:val="000000" w:themeColor="text1"/>
                </w:rPr>
                <w:t>Wh,</w:t>
              </w:r>
              <w:r>
                <w:rPr>
                  <w:rFonts w:hint="eastAsia"/>
                  <w:bCs/>
                  <w:color w:val="000000" w:themeColor="text1"/>
                </w:rPr>
                <w:t>使用绿电1</w:t>
              </w:r>
              <w:r>
                <w:rPr>
                  <w:bCs/>
                  <w:color w:val="000000" w:themeColor="text1"/>
                </w:rPr>
                <w:t>239.3</w:t>
              </w:r>
              <w:r>
                <w:rPr>
                  <w:rFonts w:hint="eastAsia"/>
                  <w:bCs/>
                  <w:color w:val="000000" w:themeColor="text1"/>
                </w:rPr>
                <w:t>万K</w:t>
              </w:r>
              <w:r>
                <w:rPr>
                  <w:bCs/>
                  <w:color w:val="000000" w:themeColor="text1"/>
                </w:rPr>
                <w:t>Wh</w:t>
              </w:r>
              <w:r>
                <w:rPr>
                  <w:rFonts w:hint="eastAsia"/>
                  <w:bCs/>
                  <w:color w:val="000000" w:themeColor="text1"/>
                </w:rPr>
                <w:t>，根据2</w:t>
              </w:r>
              <w:r>
                <w:rPr>
                  <w:bCs/>
                  <w:color w:val="000000" w:themeColor="text1"/>
                </w:rPr>
                <w:t>022</w:t>
              </w:r>
              <w:r>
                <w:rPr>
                  <w:rFonts w:hint="eastAsia"/>
                  <w:bCs/>
                  <w:color w:val="000000" w:themeColor="text1"/>
                </w:rPr>
                <w:t>年全国电网平均排放因子0</w:t>
              </w:r>
              <w:r>
                <w:rPr>
                  <w:bCs/>
                  <w:color w:val="000000" w:themeColor="text1"/>
                </w:rPr>
                <w:t>.5703tCO</w:t>
              </w:r>
              <w:r>
                <w:rPr>
                  <w:rFonts w:ascii="Times New Roman" w:hAnsi="Times New Roman" w:cs="Times New Roman"/>
                  <w:bCs/>
                  <w:color w:val="000000" w:themeColor="text1"/>
                </w:rPr>
                <w:t>₂</w:t>
              </w:r>
              <w:r>
                <w:rPr>
                  <w:bCs/>
                  <w:color w:val="000000" w:themeColor="text1"/>
                </w:rPr>
                <w:t>/MWh</w:t>
              </w:r>
              <w:r>
                <w:rPr>
                  <w:rFonts w:hint="eastAsia"/>
                  <w:bCs/>
                  <w:color w:val="000000" w:themeColor="text1"/>
                </w:rPr>
                <w:t>，节约二氧化碳排放7</w:t>
              </w:r>
              <w:r>
                <w:rPr>
                  <w:bCs/>
                  <w:color w:val="000000" w:themeColor="text1"/>
                </w:rPr>
                <w:t>935.61tCO</w:t>
              </w:r>
              <w:r>
                <w:rPr>
                  <w:rFonts w:ascii="Times New Roman" w:hAnsi="Times New Roman" w:cs="Times New Roman"/>
                  <w:bCs/>
                  <w:color w:val="000000" w:themeColor="text1"/>
                </w:rPr>
                <w:t>₂</w:t>
              </w:r>
              <w:r>
                <w:rPr>
                  <w:rFonts w:hint="eastAsia"/>
                  <w:bCs/>
                  <w:color w:val="000000" w:themeColor="text1"/>
                </w:rPr>
                <w:t>。</w:t>
              </w:r>
            </w:p>
          </w:sdtContent>
        </w:sdt>
      </w:sdtContent>
    </w:sdt>
    <w:bookmarkEnd w:id="54"/>
    <w:p w:rsidR="000C5659" w:rsidRDefault="000C5659">
      <w:pPr>
        <w:rPr>
          <w:color w:val="000000" w:themeColor="text1"/>
        </w:rPr>
      </w:pPr>
    </w:p>
    <w:p w:rsidR="000C5659" w:rsidRDefault="000E33C4" w:rsidP="000743DD">
      <w:pPr>
        <w:pStyle w:val="2"/>
        <w:numPr>
          <w:ilvl w:val="0"/>
          <w:numId w:val="18"/>
        </w:numPr>
        <w:tabs>
          <w:tab w:val="left" w:pos="426"/>
        </w:tabs>
        <w:ind w:left="422" w:hanging="422"/>
        <w:jc w:val="left"/>
        <w:rPr>
          <w:rFonts w:ascii="宋体" w:hAnsi="宋体"/>
          <w:color w:val="000000" w:themeColor="text1"/>
        </w:rPr>
      </w:pPr>
      <w:bookmarkStart w:id="55" w:name="_Hlk138060542"/>
      <w:bookmarkStart w:id="56" w:name="_Hlk137046383"/>
      <w:r>
        <w:rPr>
          <w:rFonts w:ascii="宋体" w:hAnsi="宋体" w:hint="eastAsia"/>
          <w:color w:val="000000" w:themeColor="text1"/>
        </w:rPr>
        <w:t>巩固拓展脱贫攻坚成果、乡村振兴等工作具体情况</w:t>
      </w:r>
    </w:p>
    <w:sdt>
      <w:sdtPr>
        <w:rPr>
          <w:color w:val="000000" w:themeColor="text1"/>
        </w:rPr>
        <w:alias w:val="是否适用：巩固拓展脱贫攻坚成果、乡村振兴工作具体情况[双击切换]"/>
        <w:tag w:val="_GBC_7f424183824c43c9809b2bbaefe89688"/>
        <w:id w:val="-97660392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55"/>
    <w:p w:rsidR="000C5659" w:rsidRDefault="000C5659">
      <w:pPr>
        <w:rPr>
          <w:color w:val="000000" w:themeColor="text1"/>
        </w:rPr>
      </w:pPr>
    </w:p>
    <w:p w:rsidR="000C5659" w:rsidRDefault="000C5659">
      <w:pPr>
        <w:rPr>
          <w:color w:val="000000" w:themeColor="text1"/>
        </w:rPr>
        <w:sectPr w:rsidR="000C5659">
          <w:pgSz w:w="11906" w:h="16838"/>
          <w:pgMar w:top="1525" w:right="1276" w:bottom="1440" w:left="1797" w:header="851" w:footer="992" w:gutter="0"/>
          <w:cols w:space="425"/>
          <w:docGrid w:linePitch="312"/>
        </w:sectPr>
      </w:pPr>
    </w:p>
    <w:p w:rsidR="000C5659" w:rsidRDefault="000E33C4">
      <w:pPr>
        <w:pStyle w:val="1"/>
        <w:numPr>
          <w:ilvl w:val="0"/>
          <w:numId w:val="3"/>
        </w:numPr>
        <w:rPr>
          <w:rFonts w:ascii="黑体" w:hAnsi="黑体"/>
          <w:color w:val="000000" w:themeColor="text1"/>
        </w:rPr>
      </w:pPr>
      <w:bookmarkStart w:id="57" w:name="_Toc142578260"/>
      <w:bookmarkStart w:id="58" w:name="_Toc76114277"/>
      <w:bookmarkEnd w:id="56"/>
      <w:r>
        <w:rPr>
          <w:rFonts w:ascii="黑体" w:hAnsi="黑体"/>
          <w:color w:val="000000" w:themeColor="text1"/>
        </w:rPr>
        <w:lastRenderedPageBreak/>
        <w:t>重要事项</w:t>
      </w:r>
      <w:bookmarkEnd w:id="57"/>
      <w:bookmarkEnd w:id="58"/>
    </w:p>
    <w:p w:rsidR="000C5659" w:rsidRDefault="000C5659">
      <w:pPr>
        <w:rPr>
          <w:color w:val="000000" w:themeColor="text1"/>
        </w:rPr>
      </w:pPr>
    </w:p>
    <w:p w:rsidR="000C5659" w:rsidRDefault="000E33C4" w:rsidP="000743DD">
      <w:pPr>
        <w:pStyle w:val="2"/>
        <w:numPr>
          <w:ilvl w:val="0"/>
          <w:numId w:val="21"/>
        </w:numPr>
        <w:tabs>
          <w:tab w:val="left" w:pos="426"/>
        </w:tabs>
        <w:ind w:firstLineChars="0"/>
        <w:jc w:val="left"/>
        <w:rPr>
          <w:rFonts w:ascii="宋体" w:hAnsi="宋体"/>
          <w:color w:val="000000" w:themeColor="text1"/>
        </w:rPr>
      </w:pPr>
      <w:bookmarkStart w:id="59" w:name="_Toc342565988"/>
      <w:r>
        <w:rPr>
          <w:rFonts w:ascii="宋体" w:hAnsi="宋体" w:hint="eastAsia"/>
          <w:color w:val="000000" w:themeColor="text1"/>
        </w:rPr>
        <w:t>承诺事项履行情况</w:t>
      </w:r>
    </w:p>
    <w:p w:rsidR="000C5659" w:rsidRDefault="000E33C4" w:rsidP="000743DD">
      <w:pPr>
        <w:pStyle w:val="3"/>
        <w:numPr>
          <w:ilvl w:val="1"/>
          <w:numId w:val="22"/>
        </w:numPr>
        <w:rPr>
          <w:color w:val="000000" w:themeColor="text1"/>
          <w:szCs w:val="21"/>
        </w:rPr>
      </w:pPr>
      <w:bookmarkStart w:id="60" w:name="_Hlk167798036"/>
      <w:r>
        <w:rPr>
          <w:rFonts w:hint="eastAsia"/>
          <w:color w:val="000000" w:themeColor="text1"/>
          <w:szCs w:val="21"/>
        </w:rPr>
        <w:t>公司实际控制人、股东、关联方、收购人以及公司等承诺相关方在报告期内或持续到报告期内的承诺事项</w:t>
      </w:r>
    </w:p>
    <w:sdt>
      <w:sdtPr>
        <w:rPr>
          <w:color w:val="000000" w:themeColor="text1"/>
        </w:rPr>
        <w:alias w:val="是否适用：公司实际控制人、股东、关联方、收购人以及公司等承诺相关方在报告期内或持续到报告期内的承诺事项 [双击切换]"/>
        <w:tag w:val="_GBC_1b3cd268fdf44711b46a5537ed6234e6"/>
        <w:id w:val="-5908541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6"/>
        <w:gridCol w:w="892"/>
        <w:gridCol w:w="7989"/>
        <w:gridCol w:w="692"/>
        <w:gridCol w:w="426"/>
        <w:gridCol w:w="426"/>
        <w:gridCol w:w="692"/>
        <w:gridCol w:w="975"/>
        <w:gridCol w:w="919"/>
      </w:tblGrid>
      <w:tr w:rsidR="000C5659">
        <w:sdt>
          <w:sdtPr>
            <w:rPr>
              <w:color w:val="000000" w:themeColor="text1"/>
            </w:rPr>
            <w:tag w:val="_PLD_2f48c631d4f145bb89e0b412b579c044"/>
            <w:id w:val="240838535"/>
          </w:sdtPr>
          <w:sdtEndPr/>
          <w:sdtContent>
            <w:tc>
              <w:tcPr>
                <w:tcW w:w="152" w:type="pct"/>
                <w:shd w:val="clear" w:color="auto" w:fill="auto"/>
                <w:vAlign w:val="center"/>
              </w:tcPr>
              <w:p w:rsidR="000C5659" w:rsidRDefault="000E33C4">
                <w:pPr>
                  <w:jc w:val="center"/>
                  <w:rPr>
                    <w:color w:val="000000" w:themeColor="text1"/>
                  </w:rPr>
                </w:pPr>
                <w:r>
                  <w:rPr>
                    <w:rFonts w:hint="eastAsia"/>
                    <w:color w:val="000000" w:themeColor="text1"/>
                  </w:rPr>
                  <w:t>承诺背景</w:t>
                </w:r>
              </w:p>
            </w:tc>
          </w:sdtContent>
        </w:sdt>
        <w:sdt>
          <w:sdtPr>
            <w:rPr>
              <w:color w:val="000000" w:themeColor="text1"/>
            </w:rPr>
            <w:tag w:val="_PLD_9a17726fa949480a8fa734c2daa367c5"/>
            <w:id w:val="-1715887361"/>
          </w:sdtPr>
          <w:sdtEndPr/>
          <w:sdtContent>
            <w:tc>
              <w:tcPr>
                <w:tcW w:w="152" w:type="pct"/>
                <w:shd w:val="clear" w:color="auto" w:fill="auto"/>
                <w:vAlign w:val="center"/>
              </w:tcPr>
              <w:p w:rsidR="000C5659" w:rsidRDefault="000E33C4">
                <w:pPr>
                  <w:jc w:val="center"/>
                  <w:rPr>
                    <w:color w:val="000000" w:themeColor="text1"/>
                  </w:rPr>
                </w:pPr>
                <w:r>
                  <w:rPr>
                    <w:rFonts w:hint="eastAsia"/>
                    <w:color w:val="000000" w:themeColor="text1"/>
                  </w:rPr>
                  <w:t>承诺</w:t>
                </w:r>
              </w:p>
              <w:p w:rsidR="000C5659" w:rsidRDefault="000E33C4">
                <w:pPr>
                  <w:jc w:val="center"/>
                  <w:rPr>
                    <w:color w:val="000000" w:themeColor="text1"/>
                  </w:rPr>
                </w:pPr>
                <w:r>
                  <w:rPr>
                    <w:rFonts w:hint="eastAsia"/>
                    <w:color w:val="000000" w:themeColor="text1"/>
                  </w:rPr>
                  <w:t>类型</w:t>
                </w:r>
              </w:p>
            </w:tc>
          </w:sdtContent>
        </w:sdt>
        <w:sdt>
          <w:sdtPr>
            <w:rPr>
              <w:color w:val="000000" w:themeColor="text1"/>
            </w:rPr>
            <w:tag w:val="_PLD_dd4d33263e224736aca1317e23b8393b"/>
            <w:id w:val="1994751446"/>
          </w:sdtPr>
          <w:sdtEndPr/>
          <w:sdtContent>
            <w:tc>
              <w:tcPr>
                <w:tcW w:w="323" w:type="pct"/>
                <w:shd w:val="clear" w:color="auto" w:fill="auto"/>
                <w:vAlign w:val="center"/>
              </w:tcPr>
              <w:p w:rsidR="000C5659" w:rsidRDefault="000E33C4">
                <w:pPr>
                  <w:jc w:val="center"/>
                  <w:rPr>
                    <w:color w:val="000000" w:themeColor="text1"/>
                  </w:rPr>
                </w:pPr>
                <w:r>
                  <w:rPr>
                    <w:rFonts w:hint="eastAsia"/>
                    <w:color w:val="000000" w:themeColor="text1"/>
                  </w:rPr>
                  <w:t>承诺方</w:t>
                </w:r>
              </w:p>
            </w:tc>
          </w:sdtContent>
        </w:sdt>
        <w:sdt>
          <w:sdtPr>
            <w:rPr>
              <w:color w:val="000000" w:themeColor="text1"/>
            </w:rPr>
            <w:tag w:val="_PLD_2827daa4881746e8af82dd1a4a5cdfc9"/>
            <w:id w:val="-490642291"/>
          </w:sdtPr>
          <w:sdtEndPr/>
          <w:sdtContent>
            <w:tc>
              <w:tcPr>
                <w:tcW w:w="2883" w:type="pct"/>
                <w:shd w:val="clear" w:color="auto" w:fill="auto"/>
                <w:vAlign w:val="center"/>
              </w:tcPr>
              <w:p w:rsidR="000C5659" w:rsidRDefault="000E33C4">
                <w:pPr>
                  <w:jc w:val="center"/>
                  <w:rPr>
                    <w:color w:val="000000" w:themeColor="text1"/>
                  </w:rPr>
                </w:pPr>
                <w:r>
                  <w:rPr>
                    <w:rFonts w:hint="eastAsia"/>
                    <w:color w:val="000000" w:themeColor="text1"/>
                  </w:rPr>
                  <w:t>承诺</w:t>
                </w:r>
              </w:p>
              <w:p w:rsidR="000C5659" w:rsidRDefault="000E33C4">
                <w:pPr>
                  <w:jc w:val="center"/>
                  <w:rPr>
                    <w:color w:val="000000" w:themeColor="text1"/>
                  </w:rPr>
                </w:pPr>
                <w:r>
                  <w:rPr>
                    <w:rFonts w:hint="eastAsia"/>
                    <w:color w:val="000000" w:themeColor="text1"/>
                  </w:rPr>
                  <w:t>内容</w:t>
                </w:r>
              </w:p>
            </w:tc>
          </w:sdtContent>
        </w:sdt>
        <w:sdt>
          <w:sdtPr>
            <w:rPr>
              <w:rFonts w:hint="eastAsia"/>
              <w:color w:val="000000" w:themeColor="text1"/>
            </w:rPr>
            <w:tag w:val="_PLD_0faf19b77a3a4c9f9dfef5d67a6c073e"/>
            <w:id w:val="-700698142"/>
          </w:sdtPr>
          <w:sdtEndPr/>
          <w:sdtContent>
            <w:tc>
              <w:tcPr>
                <w:tcW w:w="251" w:type="pct"/>
                <w:vAlign w:val="center"/>
              </w:tcPr>
              <w:p w:rsidR="000C5659" w:rsidRDefault="000E33C4">
                <w:pPr>
                  <w:jc w:val="center"/>
                  <w:rPr>
                    <w:color w:val="000000" w:themeColor="text1"/>
                  </w:rPr>
                </w:pPr>
                <w:r>
                  <w:rPr>
                    <w:rFonts w:hint="eastAsia"/>
                    <w:color w:val="000000" w:themeColor="text1"/>
                  </w:rPr>
                  <w:t>承诺时间</w:t>
                </w:r>
              </w:p>
            </w:tc>
          </w:sdtContent>
        </w:sdt>
        <w:sdt>
          <w:sdtPr>
            <w:rPr>
              <w:color w:val="000000" w:themeColor="text1"/>
            </w:rPr>
            <w:tag w:val="_PLD_5712764119844cacbd807a7b3cc06229"/>
            <w:id w:val="-331067416"/>
          </w:sdtPr>
          <w:sdtEndPr/>
          <w:sdtContent>
            <w:tc>
              <w:tcPr>
                <w:tcW w:w="151" w:type="pct"/>
                <w:shd w:val="clear" w:color="auto" w:fill="auto"/>
                <w:vAlign w:val="center"/>
              </w:tcPr>
              <w:p w:rsidR="000C5659" w:rsidRDefault="000E33C4">
                <w:pPr>
                  <w:jc w:val="center"/>
                  <w:rPr>
                    <w:color w:val="000000" w:themeColor="text1"/>
                  </w:rPr>
                </w:pPr>
                <w:r>
                  <w:rPr>
                    <w:rFonts w:hint="eastAsia"/>
                    <w:color w:val="000000" w:themeColor="text1"/>
                  </w:rPr>
                  <w:t>是否有履行期限</w:t>
                </w:r>
              </w:p>
            </w:tc>
          </w:sdtContent>
        </w:sdt>
        <w:sdt>
          <w:sdtPr>
            <w:rPr>
              <w:rFonts w:hint="eastAsia"/>
              <w:color w:val="000000" w:themeColor="text1"/>
            </w:rPr>
            <w:tag w:val="_PLD_086966425efd4cf5aa843a606f19d41f"/>
            <w:id w:val="-628162473"/>
          </w:sdtPr>
          <w:sdtEndPr/>
          <w:sdtContent>
            <w:tc>
              <w:tcPr>
                <w:tcW w:w="151" w:type="pct"/>
                <w:vAlign w:val="center"/>
              </w:tcPr>
              <w:p w:rsidR="000C5659" w:rsidRDefault="000E33C4">
                <w:pPr>
                  <w:jc w:val="center"/>
                  <w:rPr>
                    <w:color w:val="000000" w:themeColor="text1"/>
                  </w:rPr>
                </w:pPr>
                <w:r>
                  <w:rPr>
                    <w:rFonts w:hint="eastAsia"/>
                    <w:color w:val="000000" w:themeColor="text1"/>
                  </w:rPr>
                  <w:t>承诺期限</w:t>
                </w:r>
              </w:p>
            </w:tc>
          </w:sdtContent>
        </w:sdt>
        <w:sdt>
          <w:sdtPr>
            <w:rPr>
              <w:color w:val="000000" w:themeColor="text1"/>
            </w:rPr>
            <w:tag w:val="_PLD_c57f62b5ce044c04a606e760d1fb2925"/>
            <w:id w:val="1189405490"/>
          </w:sdtPr>
          <w:sdtEndPr/>
          <w:sdtContent>
            <w:tc>
              <w:tcPr>
                <w:tcW w:w="251" w:type="pct"/>
                <w:shd w:val="clear" w:color="auto" w:fill="auto"/>
                <w:vAlign w:val="center"/>
              </w:tcPr>
              <w:p w:rsidR="000C5659" w:rsidRDefault="000E33C4">
                <w:pPr>
                  <w:jc w:val="center"/>
                  <w:rPr>
                    <w:color w:val="000000" w:themeColor="text1"/>
                  </w:rPr>
                </w:pPr>
                <w:r>
                  <w:rPr>
                    <w:rFonts w:hint="eastAsia"/>
                    <w:color w:val="000000" w:themeColor="text1"/>
                  </w:rPr>
                  <w:t>是否及时严格履行</w:t>
                </w:r>
              </w:p>
            </w:tc>
          </w:sdtContent>
        </w:sdt>
        <w:sdt>
          <w:sdtPr>
            <w:rPr>
              <w:color w:val="000000" w:themeColor="text1"/>
            </w:rPr>
            <w:tag w:val="_PLD_aa8ea8bcfcba4d8d9cf09df53934a60e"/>
            <w:id w:val="1503626934"/>
          </w:sdtPr>
          <w:sdtEndPr/>
          <w:sdtContent>
            <w:tc>
              <w:tcPr>
                <w:tcW w:w="353" w:type="pct"/>
                <w:shd w:val="clear" w:color="auto" w:fill="auto"/>
                <w:vAlign w:val="center"/>
              </w:tcPr>
              <w:p w:rsidR="000C5659" w:rsidRDefault="000E33C4">
                <w:pPr>
                  <w:jc w:val="center"/>
                  <w:rPr>
                    <w:color w:val="000000" w:themeColor="text1"/>
                  </w:rPr>
                </w:pPr>
                <w:r>
                  <w:rPr>
                    <w:rFonts w:hint="eastAsia"/>
                    <w:color w:val="000000" w:themeColor="text1"/>
                  </w:rPr>
                  <w:t>如未能及时履行应说明未完成履行的具体原因</w:t>
                </w:r>
              </w:p>
            </w:tc>
          </w:sdtContent>
        </w:sdt>
        <w:sdt>
          <w:sdtPr>
            <w:rPr>
              <w:color w:val="000000" w:themeColor="text1"/>
            </w:rPr>
            <w:tag w:val="_PLD_10e867610a5447f294ff667276bb94e5"/>
            <w:id w:val="1060374181"/>
          </w:sdtPr>
          <w:sdtEndPr/>
          <w:sdtContent>
            <w:tc>
              <w:tcPr>
                <w:tcW w:w="333" w:type="pct"/>
                <w:shd w:val="clear" w:color="auto" w:fill="auto"/>
                <w:vAlign w:val="center"/>
              </w:tcPr>
              <w:p w:rsidR="000C5659" w:rsidRDefault="000E33C4">
                <w:pPr>
                  <w:jc w:val="center"/>
                  <w:rPr>
                    <w:color w:val="000000" w:themeColor="text1"/>
                  </w:rPr>
                </w:pPr>
                <w:r>
                  <w:rPr>
                    <w:rFonts w:hint="eastAsia"/>
                    <w:color w:val="000000" w:themeColor="text1"/>
                  </w:rPr>
                  <w:t>如未能及时履行应说明下一步计划</w:t>
                </w:r>
              </w:p>
            </w:tc>
          </w:sdtContent>
        </w:sdt>
      </w:tr>
      <w:tr w:rsidR="000C5659">
        <w:tc>
          <w:tcPr>
            <w:tcW w:w="152" w:type="pct"/>
            <w:vMerge w:val="restart"/>
            <w:shd w:val="clear" w:color="auto" w:fill="auto"/>
            <w:vAlign w:val="center"/>
          </w:tcPr>
          <w:p w:rsidR="000C5659" w:rsidRDefault="000E33C4">
            <w:pPr>
              <w:rPr>
                <w:color w:val="000000" w:themeColor="text1"/>
              </w:rPr>
            </w:pPr>
            <w:r>
              <w:rPr>
                <w:rFonts w:hint="eastAsia"/>
                <w:color w:val="000000" w:themeColor="text1"/>
              </w:rPr>
              <w:t>与首次公开发行相关的承诺</w:t>
            </w:r>
          </w:p>
        </w:tc>
        <w:sdt>
          <w:sdtPr>
            <w:rPr>
              <w:color w:val="000000" w:themeColor="text1"/>
            </w:rPr>
            <w:alias w:val="与首次公开发行相关的承诺-承诺类型"/>
            <w:tag w:val="_GBC_4a04fadf983945b88caa62b18cad19bb"/>
            <w:id w:val="74206934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2" w:type="pct"/>
                <w:shd w:val="clear" w:color="auto" w:fill="auto"/>
              </w:tcPr>
              <w:p w:rsidR="000C5659" w:rsidRDefault="00B708C8">
                <w:pPr>
                  <w:rPr>
                    <w:color w:val="000000" w:themeColor="text1"/>
                  </w:rPr>
                </w:pPr>
                <w:r>
                  <w:rPr>
                    <w:rFonts w:hint="eastAsia"/>
                    <w:color w:val="000000" w:themeColor="text1"/>
                  </w:rPr>
                  <w:t>解决同业竞争</w:t>
                </w:r>
              </w:p>
            </w:tc>
          </w:sdtContent>
        </w:sdt>
        <w:tc>
          <w:tcPr>
            <w:tcW w:w="323" w:type="pct"/>
            <w:shd w:val="clear" w:color="auto" w:fill="auto"/>
          </w:tcPr>
          <w:p w:rsidR="000C5659" w:rsidRDefault="000E33C4">
            <w:pPr>
              <w:pStyle w:val="Style116"/>
            </w:pPr>
            <w:r>
              <w:rPr>
                <w:rFonts w:hint="eastAsia"/>
              </w:rPr>
              <w:t>张文生</w:t>
            </w:r>
          </w:p>
        </w:tc>
        <w:tc>
          <w:tcPr>
            <w:tcW w:w="2883" w:type="pct"/>
            <w:shd w:val="clear" w:color="auto" w:fill="auto"/>
          </w:tcPr>
          <w:p w:rsidR="000C5659" w:rsidRDefault="000E33C4">
            <w:pPr>
              <w:jc w:val="both"/>
            </w:pPr>
            <w:r>
              <w:t>1、本承诺人及本承诺人控制的公司均未生产、开发任何与股份公司及其下属子公司生产的产品构成竞争或可能竞争的产品</w:t>
            </w:r>
            <w:r>
              <w:rPr>
                <w:rFonts w:hint="eastAsia"/>
              </w:rPr>
              <w:t>，</w:t>
            </w:r>
            <w:r>
              <w:t>未直接或间接经营任何与股份公司及下属子公司经营的业务构成竞争或可能构成竞争的业务，也未参与投资任何与股份公司及其下属子公司生产的产品或经营的业务构成竞争或可能构成竞争的其他企业；2、本承诺人及本承诺人控制的公司将不生产、开发任何与股份公司及其下属子公司生产的产品构成竞争或可能构成竞争的产品，不直接或间接经营任何与股份公司及其下属子公司经营的业务构成竞争或可能构成竞争的业务，也不参与投资任何与股份公司</w:t>
            </w:r>
            <w:r>
              <w:rPr>
                <w:rFonts w:hint="eastAsia"/>
              </w:rPr>
              <w:t>及其下属子公司生产的产品或经营的业务构成竞争或可能构成竞争的其他企业；</w:t>
            </w:r>
            <w:r>
              <w:t>3、如本承诺人及本承诺人控制的公司进一步拓展产品和业务范围，本承诺人及本承诺人控制的公司将不与股份公司及其下属子公司拓展后的产品或业务相竞争；若与股份公司及其下属子公司拓展后的产品或业务产生竞争，则本承诺人及本承诺人控制的公司将以停止生产或经营相竞争的业务或产品的方式，或者将相竞争的业务纳入到股份公司经营的方式，或者将相竞争的业务转让给无关联关系的第三方的方式避免同业竞争；4、在本承诺人及本承诺人控制的企业与股份公司存在关联关系期间，本承</w:t>
            </w:r>
            <w:r>
              <w:rPr>
                <w:rFonts w:hint="eastAsia"/>
              </w:rPr>
              <w:t>诺函为有效之承诺。</w:t>
            </w:r>
          </w:p>
        </w:tc>
        <w:tc>
          <w:tcPr>
            <w:tcW w:w="251" w:type="pct"/>
          </w:tcPr>
          <w:p w:rsidR="000C5659" w:rsidRDefault="000E33C4">
            <w:pPr>
              <w:pStyle w:val="Style116"/>
            </w:pPr>
            <w:r>
              <w:rPr>
                <w:rFonts w:hint="eastAsia"/>
              </w:rPr>
              <w:t>2</w:t>
            </w:r>
            <w:r>
              <w:t>018</w:t>
            </w:r>
            <w:r>
              <w:rPr>
                <w:rFonts w:hint="eastAsia"/>
              </w:rPr>
              <w:t>年3月2日</w:t>
            </w:r>
          </w:p>
        </w:tc>
        <w:sdt>
          <w:sdtPr>
            <w:rPr>
              <w:color w:val="000000" w:themeColor="text1"/>
            </w:rPr>
            <w:alias w:val="与首次公开发行相关的承诺-是否有履行期限"/>
            <w:tag w:val="_GBC_865043f20c414da39c8d8a70e9c5c4e4"/>
            <w:id w:val="2097825706"/>
            <w:comboBox>
              <w:listItem w:displayText="是" w:value="true"/>
              <w:listItem w:displayText="否" w:value="false"/>
            </w:comboBox>
          </w:sdtPr>
          <w:sdtEndPr/>
          <w:sdtContent>
            <w:tc>
              <w:tcPr>
                <w:tcW w:w="151" w:type="pct"/>
                <w:shd w:val="clear" w:color="auto" w:fill="auto"/>
              </w:tcPr>
              <w:p w:rsidR="000C5659" w:rsidRDefault="00B708C8">
                <w:pPr>
                  <w:rPr>
                    <w:color w:val="000000" w:themeColor="text1"/>
                  </w:rPr>
                </w:pPr>
                <w:r>
                  <w:rPr>
                    <w:rFonts w:hint="eastAsia"/>
                    <w:color w:val="000000" w:themeColor="text1"/>
                  </w:rPr>
                  <w:t>否</w:t>
                </w:r>
              </w:p>
            </w:tc>
          </w:sdtContent>
        </w:sdt>
        <w:tc>
          <w:tcPr>
            <w:tcW w:w="151" w:type="pct"/>
          </w:tcPr>
          <w:p w:rsidR="000C5659" w:rsidRDefault="000E33C4">
            <w:pPr>
              <w:pStyle w:val="Style116"/>
            </w:pPr>
            <w:r>
              <w:rPr>
                <w:rFonts w:hint="eastAsia"/>
              </w:rPr>
              <w:t>长期</w:t>
            </w:r>
          </w:p>
        </w:tc>
        <w:sdt>
          <w:sdtPr>
            <w:rPr>
              <w:color w:val="000000" w:themeColor="text1"/>
            </w:rPr>
            <w:alias w:val="与首次公开发行相关的承诺-是否及时严格履行"/>
            <w:tag w:val="_GBC_f0146b2209ec4419a3ed5f0295ed2e2e"/>
            <w:id w:val="-1590076576"/>
            <w:comboBox>
              <w:listItem w:displayText="是" w:value="true"/>
              <w:listItem w:displayText="否" w:value="false"/>
            </w:comboBox>
          </w:sdtPr>
          <w:sdtEndPr/>
          <w:sdtContent>
            <w:tc>
              <w:tcPr>
                <w:tcW w:w="251" w:type="pct"/>
                <w:shd w:val="clear" w:color="auto" w:fill="auto"/>
              </w:tcPr>
              <w:p w:rsidR="000C5659" w:rsidRDefault="00B708C8">
                <w:pPr>
                  <w:rPr>
                    <w:color w:val="000000" w:themeColor="text1"/>
                  </w:rPr>
                </w:pPr>
                <w:r>
                  <w:rPr>
                    <w:rFonts w:hint="eastAsia"/>
                    <w:color w:val="000000" w:themeColor="text1"/>
                  </w:rPr>
                  <w:t>是</w:t>
                </w:r>
              </w:p>
            </w:tc>
          </w:sdtContent>
        </w:sdt>
        <w:tc>
          <w:tcPr>
            <w:tcW w:w="353" w:type="pct"/>
            <w:shd w:val="clear" w:color="auto" w:fill="auto"/>
          </w:tcPr>
          <w:p w:rsidR="000C5659" w:rsidRDefault="000E33C4">
            <w:pPr>
              <w:pStyle w:val="Style116"/>
            </w:pPr>
            <w:r>
              <w:rPr>
                <w:rFonts w:hint="eastAsia"/>
              </w:rPr>
              <w:t>不适用</w:t>
            </w:r>
          </w:p>
        </w:tc>
        <w:tc>
          <w:tcPr>
            <w:tcW w:w="333" w:type="pct"/>
            <w:shd w:val="clear" w:color="auto" w:fill="auto"/>
          </w:tcPr>
          <w:p w:rsidR="000C5659" w:rsidRDefault="000E33C4">
            <w:pPr>
              <w:pStyle w:val="Style116"/>
            </w:pPr>
            <w:r>
              <w:rPr>
                <w:rFonts w:hint="eastAsia"/>
              </w:rPr>
              <w:t>不适用</w:t>
            </w:r>
          </w:p>
        </w:tc>
      </w:tr>
      <w:tr w:rsidR="000C5659">
        <w:tc>
          <w:tcPr>
            <w:tcW w:w="152" w:type="pct"/>
            <w:vMerge/>
            <w:shd w:val="clear" w:color="auto" w:fill="auto"/>
            <w:vAlign w:val="center"/>
          </w:tcPr>
          <w:p w:rsidR="000C5659" w:rsidRDefault="000C5659">
            <w:pPr>
              <w:pStyle w:val="Style116"/>
            </w:pPr>
          </w:p>
        </w:tc>
        <w:sdt>
          <w:sdtPr>
            <w:rPr>
              <w:color w:val="000000" w:themeColor="text1"/>
            </w:rPr>
            <w:alias w:val="与首次公开发行相关的承诺-承诺类型"/>
            <w:tag w:val="_GBC_4a04fadf983945b88caa62b18cad19bb"/>
            <w:id w:val="-122228431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2" w:type="pct"/>
                <w:shd w:val="clear" w:color="auto" w:fill="auto"/>
              </w:tcPr>
              <w:p w:rsidR="000C5659" w:rsidRDefault="00B708C8">
                <w:pPr>
                  <w:rPr>
                    <w:color w:val="000000" w:themeColor="text1"/>
                  </w:rPr>
                </w:pPr>
                <w:r>
                  <w:rPr>
                    <w:rFonts w:hint="eastAsia"/>
                    <w:color w:val="000000" w:themeColor="text1"/>
                  </w:rPr>
                  <w:t>解决同</w:t>
                </w:r>
                <w:r>
                  <w:rPr>
                    <w:rFonts w:hint="eastAsia"/>
                    <w:color w:val="000000" w:themeColor="text1"/>
                  </w:rPr>
                  <w:lastRenderedPageBreak/>
                  <w:t>业竞争</w:t>
                </w:r>
              </w:p>
            </w:tc>
          </w:sdtContent>
        </w:sdt>
        <w:tc>
          <w:tcPr>
            <w:tcW w:w="323" w:type="pct"/>
            <w:shd w:val="clear" w:color="auto" w:fill="auto"/>
          </w:tcPr>
          <w:p w:rsidR="000C5659" w:rsidRDefault="000E33C4">
            <w:pPr>
              <w:pStyle w:val="Style116"/>
            </w:pPr>
            <w:r>
              <w:rPr>
                <w:rFonts w:hint="eastAsia"/>
              </w:rPr>
              <w:lastRenderedPageBreak/>
              <w:t>扬州竟成、扬州和成</w:t>
            </w:r>
          </w:p>
        </w:tc>
        <w:tc>
          <w:tcPr>
            <w:tcW w:w="2883" w:type="pct"/>
            <w:shd w:val="clear" w:color="auto" w:fill="auto"/>
          </w:tcPr>
          <w:p w:rsidR="000C5659" w:rsidRDefault="000E33C4">
            <w:pPr>
              <w:jc w:val="both"/>
            </w:pPr>
            <w:r>
              <w:rPr>
                <w:rFonts w:hint="eastAsia"/>
              </w:rPr>
              <w:t>本企业承诺：</w:t>
            </w:r>
            <w:r>
              <w:t>1、本企业目前未从事与上市公司相同或相似业务，未发生构成或可能构成同业竞争的情形；2、本企业郑重承诺，本企业在持有上市公司5%以上股份期间，不会在中国境内或境外，以任何方式（包括但不限于单独经营、通过合资经营或拥有</w:t>
            </w:r>
            <w:r>
              <w:lastRenderedPageBreak/>
              <w:t>另一公司或企业的股份及其他权益）直接或间接参与任何与上市公司构成竞争的任何业务或活动。如上述承诺被证明是不真实的或未被遵守，本企业将向上市公司赔偿一切直接和间接损失，并承担相应的法律责任。</w:t>
            </w:r>
          </w:p>
        </w:tc>
        <w:tc>
          <w:tcPr>
            <w:tcW w:w="251" w:type="pct"/>
          </w:tcPr>
          <w:p w:rsidR="000C5659" w:rsidRDefault="000E33C4">
            <w:pPr>
              <w:pStyle w:val="Style116"/>
            </w:pPr>
            <w:r>
              <w:rPr>
                <w:rFonts w:hint="eastAsia"/>
              </w:rPr>
              <w:lastRenderedPageBreak/>
              <w:t>2</w:t>
            </w:r>
            <w:r>
              <w:t>018</w:t>
            </w:r>
            <w:r>
              <w:rPr>
                <w:rFonts w:hint="eastAsia"/>
              </w:rPr>
              <w:t>年3</w:t>
            </w:r>
            <w:r>
              <w:rPr>
                <w:rFonts w:hint="eastAsia"/>
              </w:rPr>
              <w:lastRenderedPageBreak/>
              <w:t>月2日</w:t>
            </w:r>
          </w:p>
        </w:tc>
        <w:sdt>
          <w:sdtPr>
            <w:rPr>
              <w:color w:val="000000" w:themeColor="text1"/>
            </w:rPr>
            <w:alias w:val="与首次公开发行相关的承诺-是否有履行期限"/>
            <w:tag w:val="_GBC_865043f20c414da39c8d8a70e9c5c4e4"/>
            <w:id w:val="-612515521"/>
            <w:comboBox>
              <w:listItem w:displayText="是" w:value="true"/>
              <w:listItem w:displayText="否" w:value="false"/>
            </w:comboBox>
          </w:sdtPr>
          <w:sdtEndPr/>
          <w:sdtContent>
            <w:tc>
              <w:tcPr>
                <w:tcW w:w="151" w:type="pct"/>
                <w:shd w:val="clear" w:color="auto" w:fill="auto"/>
              </w:tcPr>
              <w:p w:rsidR="000C5659" w:rsidRDefault="00B708C8">
                <w:pPr>
                  <w:rPr>
                    <w:color w:val="000000" w:themeColor="text1"/>
                  </w:rPr>
                </w:pPr>
                <w:r>
                  <w:rPr>
                    <w:rFonts w:hint="eastAsia"/>
                    <w:color w:val="000000" w:themeColor="text1"/>
                  </w:rPr>
                  <w:t>否</w:t>
                </w:r>
              </w:p>
            </w:tc>
          </w:sdtContent>
        </w:sdt>
        <w:tc>
          <w:tcPr>
            <w:tcW w:w="151" w:type="pct"/>
          </w:tcPr>
          <w:p w:rsidR="000C5659" w:rsidRDefault="000E33C4">
            <w:pPr>
              <w:pStyle w:val="Style116"/>
            </w:pPr>
            <w:r>
              <w:rPr>
                <w:rFonts w:hint="eastAsia"/>
              </w:rPr>
              <w:t>长期</w:t>
            </w:r>
          </w:p>
        </w:tc>
        <w:sdt>
          <w:sdtPr>
            <w:rPr>
              <w:color w:val="000000" w:themeColor="text1"/>
            </w:rPr>
            <w:alias w:val="与首次公开发行相关的承诺-是否及时严格履行"/>
            <w:tag w:val="_GBC_f0146b2209ec4419a3ed5f0295ed2e2e"/>
            <w:id w:val="-40374889"/>
            <w:comboBox>
              <w:listItem w:displayText="是" w:value="true"/>
              <w:listItem w:displayText="否" w:value="false"/>
            </w:comboBox>
          </w:sdtPr>
          <w:sdtEndPr/>
          <w:sdtContent>
            <w:tc>
              <w:tcPr>
                <w:tcW w:w="251" w:type="pct"/>
                <w:shd w:val="clear" w:color="auto" w:fill="auto"/>
              </w:tcPr>
              <w:p w:rsidR="000C5659" w:rsidRDefault="00B708C8">
                <w:pPr>
                  <w:rPr>
                    <w:color w:val="000000" w:themeColor="text1"/>
                  </w:rPr>
                </w:pPr>
                <w:r>
                  <w:rPr>
                    <w:rFonts w:hint="eastAsia"/>
                    <w:color w:val="000000" w:themeColor="text1"/>
                  </w:rPr>
                  <w:t>是</w:t>
                </w:r>
              </w:p>
            </w:tc>
          </w:sdtContent>
        </w:sdt>
        <w:tc>
          <w:tcPr>
            <w:tcW w:w="353" w:type="pct"/>
            <w:shd w:val="clear" w:color="auto" w:fill="auto"/>
          </w:tcPr>
          <w:p w:rsidR="000C5659" w:rsidRDefault="000E33C4">
            <w:pPr>
              <w:pStyle w:val="Style116"/>
            </w:pPr>
            <w:r>
              <w:rPr>
                <w:rFonts w:hint="eastAsia"/>
              </w:rPr>
              <w:t>不适用</w:t>
            </w:r>
          </w:p>
        </w:tc>
        <w:tc>
          <w:tcPr>
            <w:tcW w:w="333" w:type="pct"/>
            <w:shd w:val="clear" w:color="auto" w:fill="auto"/>
          </w:tcPr>
          <w:p w:rsidR="000C5659" w:rsidRDefault="000E33C4">
            <w:pPr>
              <w:pStyle w:val="Style116"/>
            </w:pPr>
            <w:r>
              <w:rPr>
                <w:rFonts w:hint="eastAsia"/>
              </w:rPr>
              <w:t>不适用</w:t>
            </w:r>
          </w:p>
        </w:tc>
      </w:tr>
      <w:tr w:rsidR="000C5659">
        <w:tc>
          <w:tcPr>
            <w:tcW w:w="152" w:type="pct"/>
            <w:vMerge/>
            <w:shd w:val="clear" w:color="auto" w:fill="auto"/>
            <w:vAlign w:val="center"/>
          </w:tcPr>
          <w:p w:rsidR="000C5659" w:rsidRDefault="000C5659">
            <w:pPr>
              <w:pStyle w:val="Style116"/>
            </w:pPr>
          </w:p>
        </w:tc>
        <w:sdt>
          <w:sdtPr>
            <w:rPr>
              <w:color w:val="000000" w:themeColor="text1"/>
            </w:rPr>
            <w:alias w:val="与首次公开发行相关的承诺-承诺类型"/>
            <w:tag w:val="_GBC_4a04fadf983945b88caa62b18cad19bb"/>
            <w:id w:val="78993924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2" w:type="pct"/>
                <w:shd w:val="clear" w:color="auto" w:fill="auto"/>
              </w:tcPr>
              <w:p w:rsidR="000C5659" w:rsidRDefault="00B708C8">
                <w:pPr>
                  <w:rPr>
                    <w:color w:val="000000" w:themeColor="text1"/>
                  </w:rPr>
                </w:pPr>
                <w:r>
                  <w:rPr>
                    <w:rFonts w:hint="eastAsia"/>
                    <w:color w:val="000000" w:themeColor="text1"/>
                  </w:rPr>
                  <w:t>解决同业竞争</w:t>
                </w:r>
              </w:p>
            </w:tc>
          </w:sdtContent>
        </w:sdt>
        <w:tc>
          <w:tcPr>
            <w:tcW w:w="323" w:type="pct"/>
            <w:shd w:val="clear" w:color="auto" w:fill="auto"/>
          </w:tcPr>
          <w:p w:rsidR="000C5659" w:rsidRDefault="000E33C4">
            <w:pPr>
              <w:pStyle w:val="Style116"/>
            </w:pPr>
            <w:r>
              <w:rPr>
                <w:rFonts w:hint="eastAsia"/>
              </w:rPr>
              <w:t>公司全体董事、监事、高级管理人员</w:t>
            </w:r>
          </w:p>
        </w:tc>
        <w:tc>
          <w:tcPr>
            <w:tcW w:w="2883" w:type="pct"/>
            <w:shd w:val="clear" w:color="auto" w:fill="auto"/>
          </w:tcPr>
          <w:p w:rsidR="000C5659" w:rsidRDefault="000E33C4">
            <w:pPr>
              <w:jc w:val="both"/>
            </w:pPr>
            <w:r>
              <w:rPr>
                <w:rFonts w:hint="eastAsia"/>
              </w:rPr>
              <w:t>公司董事、监事、高级管理人员承诺：</w:t>
            </w:r>
            <w:r>
              <w:t>1、截至承诺函签署之日，承诺人及承诺人控制的其他企业或经济组织（不含发行人及其子公司，下同）没有从事与发行人（含其子公司，下同）相同或相似的业务；2、自本承诺函签署之日起，承诺人及承诺人控制的其他企业或经济组织不以任何形式直接或间接从事与发行人的主营业务或者主营产品相竞争或者构成竞争威胁的业务活动，包括不投资、收购、兼并从事/生产与发行人的主营业务或者主营产品相同或者相似的企业或者其他经济组织；3、如承诺人及承诺人控制的其他企业或经济组织获得的任何商业机会与发行人主营业务或</w:t>
            </w:r>
            <w:r>
              <w:rPr>
                <w:rFonts w:hint="eastAsia"/>
              </w:rPr>
              <w:t>者主营产品相竞争或可能构成竞争，则承诺人将立即通知发行人，并优先将该商业机会给予发行人；</w:t>
            </w:r>
            <w:r>
              <w:t>4、对于发行人的正常生产、经营活动，承诺人保证不利用董事/监事/高级管理人员的地位损害发行人及发行人其他股东的利益；5、本承诺函在发行人存续且承诺人作为董事／监事／高级管理人员期间持续有效，且不可撤销。若在该期间违反上述承诺的，承诺人将立即停止与发行人构成竞争之业务，并采取必要措施予以纠正补救；同时对因承诺人未履行本承诺函所作的承诺而给发行人造成的一切损失和后果承担赔偿责任。</w:t>
            </w:r>
          </w:p>
        </w:tc>
        <w:tc>
          <w:tcPr>
            <w:tcW w:w="251" w:type="pct"/>
          </w:tcPr>
          <w:p w:rsidR="000C5659" w:rsidRDefault="000E33C4">
            <w:pPr>
              <w:pStyle w:val="Style116"/>
            </w:pPr>
            <w:r>
              <w:rPr>
                <w:rFonts w:hint="eastAsia"/>
              </w:rPr>
              <w:t>2</w:t>
            </w:r>
            <w:r>
              <w:t>018</w:t>
            </w:r>
            <w:r>
              <w:rPr>
                <w:rFonts w:hint="eastAsia"/>
              </w:rPr>
              <w:t>年3月2日</w:t>
            </w:r>
          </w:p>
        </w:tc>
        <w:sdt>
          <w:sdtPr>
            <w:rPr>
              <w:color w:val="000000" w:themeColor="text1"/>
            </w:rPr>
            <w:alias w:val="与首次公开发行相关的承诺-是否有履行期限"/>
            <w:tag w:val="_GBC_865043f20c414da39c8d8a70e9c5c4e4"/>
            <w:id w:val="-1358500920"/>
            <w:comboBox>
              <w:listItem w:displayText="是" w:value="true"/>
              <w:listItem w:displayText="否" w:value="false"/>
            </w:comboBox>
          </w:sdtPr>
          <w:sdtEndPr/>
          <w:sdtContent>
            <w:tc>
              <w:tcPr>
                <w:tcW w:w="151" w:type="pct"/>
                <w:shd w:val="clear" w:color="auto" w:fill="auto"/>
              </w:tcPr>
              <w:p w:rsidR="000C5659" w:rsidRDefault="00B708C8">
                <w:pPr>
                  <w:rPr>
                    <w:color w:val="000000" w:themeColor="text1"/>
                  </w:rPr>
                </w:pPr>
                <w:r>
                  <w:rPr>
                    <w:rFonts w:hint="eastAsia"/>
                    <w:color w:val="000000" w:themeColor="text1"/>
                  </w:rPr>
                  <w:t>否</w:t>
                </w:r>
              </w:p>
            </w:tc>
          </w:sdtContent>
        </w:sdt>
        <w:tc>
          <w:tcPr>
            <w:tcW w:w="151" w:type="pct"/>
          </w:tcPr>
          <w:p w:rsidR="000C5659" w:rsidRDefault="000E33C4">
            <w:pPr>
              <w:pStyle w:val="Style116"/>
            </w:pPr>
            <w:r>
              <w:rPr>
                <w:rFonts w:hint="eastAsia"/>
              </w:rPr>
              <w:t>长期</w:t>
            </w:r>
          </w:p>
        </w:tc>
        <w:sdt>
          <w:sdtPr>
            <w:rPr>
              <w:color w:val="000000" w:themeColor="text1"/>
            </w:rPr>
            <w:alias w:val="与首次公开发行相关的承诺-是否及时严格履行"/>
            <w:tag w:val="_GBC_f0146b2209ec4419a3ed5f0295ed2e2e"/>
            <w:id w:val="-770007910"/>
            <w:comboBox>
              <w:listItem w:displayText="是" w:value="true"/>
              <w:listItem w:displayText="否" w:value="false"/>
            </w:comboBox>
          </w:sdtPr>
          <w:sdtEndPr/>
          <w:sdtContent>
            <w:tc>
              <w:tcPr>
                <w:tcW w:w="251" w:type="pct"/>
                <w:shd w:val="clear" w:color="auto" w:fill="auto"/>
              </w:tcPr>
              <w:p w:rsidR="000C5659" w:rsidRDefault="00B708C8">
                <w:pPr>
                  <w:rPr>
                    <w:color w:val="000000" w:themeColor="text1"/>
                  </w:rPr>
                </w:pPr>
                <w:r>
                  <w:rPr>
                    <w:rFonts w:hint="eastAsia"/>
                    <w:color w:val="000000" w:themeColor="text1"/>
                  </w:rPr>
                  <w:t>是</w:t>
                </w:r>
              </w:p>
            </w:tc>
          </w:sdtContent>
        </w:sdt>
        <w:tc>
          <w:tcPr>
            <w:tcW w:w="353" w:type="pct"/>
            <w:shd w:val="clear" w:color="auto" w:fill="auto"/>
          </w:tcPr>
          <w:p w:rsidR="000C5659" w:rsidRDefault="000E33C4">
            <w:pPr>
              <w:pStyle w:val="Style116"/>
            </w:pPr>
            <w:r>
              <w:rPr>
                <w:rFonts w:hint="eastAsia"/>
              </w:rPr>
              <w:t>不适用</w:t>
            </w:r>
          </w:p>
        </w:tc>
        <w:tc>
          <w:tcPr>
            <w:tcW w:w="333" w:type="pct"/>
            <w:shd w:val="clear" w:color="auto" w:fill="auto"/>
          </w:tcPr>
          <w:p w:rsidR="000C5659" w:rsidRDefault="000E33C4">
            <w:pPr>
              <w:pStyle w:val="Style116"/>
            </w:pPr>
            <w:r>
              <w:rPr>
                <w:rFonts w:hint="eastAsia"/>
              </w:rPr>
              <w:t>不适用</w:t>
            </w:r>
          </w:p>
        </w:tc>
      </w:tr>
      <w:tr w:rsidR="000C5659">
        <w:tc>
          <w:tcPr>
            <w:tcW w:w="152" w:type="pct"/>
            <w:vMerge/>
            <w:shd w:val="clear" w:color="auto" w:fill="auto"/>
            <w:vAlign w:val="center"/>
          </w:tcPr>
          <w:p w:rsidR="000C5659" w:rsidRDefault="000C5659">
            <w:pPr>
              <w:pStyle w:val="Style116"/>
            </w:pPr>
          </w:p>
        </w:tc>
        <w:sdt>
          <w:sdtPr>
            <w:rPr>
              <w:color w:val="000000" w:themeColor="text1"/>
            </w:rPr>
            <w:alias w:val="与首次公开发行相关的承诺-承诺类型"/>
            <w:tag w:val="_GBC_4a04fadf983945b88caa62b18cad19bb"/>
            <w:id w:val="78847727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2" w:type="pct"/>
                <w:shd w:val="clear" w:color="auto" w:fill="auto"/>
              </w:tcPr>
              <w:p w:rsidR="000C5659" w:rsidRDefault="00B708C8">
                <w:pPr>
                  <w:rPr>
                    <w:color w:val="000000" w:themeColor="text1"/>
                  </w:rPr>
                </w:pPr>
                <w:r>
                  <w:rPr>
                    <w:rFonts w:hint="eastAsia"/>
                    <w:color w:val="000000" w:themeColor="text1"/>
                  </w:rPr>
                  <w:t>解决关联交易</w:t>
                </w:r>
              </w:p>
            </w:tc>
          </w:sdtContent>
        </w:sdt>
        <w:tc>
          <w:tcPr>
            <w:tcW w:w="323" w:type="pct"/>
            <w:shd w:val="clear" w:color="auto" w:fill="auto"/>
          </w:tcPr>
          <w:p w:rsidR="000C5659" w:rsidRDefault="000E33C4">
            <w:pPr>
              <w:pStyle w:val="Style116"/>
            </w:pPr>
            <w:r>
              <w:rPr>
                <w:rFonts w:hint="eastAsia"/>
              </w:rPr>
              <w:t>张文生</w:t>
            </w:r>
          </w:p>
        </w:tc>
        <w:tc>
          <w:tcPr>
            <w:tcW w:w="2883" w:type="pct"/>
            <w:shd w:val="clear" w:color="auto" w:fill="auto"/>
          </w:tcPr>
          <w:p w:rsidR="000C5659" w:rsidRDefault="000E33C4">
            <w:pPr>
              <w:jc w:val="both"/>
            </w:pPr>
            <w:r>
              <w:t>1、本人、本人控制的其他企业与发行人之间将尽可能地避免和减少关联交易。对于无法避免或者有合理原因而发生的关联交易，本人承诺将遵循市场公正、公平、公开的原则，并依法签订协议，履行合法程序，按照发行人《公司章程》、《关联交易管理制度》等相关规章制度履行审议程序，关联交易的价格依照与无关联关系的独立第三方进行相同或相似交易时的价格确定，保证关联交易价格具有公允性，并按照《上海证券交易所股票上市规则》等有关规定对关联交易履行信息披露义务；2、本人将严格按照《中华人民共和国公司法》等法律、法规以及《公司章程》、《关联</w:t>
            </w:r>
            <w:r>
              <w:rPr>
                <w:rFonts w:hint="eastAsia"/>
              </w:rPr>
              <w:t>交易管理制度》等有关规定行使股东权利，规范关联交易，在股东大会对涉及本人、本人控制的其他企业事项的关联交易进行表决时，履行回避表决的义务；</w:t>
            </w:r>
            <w:r>
              <w:t>3、本人承诺不利用关联交易非法转移发行人的资金、利润，不利用关联交易损害发行人及其股东的利益；本人保证将依照《公司章程》的规定参加股东大会，平等地行使股东权利并履行股东义务，不利用实际控制人地位谋取不正当利益，不损害发行人及其他股东的合法权益。除非本人不再作为发行人的实际控制人，本承诺始终有效。若本人违反上述承诺给发行人及其他股东造成损失，一切损失将由本人承担。</w:t>
            </w:r>
          </w:p>
        </w:tc>
        <w:tc>
          <w:tcPr>
            <w:tcW w:w="251" w:type="pct"/>
          </w:tcPr>
          <w:p w:rsidR="000C5659" w:rsidRDefault="000E33C4">
            <w:pPr>
              <w:pStyle w:val="Style116"/>
            </w:pPr>
            <w:r>
              <w:t>2018</w:t>
            </w:r>
            <w:r>
              <w:rPr>
                <w:rFonts w:hint="eastAsia"/>
              </w:rPr>
              <w:t>年3月2日</w:t>
            </w:r>
          </w:p>
        </w:tc>
        <w:sdt>
          <w:sdtPr>
            <w:rPr>
              <w:color w:val="000000" w:themeColor="text1"/>
            </w:rPr>
            <w:alias w:val="与首次公开发行相关的承诺-是否有履行期限"/>
            <w:tag w:val="_GBC_865043f20c414da39c8d8a70e9c5c4e4"/>
            <w:id w:val="1952738403"/>
            <w:comboBox>
              <w:listItem w:displayText="是" w:value="true"/>
              <w:listItem w:displayText="否" w:value="false"/>
            </w:comboBox>
          </w:sdtPr>
          <w:sdtEndPr/>
          <w:sdtContent>
            <w:tc>
              <w:tcPr>
                <w:tcW w:w="151" w:type="pct"/>
                <w:shd w:val="clear" w:color="auto" w:fill="auto"/>
              </w:tcPr>
              <w:p w:rsidR="000C5659" w:rsidRDefault="00B708C8">
                <w:pPr>
                  <w:rPr>
                    <w:color w:val="000000" w:themeColor="text1"/>
                  </w:rPr>
                </w:pPr>
                <w:r>
                  <w:rPr>
                    <w:rFonts w:hint="eastAsia"/>
                    <w:color w:val="000000" w:themeColor="text1"/>
                  </w:rPr>
                  <w:t>否</w:t>
                </w:r>
              </w:p>
            </w:tc>
          </w:sdtContent>
        </w:sdt>
        <w:tc>
          <w:tcPr>
            <w:tcW w:w="151" w:type="pct"/>
          </w:tcPr>
          <w:p w:rsidR="000C5659" w:rsidRDefault="000E33C4">
            <w:pPr>
              <w:pStyle w:val="Style116"/>
            </w:pPr>
            <w:r>
              <w:rPr>
                <w:rFonts w:hint="eastAsia"/>
              </w:rPr>
              <w:t>长期</w:t>
            </w:r>
          </w:p>
        </w:tc>
        <w:sdt>
          <w:sdtPr>
            <w:rPr>
              <w:color w:val="000000" w:themeColor="text1"/>
            </w:rPr>
            <w:alias w:val="与首次公开发行相关的承诺-是否及时严格履行"/>
            <w:tag w:val="_GBC_f0146b2209ec4419a3ed5f0295ed2e2e"/>
            <w:id w:val="1995455756"/>
            <w:comboBox>
              <w:listItem w:displayText="是" w:value="true"/>
              <w:listItem w:displayText="否" w:value="false"/>
            </w:comboBox>
          </w:sdtPr>
          <w:sdtEndPr/>
          <w:sdtContent>
            <w:tc>
              <w:tcPr>
                <w:tcW w:w="251" w:type="pct"/>
                <w:shd w:val="clear" w:color="auto" w:fill="auto"/>
              </w:tcPr>
              <w:p w:rsidR="000C5659" w:rsidRDefault="00B708C8">
                <w:pPr>
                  <w:rPr>
                    <w:color w:val="000000" w:themeColor="text1"/>
                  </w:rPr>
                </w:pPr>
                <w:r>
                  <w:rPr>
                    <w:rFonts w:hint="eastAsia"/>
                    <w:color w:val="000000" w:themeColor="text1"/>
                  </w:rPr>
                  <w:t>是</w:t>
                </w:r>
              </w:p>
            </w:tc>
          </w:sdtContent>
        </w:sdt>
        <w:tc>
          <w:tcPr>
            <w:tcW w:w="353" w:type="pct"/>
            <w:shd w:val="clear" w:color="auto" w:fill="auto"/>
          </w:tcPr>
          <w:p w:rsidR="000C5659" w:rsidRDefault="000E33C4">
            <w:pPr>
              <w:pStyle w:val="Style116"/>
            </w:pPr>
            <w:r>
              <w:rPr>
                <w:rFonts w:hint="eastAsia"/>
              </w:rPr>
              <w:t>不适用</w:t>
            </w:r>
          </w:p>
        </w:tc>
        <w:tc>
          <w:tcPr>
            <w:tcW w:w="333" w:type="pct"/>
            <w:shd w:val="clear" w:color="auto" w:fill="auto"/>
          </w:tcPr>
          <w:p w:rsidR="000C5659" w:rsidRDefault="000E33C4">
            <w:pPr>
              <w:pStyle w:val="Style116"/>
            </w:pPr>
            <w:r>
              <w:rPr>
                <w:rFonts w:hint="eastAsia"/>
              </w:rPr>
              <w:t>不适用</w:t>
            </w:r>
          </w:p>
        </w:tc>
      </w:tr>
      <w:bookmarkEnd w:id="60"/>
    </w:tbl>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hint="eastAsia"/>
          <w:color w:val="000000" w:themeColor="text1"/>
        </w:rPr>
        <w:t>报</w:t>
      </w:r>
      <w:r>
        <w:rPr>
          <w:rFonts w:ascii="宋体" w:hAnsi="宋体"/>
          <w:color w:val="000000" w:themeColor="text1"/>
        </w:rPr>
        <w:t>告期内</w:t>
      </w:r>
      <w:r>
        <w:rPr>
          <w:rFonts w:ascii="宋体" w:hAnsi="宋体" w:hint="eastAsia"/>
          <w:color w:val="000000" w:themeColor="text1"/>
        </w:rPr>
        <w:t>控股股东及其他关联方非经营性占用资金情况</w:t>
      </w:r>
    </w:p>
    <w:sdt>
      <w:sdtPr>
        <w:rPr>
          <w:color w:val="000000" w:themeColor="text1"/>
        </w:rPr>
        <w:alias w:val="是否适用：资金被占用情况及清欠进展情况[双击切换]"/>
        <w:tag w:val="_GBC_ae82394ae54d49eba71e8d8d6447c499"/>
        <w:id w:val="138506833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61" w:name="_Hlk74646365"/>
    </w:p>
    <w:bookmarkEnd w:id="61"/>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hint="eastAsia"/>
          <w:color w:val="000000" w:themeColor="text1"/>
        </w:rPr>
        <w:t>违规担保情况</w:t>
      </w:r>
    </w:p>
    <w:sdt>
      <w:sdtPr>
        <w:rPr>
          <w:color w:val="000000" w:themeColor="text1"/>
        </w:rPr>
        <w:alias w:val="是否适用：违规担保情况[双击切换]"/>
        <w:tag w:val="_GBC_725722c7a37d40c28caf80b13d948933"/>
        <w:id w:val="-2310866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sectPr w:rsidR="000C5659">
          <w:pgSz w:w="16838" w:h="11906" w:orient="landscape"/>
          <w:pgMar w:top="1797" w:right="1525" w:bottom="1276" w:left="1440" w:header="851" w:footer="992" w:gutter="0"/>
          <w:cols w:space="425"/>
          <w:docGrid w:linePitch="312"/>
        </w:sectPr>
      </w:pPr>
      <w:bookmarkStart w:id="62" w:name="_Hlk74646368"/>
      <w:bookmarkEnd w:id="62"/>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hint="eastAsia"/>
          <w:color w:val="000000" w:themeColor="text1"/>
        </w:rPr>
        <w:lastRenderedPageBreak/>
        <w:t>半年报审计情况</w:t>
      </w:r>
    </w:p>
    <w:sdt>
      <w:sdtPr>
        <w:rPr>
          <w:color w:val="000000" w:themeColor="text1"/>
        </w:rPr>
        <w:alias w:val="是否适用：半年报审计情况  [双击切换]"/>
        <w:tag w:val="_GBC_b2faf86be7fd4060a2a7ad4018aaf033"/>
        <w:id w:val="-12443346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hint="eastAsia"/>
          <w:color w:val="000000" w:themeColor="text1"/>
        </w:rPr>
        <w:t>上年年度报告非标准审计意见涉及事项的变化及处理情况</w:t>
      </w:r>
    </w:p>
    <w:sdt>
      <w:sdtPr>
        <w:rPr>
          <w:rFonts w:hint="eastAsia"/>
          <w:color w:val="000000" w:themeColor="text1"/>
        </w:rPr>
        <w:alias w:val="是否适用：公司对上年年度报告中的财务报告被注册会计师出具“非标准审计报告”的说明 [双击切换]"/>
        <w:tag w:val="_GBC_06e0811c47124b6da79369103f766350"/>
        <w:id w:val="9462806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hint="eastAsia"/>
          <w:color w:val="000000" w:themeColor="text1"/>
        </w:rPr>
        <w:t>破产重整相关事项</w:t>
      </w:r>
    </w:p>
    <w:sdt>
      <w:sdtPr>
        <w:rPr>
          <w:rFonts w:hint="eastAsia"/>
          <w:color w:val="000000" w:themeColor="text1"/>
        </w:rPr>
        <w:alias w:val="是否适用：破产重整相关事项[双击切换]"/>
        <w:tag w:val="_GBC_c4fc8890d63b44b19353d2188a5bce59"/>
        <w:id w:val="104140575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color w:val="000000" w:themeColor="text1"/>
        </w:rPr>
        <w:t>重大诉讼、仲裁事项</w:t>
      </w:r>
    </w:p>
    <w:sdt>
      <w:sdtPr>
        <w:rPr>
          <w:color w:val="000000" w:themeColor="text1"/>
        </w:rPr>
        <w:alias w:val="本年度公司有无重大诉讼、仲裁事项"/>
        <w:tag w:val="_GBC_0fcf1cd2d0814185bde747855edf5227"/>
        <w:id w:val="177705681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√本报告期公司有重大诉讼、仲裁事项 </w:instrText>
          </w:r>
          <w:r>
            <w:rPr>
              <w:color w:val="000000" w:themeColor="text1"/>
            </w:rPr>
            <w:fldChar w:fldCharType="end"/>
          </w:r>
          <w:r>
            <w:rPr>
              <w:color w:val="000000" w:themeColor="text1"/>
            </w:rPr>
            <w:fldChar w:fldCharType="begin"/>
          </w:r>
          <w:r>
            <w:rPr>
              <w:color w:val="000000" w:themeColor="text1"/>
            </w:rPr>
            <w:instrText xml:space="preserve"> MACROBUTTON  SnrToggleCheckbox □本报告期公司无重大诉讼、仲裁事项 </w:instrText>
          </w:r>
          <w:r>
            <w:rPr>
              <w:color w:val="000000" w:themeColor="text1"/>
            </w:rPr>
            <w:fldChar w:fldCharType="end"/>
          </w:r>
        </w:p>
      </w:sdtContent>
    </w:sdt>
    <w:p w:rsidR="000C5659" w:rsidRDefault="000E33C4" w:rsidP="000743DD">
      <w:pPr>
        <w:pStyle w:val="3"/>
        <w:numPr>
          <w:ilvl w:val="0"/>
          <w:numId w:val="23"/>
        </w:numPr>
        <w:rPr>
          <w:rFonts w:ascii="宋体" w:hAnsi="宋体"/>
          <w:color w:val="000000" w:themeColor="text1"/>
        </w:rPr>
      </w:pPr>
      <w:r>
        <w:rPr>
          <w:rFonts w:ascii="宋体" w:hAnsi="宋体"/>
          <w:color w:val="000000" w:themeColor="text1"/>
        </w:rPr>
        <w:t>诉讼、仲裁事项已在临时公告披露且无后续进展的</w:t>
      </w:r>
    </w:p>
    <w:sdt>
      <w:sdtPr>
        <w:rPr>
          <w:color w:val="000000" w:themeColor="text1"/>
        </w:rPr>
        <w:alias w:val="是否适用：诉讼、仲裁事项已在临时公告披露且无后续进展的[双击切换]"/>
        <w:tag w:val="_GBC_1c7697ff89954de38b9736575b9b7dc9"/>
        <w:id w:val="-213085622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0"/>
          <w:numId w:val="23"/>
        </w:numPr>
        <w:rPr>
          <w:rFonts w:ascii="宋体" w:hAnsi="宋体"/>
          <w:color w:val="000000" w:themeColor="text1"/>
        </w:rPr>
      </w:pPr>
      <w:r>
        <w:rPr>
          <w:rFonts w:ascii="宋体" w:hAnsi="宋体"/>
          <w:color w:val="000000" w:themeColor="text1"/>
        </w:rPr>
        <w:t>临时公告未披露或有后续进展的诉讼、仲裁情况</w:t>
      </w:r>
    </w:p>
    <w:sdt>
      <w:sdtPr>
        <w:rPr>
          <w:color w:val="000000" w:themeColor="text1"/>
        </w:rPr>
        <w:alias w:val="是否适用：临时公告未披露或有后续进展的诉讼、仲裁情况[双击切换]"/>
        <w:tag w:val="_GBC_3f59cc6ee3354630821313bac686c029"/>
        <w:id w:val="-89473989"/>
        <w:placeholder>
          <w:docPart w:val="GBC22222222222222222222222222222"/>
        </w:placeholder>
      </w:sdtPr>
      <w:sdtEndPr/>
      <w:sdtContent>
        <w:p w:rsidR="000C5659" w:rsidRDefault="000E33C4">
          <w:pPr>
            <w:rPr>
              <w:color w:val="000000" w:themeColor="text1"/>
            </w:rPr>
            <w:sectPr w:rsidR="000C5659">
              <w:pgSz w:w="11906" w:h="16838"/>
              <w:pgMar w:top="1525" w:right="1276" w:bottom="1440" w:left="1797" w:header="851" w:footer="992" w:gutter="0"/>
              <w:cols w:space="425"/>
              <w:docGrid w:linePitch="312"/>
            </w:sect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r>
            <w:rPr>
              <w:color w:val="000000" w:themeColor="text1"/>
            </w:rPr>
            <w:br w:type="page"/>
          </w:r>
        </w:p>
        <w:p w:rsidR="000C5659" w:rsidRDefault="00220B84">
          <w:pPr>
            <w:rPr>
              <w:color w:val="000000" w:themeColor="text1"/>
            </w:rPr>
          </w:pP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重大诉讼仲裁事项"/>
          <w:tag w:val="_GBC_ab5a46f4fd35408cba7d05de7b668fac"/>
          <w:id w:val="-17947433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重大诉讼仲裁事项"/>
          <w:tag w:val="_GBC_67f8b933111740f4867b07d27cbb7862"/>
          <w:id w:val="21352039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aff2"/>
        <w:tblW w:w="13671" w:type="dxa"/>
        <w:jc w:val="center"/>
        <w:tblLook w:val="04A0" w:firstRow="1" w:lastRow="0" w:firstColumn="1" w:lastColumn="0" w:noHBand="0" w:noVBand="1"/>
      </w:tblPr>
      <w:tblGrid>
        <w:gridCol w:w="1175"/>
        <w:gridCol w:w="1133"/>
        <w:gridCol w:w="426"/>
        <w:gridCol w:w="426"/>
        <w:gridCol w:w="5097"/>
        <w:gridCol w:w="1424"/>
        <w:gridCol w:w="1799"/>
        <w:gridCol w:w="1056"/>
        <w:gridCol w:w="536"/>
        <w:gridCol w:w="599"/>
      </w:tblGrid>
      <w:tr w:rsidR="000C5659">
        <w:trPr>
          <w:jc w:val="center"/>
        </w:trPr>
        <w:sdt>
          <w:sdtPr>
            <w:rPr>
              <w:rFonts w:ascii="Times New Roman" w:hAnsi="Times New Roman"/>
              <w:color w:val="000000" w:themeColor="text1"/>
            </w:rPr>
            <w:tag w:val="_PLD_542ec69aa4ef4bfab0931fd1db76a6ba"/>
            <w:id w:val="-953713239"/>
          </w:sdtPr>
          <w:sdtEndPr/>
          <w:sdtContent>
            <w:tc>
              <w:tcPr>
                <w:tcW w:w="13671" w:type="dxa"/>
                <w:gridSpan w:val="10"/>
              </w:tcPr>
              <w:p w:rsidR="000C5659" w:rsidRDefault="000E33C4">
                <w:pPr>
                  <w:rPr>
                    <w:rFonts w:ascii="Times New Roman" w:hAnsi="Times New Roman"/>
                    <w:color w:val="000000" w:themeColor="text1"/>
                  </w:rPr>
                </w:pPr>
                <w:r>
                  <w:rPr>
                    <w:rFonts w:ascii="Times New Roman" w:hAnsi="Times New Roman" w:hint="eastAsia"/>
                    <w:color w:val="000000" w:themeColor="text1"/>
                  </w:rPr>
                  <w:t>报告期内：</w:t>
                </w:r>
              </w:p>
            </w:tc>
          </w:sdtContent>
        </w:sdt>
      </w:tr>
      <w:tr w:rsidR="000C5659">
        <w:trPr>
          <w:jc w:val="center"/>
        </w:trPr>
        <w:sdt>
          <w:sdtPr>
            <w:rPr>
              <w:rFonts w:ascii="Times New Roman" w:hAnsi="Times New Roman"/>
              <w:color w:val="000000" w:themeColor="text1"/>
            </w:rPr>
            <w:tag w:val="_PLD_65530f9e2c974c4caf9f0a8143274a84"/>
            <w:id w:val="292335013"/>
          </w:sdtPr>
          <w:sdtEndPr/>
          <w:sdtContent>
            <w:tc>
              <w:tcPr>
                <w:tcW w:w="1175"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起诉</w:t>
                </w:r>
                <w:r>
                  <w:rPr>
                    <w:rFonts w:ascii="Times New Roman" w:hAnsi="Times New Roman"/>
                    <w:color w:val="000000" w:themeColor="text1"/>
                  </w:rPr>
                  <w:t>(</w:t>
                </w:r>
                <w:r>
                  <w:rPr>
                    <w:rFonts w:ascii="Times New Roman" w:hAnsi="Times New Roman"/>
                    <w:color w:val="000000" w:themeColor="text1"/>
                  </w:rPr>
                  <w:t>申请</w:t>
                </w:r>
                <w:r>
                  <w:rPr>
                    <w:rFonts w:ascii="Times New Roman" w:hAnsi="Times New Roman"/>
                    <w:color w:val="000000" w:themeColor="text1"/>
                  </w:rPr>
                  <w:t>)</w:t>
                </w:r>
                <w:r>
                  <w:rPr>
                    <w:rFonts w:ascii="Times New Roman" w:hAnsi="Times New Roman"/>
                    <w:color w:val="000000" w:themeColor="text1"/>
                  </w:rPr>
                  <w:t>方</w:t>
                </w:r>
              </w:p>
            </w:tc>
          </w:sdtContent>
        </w:sdt>
        <w:sdt>
          <w:sdtPr>
            <w:rPr>
              <w:rFonts w:ascii="Times New Roman" w:hAnsi="Times New Roman"/>
              <w:color w:val="000000" w:themeColor="text1"/>
            </w:rPr>
            <w:tag w:val="_PLD_199b4615ac594ea49e4ae790f9604175"/>
            <w:id w:val="-412245047"/>
          </w:sdtPr>
          <w:sdtEndPr/>
          <w:sdtContent>
            <w:tc>
              <w:tcPr>
                <w:tcW w:w="1134"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应诉（被申请</w:t>
                </w:r>
                <w:r>
                  <w:rPr>
                    <w:rFonts w:ascii="Times New Roman" w:hAnsi="Times New Roman" w:hint="eastAsia"/>
                    <w:color w:val="000000" w:themeColor="text1"/>
                  </w:rPr>
                  <w:t>）</w:t>
                </w:r>
                <w:r>
                  <w:rPr>
                    <w:rFonts w:ascii="Times New Roman" w:hAnsi="Times New Roman"/>
                    <w:color w:val="000000" w:themeColor="text1"/>
                  </w:rPr>
                  <w:t>方</w:t>
                </w:r>
              </w:p>
            </w:tc>
          </w:sdtContent>
        </w:sdt>
        <w:sdt>
          <w:sdtPr>
            <w:rPr>
              <w:rFonts w:ascii="Times New Roman" w:hAnsi="Times New Roman"/>
              <w:color w:val="000000" w:themeColor="text1"/>
            </w:rPr>
            <w:tag w:val="_PLD_40e0da63dc8243ccadfed7bf52b93f8b"/>
            <w:id w:val="-1039579328"/>
          </w:sdtPr>
          <w:sdtEndPr/>
          <w:sdtContent>
            <w:tc>
              <w:tcPr>
                <w:tcW w:w="426"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承担连带责任方</w:t>
                </w:r>
              </w:p>
            </w:tc>
          </w:sdtContent>
        </w:sdt>
        <w:sdt>
          <w:sdtPr>
            <w:rPr>
              <w:rFonts w:ascii="Times New Roman" w:hAnsi="Times New Roman"/>
              <w:color w:val="000000" w:themeColor="text1"/>
            </w:rPr>
            <w:tag w:val="_PLD_46f93380e03f45adbc91c2ab3774798c"/>
            <w:id w:val="-931671359"/>
          </w:sdtPr>
          <w:sdtEndPr/>
          <w:sdtContent>
            <w:tc>
              <w:tcPr>
                <w:tcW w:w="426"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诉讼仲裁类型</w:t>
                </w:r>
              </w:p>
            </w:tc>
          </w:sdtContent>
        </w:sdt>
        <w:sdt>
          <w:sdtPr>
            <w:rPr>
              <w:rFonts w:ascii="Times New Roman" w:hAnsi="Times New Roman"/>
              <w:color w:val="000000" w:themeColor="text1"/>
            </w:rPr>
            <w:tag w:val="_PLD_29743bdc16de45d8a3449747b5605f16"/>
            <w:id w:val="-1689363992"/>
          </w:sdtPr>
          <w:sdtEndPr/>
          <w:sdtContent>
            <w:tc>
              <w:tcPr>
                <w:tcW w:w="5102"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诉讼</w:t>
                </w:r>
                <w:r>
                  <w:rPr>
                    <w:rFonts w:ascii="Times New Roman" w:hAnsi="Times New Roman"/>
                    <w:color w:val="000000" w:themeColor="text1"/>
                  </w:rPr>
                  <w:t>(</w:t>
                </w:r>
                <w:r>
                  <w:rPr>
                    <w:rFonts w:ascii="Times New Roman" w:hAnsi="Times New Roman"/>
                    <w:color w:val="000000" w:themeColor="text1"/>
                  </w:rPr>
                  <w:t>仲裁</w:t>
                </w:r>
                <w:r>
                  <w:rPr>
                    <w:rFonts w:ascii="Times New Roman" w:hAnsi="Times New Roman"/>
                    <w:color w:val="000000" w:themeColor="text1"/>
                  </w:rPr>
                  <w:t>)</w:t>
                </w:r>
                <w:r>
                  <w:rPr>
                    <w:rFonts w:ascii="Times New Roman" w:hAnsi="Times New Roman"/>
                    <w:color w:val="000000" w:themeColor="text1"/>
                  </w:rPr>
                  <w:t>基本情况</w:t>
                </w:r>
              </w:p>
            </w:tc>
          </w:sdtContent>
        </w:sdt>
        <w:sdt>
          <w:sdtPr>
            <w:rPr>
              <w:rFonts w:ascii="Times New Roman" w:hAnsi="Times New Roman"/>
              <w:color w:val="000000" w:themeColor="text1"/>
            </w:rPr>
            <w:tag w:val="_PLD_cc4909272128469b9b9eb68f21f24563"/>
            <w:id w:val="1789627450"/>
          </w:sdtPr>
          <w:sdtEndPr/>
          <w:sdtContent>
            <w:tc>
              <w:tcPr>
                <w:tcW w:w="1417"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诉讼</w:t>
                </w:r>
                <w:r>
                  <w:rPr>
                    <w:rFonts w:ascii="Times New Roman" w:hAnsi="Times New Roman"/>
                    <w:color w:val="000000" w:themeColor="text1"/>
                  </w:rPr>
                  <w:t>(</w:t>
                </w:r>
                <w:r>
                  <w:rPr>
                    <w:rFonts w:ascii="Times New Roman" w:hAnsi="Times New Roman"/>
                    <w:color w:val="000000" w:themeColor="text1"/>
                  </w:rPr>
                  <w:t>仲裁</w:t>
                </w:r>
                <w:r>
                  <w:rPr>
                    <w:rFonts w:ascii="Times New Roman" w:hAnsi="Times New Roman"/>
                    <w:color w:val="000000" w:themeColor="text1"/>
                  </w:rPr>
                  <w:t>)</w:t>
                </w:r>
                <w:r>
                  <w:rPr>
                    <w:rFonts w:ascii="Times New Roman" w:hAnsi="Times New Roman"/>
                    <w:color w:val="000000" w:themeColor="text1"/>
                  </w:rPr>
                  <w:t>涉及金额</w:t>
                </w:r>
              </w:p>
            </w:tc>
          </w:sdtContent>
        </w:sdt>
        <w:sdt>
          <w:sdtPr>
            <w:rPr>
              <w:rFonts w:ascii="Times New Roman" w:hAnsi="Times New Roman"/>
              <w:color w:val="000000" w:themeColor="text1"/>
            </w:rPr>
            <w:tag w:val="_PLD_314be9ce30c646b1a34851dbc8c947ff"/>
            <w:id w:val="-178354078"/>
          </w:sdtPr>
          <w:sdtEndPr/>
          <w:sdtContent>
            <w:tc>
              <w:tcPr>
                <w:tcW w:w="1800"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诉讼</w:t>
                </w:r>
                <w:r>
                  <w:rPr>
                    <w:rFonts w:ascii="Times New Roman" w:hAnsi="Times New Roman"/>
                    <w:color w:val="000000" w:themeColor="text1"/>
                  </w:rPr>
                  <w:t>(</w:t>
                </w:r>
                <w:r>
                  <w:rPr>
                    <w:rFonts w:ascii="Times New Roman" w:hAnsi="Times New Roman"/>
                    <w:color w:val="000000" w:themeColor="text1"/>
                  </w:rPr>
                  <w:t>仲裁</w:t>
                </w:r>
                <w:r>
                  <w:rPr>
                    <w:rFonts w:ascii="Times New Roman" w:hAnsi="Times New Roman"/>
                    <w:color w:val="000000" w:themeColor="text1"/>
                  </w:rPr>
                  <w:t>)</w:t>
                </w:r>
                <w:r>
                  <w:rPr>
                    <w:rFonts w:ascii="Times New Roman" w:hAnsi="Times New Roman"/>
                    <w:color w:val="000000" w:themeColor="text1"/>
                  </w:rPr>
                  <w:t>是否形成预计负债及金额</w:t>
                </w:r>
              </w:p>
            </w:tc>
          </w:sdtContent>
        </w:sdt>
        <w:sdt>
          <w:sdtPr>
            <w:rPr>
              <w:rFonts w:ascii="Times New Roman" w:hAnsi="Times New Roman"/>
              <w:color w:val="000000" w:themeColor="text1"/>
            </w:rPr>
            <w:tag w:val="_PLD_27f3a3c3699f4caaa599fe2ff85e043a"/>
            <w:id w:val="-2009597958"/>
          </w:sdtPr>
          <w:sdtEndPr/>
          <w:sdtContent>
            <w:tc>
              <w:tcPr>
                <w:tcW w:w="1056"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诉讼</w:t>
                </w:r>
                <w:r>
                  <w:rPr>
                    <w:rFonts w:ascii="Times New Roman" w:hAnsi="Times New Roman"/>
                    <w:color w:val="000000" w:themeColor="text1"/>
                  </w:rPr>
                  <w:t>(</w:t>
                </w:r>
                <w:r>
                  <w:rPr>
                    <w:rFonts w:ascii="Times New Roman" w:hAnsi="Times New Roman"/>
                    <w:color w:val="000000" w:themeColor="text1"/>
                  </w:rPr>
                  <w:t>仲裁</w:t>
                </w:r>
                <w:r>
                  <w:rPr>
                    <w:rFonts w:ascii="Times New Roman" w:hAnsi="Times New Roman"/>
                    <w:color w:val="000000" w:themeColor="text1"/>
                  </w:rPr>
                  <w:t>)</w:t>
                </w:r>
                <w:r>
                  <w:rPr>
                    <w:rFonts w:ascii="Times New Roman" w:hAnsi="Times New Roman"/>
                    <w:color w:val="000000" w:themeColor="text1"/>
                  </w:rPr>
                  <w:t>进展情况</w:t>
                </w:r>
              </w:p>
            </w:tc>
          </w:sdtContent>
        </w:sdt>
        <w:sdt>
          <w:sdtPr>
            <w:rPr>
              <w:rFonts w:ascii="Times New Roman" w:hAnsi="Times New Roman"/>
              <w:color w:val="000000" w:themeColor="text1"/>
            </w:rPr>
            <w:tag w:val="_PLD_670326cb24854b3a8bee381fa766735a"/>
            <w:id w:val="-1723287389"/>
          </w:sdtPr>
          <w:sdtEndPr/>
          <w:sdtContent>
            <w:tc>
              <w:tcPr>
                <w:tcW w:w="536"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诉讼</w:t>
                </w:r>
                <w:r>
                  <w:rPr>
                    <w:rFonts w:ascii="Times New Roman" w:hAnsi="Times New Roman"/>
                    <w:color w:val="000000" w:themeColor="text1"/>
                  </w:rPr>
                  <w:t>(</w:t>
                </w:r>
                <w:r>
                  <w:rPr>
                    <w:rFonts w:ascii="Times New Roman" w:hAnsi="Times New Roman"/>
                    <w:color w:val="000000" w:themeColor="text1"/>
                  </w:rPr>
                  <w:t>仲裁</w:t>
                </w:r>
                <w:r>
                  <w:rPr>
                    <w:rFonts w:ascii="Times New Roman" w:hAnsi="Times New Roman"/>
                    <w:color w:val="000000" w:themeColor="text1"/>
                  </w:rPr>
                  <w:t>)</w:t>
                </w:r>
                <w:r>
                  <w:rPr>
                    <w:rFonts w:ascii="Times New Roman" w:hAnsi="Times New Roman"/>
                    <w:color w:val="000000" w:themeColor="text1"/>
                  </w:rPr>
                  <w:t>审理结果及影响</w:t>
                </w:r>
              </w:p>
            </w:tc>
          </w:sdtContent>
        </w:sdt>
        <w:sdt>
          <w:sdtPr>
            <w:rPr>
              <w:rFonts w:ascii="Times New Roman" w:hAnsi="Times New Roman"/>
              <w:color w:val="000000" w:themeColor="text1"/>
            </w:rPr>
            <w:tag w:val="_PLD_4b3c312c6ff54512a58be0ff5dc57e46"/>
            <w:id w:val="-1287965203"/>
          </w:sdtPr>
          <w:sdtEndPr/>
          <w:sdtContent>
            <w:tc>
              <w:tcPr>
                <w:tcW w:w="599" w:type="dxa"/>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诉讼</w:t>
                </w:r>
                <w:r>
                  <w:rPr>
                    <w:rFonts w:ascii="Times New Roman" w:hAnsi="Times New Roman"/>
                    <w:color w:val="000000" w:themeColor="text1"/>
                  </w:rPr>
                  <w:t>(</w:t>
                </w:r>
                <w:r>
                  <w:rPr>
                    <w:rFonts w:ascii="Times New Roman" w:hAnsi="Times New Roman"/>
                    <w:color w:val="000000" w:themeColor="text1"/>
                  </w:rPr>
                  <w:t>仲裁</w:t>
                </w:r>
                <w:r>
                  <w:rPr>
                    <w:rFonts w:ascii="Times New Roman" w:hAnsi="Times New Roman"/>
                    <w:color w:val="000000" w:themeColor="text1"/>
                  </w:rPr>
                  <w:t>)</w:t>
                </w:r>
                <w:r>
                  <w:rPr>
                    <w:rFonts w:ascii="Times New Roman" w:hAnsi="Times New Roman"/>
                    <w:color w:val="000000" w:themeColor="text1"/>
                  </w:rPr>
                  <w:t>判决执行情况</w:t>
                </w:r>
              </w:p>
            </w:tc>
          </w:sdtContent>
        </w:sdt>
      </w:tr>
      <w:tr w:rsidR="000C5659">
        <w:trPr>
          <w:jc w:val="center"/>
        </w:trPr>
        <w:tc>
          <w:tcPr>
            <w:tcW w:w="1175" w:type="dxa"/>
            <w:vAlign w:val="center"/>
          </w:tcPr>
          <w:p w:rsidR="000C5659" w:rsidRDefault="000E33C4">
            <w:r>
              <w:t>Oceanview Express Company Limited（以下简称“兰馨亚洲”）</w:t>
            </w:r>
          </w:p>
        </w:tc>
        <w:tc>
          <w:tcPr>
            <w:tcW w:w="1134" w:type="dxa"/>
            <w:vAlign w:val="center"/>
          </w:tcPr>
          <w:p w:rsidR="000C5659" w:rsidRDefault="000E33C4">
            <w:pPr>
              <w:rPr>
                <w:rFonts w:ascii="Times New Roman" w:hAnsi="Times New Roman"/>
              </w:rPr>
            </w:pPr>
            <w:r>
              <w:rPr>
                <w:rFonts w:ascii="Times New Roman" w:hAnsi="Times New Roman" w:hint="eastAsia"/>
              </w:rPr>
              <w:t>薇美姿创始股东（王梓权、曹瑞安、余立涛）及薇美姿</w:t>
            </w:r>
          </w:p>
        </w:tc>
        <w:tc>
          <w:tcPr>
            <w:tcW w:w="426" w:type="dxa"/>
            <w:vAlign w:val="center"/>
          </w:tcPr>
          <w:p w:rsidR="000C5659" w:rsidRDefault="000E33C4">
            <w:pPr>
              <w:rPr>
                <w:rFonts w:ascii="Times New Roman" w:hAnsi="Times New Roman"/>
              </w:rPr>
            </w:pPr>
            <w:r>
              <w:rPr>
                <w:rFonts w:ascii="Times New Roman" w:hAnsi="Times New Roman" w:hint="eastAsia"/>
              </w:rPr>
              <w:t>薇美姿</w:t>
            </w:r>
          </w:p>
        </w:tc>
        <w:tc>
          <w:tcPr>
            <w:tcW w:w="426" w:type="dxa"/>
            <w:vAlign w:val="center"/>
          </w:tcPr>
          <w:p w:rsidR="000C5659" w:rsidRDefault="000E33C4">
            <w:pPr>
              <w:rPr>
                <w:rFonts w:ascii="Times New Roman" w:hAnsi="Times New Roman"/>
              </w:rPr>
            </w:pPr>
            <w:r>
              <w:rPr>
                <w:rFonts w:ascii="Times New Roman" w:hAnsi="Times New Roman" w:hint="eastAsia"/>
              </w:rPr>
              <w:t>参股公司涉及仲裁</w:t>
            </w:r>
          </w:p>
        </w:tc>
        <w:tc>
          <w:tcPr>
            <w:tcW w:w="5102" w:type="dxa"/>
            <w:vAlign w:val="center"/>
          </w:tcPr>
          <w:p w:rsidR="000C5659" w:rsidRDefault="000E33C4">
            <w:pPr>
              <w:pStyle w:val="Style116"/>
              <w:rPr>
                <w:rFonts w:ascii="Times New Roman" w:hAnsi="Times New Roman"/>
              </w:rPr>
            </w:pPr>
            <w:r>
              <w:rPr>
                <w:rFonts w:ascii="Times New Roman" w:hAnsi="Times New Roman"/>
              </w:rPr>
              <w:t>2023</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19</w:t>
            </w:r>
            <w:r>
              <w:rPr>
                <w:rFonts w:ascii="Times New Roman" w:hAnsi="Times New Roman"/>
              </w:rPr>
              <w:t>日，兰馨亚洲向薇美姿创始股东及薇美姿发出《回购通知》，要求创始股东和薇美姿连带地回购兰馨亚洲目前持有的</w:t>
            </w:r>
            <w:r>
              <w:rPr>
                <w:rFonts w:ascii="Times New Roman" w:hAnsi="Times New Roman" w:hint="eastAsia"/>
              </w:rPr>
              <w:t>薇美姿</w:t>
            </w:r>
            <w:r>
              <w:rPr>
                <w:rFonts w:ascii="Times New Roman" w:hAnsi="Times New Roman"/>
              </w:rPr>
              <w:t>全部股份（</w:t>
            </w:r>
            <w:r>
              <w:rPr>
                <w:rFonts w:ascii="Times New Roman" w:hAnsi="Times New Roman"/>
              </w:rPr>
              <w:t>14.2761%</w:t>
            </w:r>
            <w:r>
              <w:rPr>
                <w:rFonts w:ascii="Times New Roman" w:hAnsi="Times New Roman"/>
              </w:rPr>
              <w:t>，以下简称</w:t>
            </w:r>
            <w:r>
              <w:rPr>
                <w:rFonts w:ascii="Times New Roman" w:hAnsi="Times New Roman"/>
              </w:rPr>
              <w:t>“</w:t>
            </w:r>
            <w:r>
              <w:rPr>
                <w:rFonts w:ascii="Times New Roman" w:hAnsi="Times New Roman"/>
              </w:rPr>
              <w:t>回购股份</w:t>
            </w:r>
            <w:r>
              <w:rPr>
                <w:rFonts w:ascii="Times New Roman" w:hAnsi="Times New Roman"/>
              </w:rPr>
              <w:t>”</w:t>
            </w:r>
            <w:r>
              <w:rPr>
                <w:rFonts w:ascii="Times New Roman" w:hAnsi="Times New Roman"/>
              </w:rPr>
              <w:t>），薇美姿及创始股东应在收到本《回购通知》后依据《合资经营合同》的约定以现金方式足额付清兰馨亚洲全部回购对价（以下简称</w:t>
            </w:r>
            <w:r>
              <w:rPr>
                <w:rFonts w:ascii="Times New Roman" w:hAnsi="Times New Roman"/>
              </w:rPr>
              <w:t>“</w:t>
            </w:r>
            <w:r>
              <w:rPr>
                <w:rFonts w:ascii="Times New Roman" w:hAnsi="Times New Roman"/>
              </w:rPr>
              <w:t>回购对价</w:t>
            </w:r>
            <w:r>
              <w:rPr>
                <w:rFonts w:ascii="Times New Roman" w:hAnsi="Times New Roman"/>
              </w:rPr>
              <w:t>”</w:t>
            </w:r>
            <w:r>
              <w:rPr>
                <w:rFonts w:ascii="Times New Roman" w:hAnsi="Times New Roman"/>
              </w:rPr>
              <w:t>）：</w:t>
            </w:r>
            <w:r>
              <w:rPr>
                <w:rFonts w:ascii="Times New Roman" w:hAnsi="Times New Roman"/>
              </w:rPr>
              <w:t>a.</w:t>
            </w:r>
            <w:r>
              <w:rPr>
                <w:rFonts w:ascii="Times New Roman" w:hAnsi="Times New Roman"/>
              </w:rPr>
              <w:t>回购股份：兰馨亚洲持有的薇美姿</w:t>
            </w:r>
            <w:r>
              <w:rPr>
                <w:rFonts w:ascii="Times New Roman" w:hAnsi="Times New Roman"/>
              </w:rPr>
              <w:t>14.2761%</w:t>
            </w:r>
            <w:r>
              <w:rPr>
                <w:rFonts w:ascii="Times New Roman" w:hAnsi="Times New Roman"/>
              </w:rPr>
              <w:t>股份；</w:t>
            </w:r>
            <w:r>
              <w:rPr>
                <w:rFonts w:ascii="Times New Roman" w:hAnsi="Times New Roman"/>
              </w:rPr>
              <w:t>b.</w:t>
            </w:r>
            <w:r>
              <w:rPr>
                <w:rFonts w:ascii="Times New Roman" w:hAnsi="Times New Roman"/>
              </w:rPr>
              <w:t>回购对价：</w:t>
            </w:r>
            <w:r>
              <w:rPr>
                <w:rFonts w:ascii="Times New Roman" w:hAnsi="Times New Roman"/>
              </w:rPr>
              <w:t>(1)</w:t>
            </w:r>
            <w:r>
              <w:rPr>
                <w:rFonts w:ascii="Times New Roman" w:hAnsi="Times New Roman"/>
              </w:rPr>
              <w:t>投资本金（即</w:t>
            </w:r>
            <w:r>
              <w:rPr>
                <w:rFonts w:ascii="Times New Roman" w:hAnsi="Times New Roman"/>
              </w:rPr>
              <w:t>42,025,032.72</w:t>
            </w:r>
            <w:r>
              <w:rPr>
                <w:rFonts w:ascii="Times New Roman" w:hAnsi="Times New Roman"/>
              </w:rPr>
              <w:t>美元</w:t>
            </w:r>
            <w:r>
              <w:rPr>
                <w:rFonts w:ascii="Times New Roman" w:hAnsi="Times New Roman"/>
              </w:rPr>
              <w:t>)</w:t>
            </w:r>
            <w:r>
              <w:rPr>
                <w:rFonts w:ascii="Times New Roman" w:hAnsi="Times New Roman"/>
              </w:rPr>
              <w:t>；以及</w:t>
            </w:r>
            <w:r>
              <w:rPr>
                <w:rFonts w:ascii="Times New Roman" w:hAnsi="Times New Roman"/>
              </w:rPr>
              <w:t>(2)</w:t>
            </w:r>
            <w:r>
              <w:rPr>
                <w:rFonts w:ascii="Times New Roman" w:hAnsi="Times New Roman"/>
              </w:rPr>
              <w:t>自交割日</w:t>
            </w:r>
            <w:r>
              <w:rPr>
                <w:rFonts w:ascii="Times New Roman" w:hAnsi="Times New Roman"/>
              </w:rPr>
              <w:t>2016</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18</w:t>
            </w:r>
            <w:r>
              <w:rPr>
                <w:rFonts w:ascii="Times New Roman" w:hAnsi="Times New Roman"/>
              </w:rPr>
              <w:t>日至兰馨亚洲收到其回购股份被完全回购的相应对价之日，以投资本金作为本金计算的每年</w:t>
            </w:r>
            <w:r>
              <w:rPr>
                <w:rFonts w:ascii="Times New Roman" w:hAnsi="Times New Roman"/>
              </w:rPr>
              <w:t>15%</w:t>
            </w:r>
            <w:r>
              <w:rPr>
                <w:rFonts w:ascii="Times New Roman" w:hAnsi="Times New Roman"/>
              </w:rPr>
              <w:t>的单利；以及（</w:t>
            </w:r>
            <w:r>
              <w:rPr>
                <w:rFonts w:ascii="Times New Roman" w:hAnsi="Times New Roman"/>
              </w:rPr>
              <w:t>3</w:t>
            </w:r>
            <w:r>
              <w:rPr>
                <w:rFonts w:ascii="Times New Roman" w:hAnsi="Times New Roman"/>
              </w:rPr>
              <w:t>）回购股份享有的已公布但尚未分配的红利。</w:t>
            </w:r>
            <w:r>
              <w:rPr>
                <w:rFonts w:ascii="Times New Roman" w:hAnsi="Times New Roman"/>
              </w:rPr>
              <w:t>c.</w:t>
            </w:r>
            <w:r>
              <w:rPr>
                <w:rFonts w:ascii="Times New Roman" w:hAnsi="Times New Roman"/>
              </w:rPr>
              <w:t>回购对价支付方式：现金支付。</w:t>
            </w:r>
          </w:p>
          <w:p w:rsidR="000C5659" w:rsidRDefault="000E33C4">
            <w:pPr>
              <w:pStyle w:val="Style116"/>
              <w:rPr>
                <w:rFonts w:ascii="Times New Roman" w:hAnsi="Times New Roman"/>
              </w:rPr>
            </w:pPr>
            <w:r>
              <w:rPr>
                <w:rFonts w:ascii="Times New Roman" w:hAnsi="Times New Roman"/>
              </w:rPr>
              <w:t>2024</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10</w:t>
            </w:r>
            <w:r>
              <w:rPr>
                <w:rFonts w:ascii="Times New Roman" w:hAnsi="Times New Roman"/>
              </w:rPr>
              <w:t>日，兰馨亚洲就关于《广州薇美姿实业有限公司之合资经营合同》等合同纠纷仲裁案（申请人：兰馨亚洲；被申请人：第一被申请人：王梓权、第二被申请人：曹瑞安、第三被申请人：余立涛、第四被</w:t>
            </w:r>
            <w:r>
              <w:rPr>
                <w:rFonts w:ascii="Times New Roman" w:hAnsi="Times New Roman"/>
              </w:rPr>
              <w:lastRenderedPageBreak/>
              <w:t>申请人：薇美姿，第一至第四被申请人合称</w:t>
            </w:r>
            <w:r>
              <w:rPr>
                <w:rFonts w:ascii="Times New Roman" w:hAnsi="Times New Roman"/>
              </w:rPr>
              <w:t>“</w:t>
            </w:r>
            <w:r>
              <w:rPr>
                <w:rFonts w:ascii="Times New Roman" w:hAnsi="Times New Roman"/>
              </w:rPr>
              <w:t>被申请人</w:t>
            </w:r>
            <w:r>
              <w:rPr>
                <w:rFonts w:ascii="Times New Roman" w:hAnsi="Times New Roman"/>
              </w:rPr>
              <w:t>”</w:t>
            </w:r>
            <w:r>
              <w:rPr>
                <w:rFonts w:ascii="Times New Roman" w:hAnsi="Times New Roman"/>
              </w:rPr>
              <w:t>）向深圳国际仲裁院提交《仲裁申请书》（未有落款日期），仲裁请求如下：</w:t>
            </w:r>
          </w:p>
          <w:p w:rsidR="000C5659" w:rsidRDefault="000E33C4">
            <w:pPr>
              <w:pStyle w:val="Style116"/>
              <w:rPr>
                <w:rFonts w:ascii="Times New Roman" w:hAnsi="Times New Roman"/>
              </w:rPr>
            </w:pPr>
            <w:r>
              <w:rPr>
                <w:rFonts w:ascii="Times New Roman" w:hAnsi="Times New Roman"/>
              </w:rPr>
              <w:t>1.</w:t>
            </w:r>
            <w:r>
              <w:rPr>
                <w:rFonts w:ascii="Times New Roman" w:hAnsi="Times New Roman"/>
              </w:rPr>
              <w:t>请求裁决第一被申请人王梓权、第二被申请人曹瑞安、第三被申请人余立涛连带地向兰馨亚洲支付回购价款（回购价款</w:t>
            </w:r>
            <w:r>
              <w:rPr>
                <w:rFonts w:ascii="Times New Roman" w:hAnsi="Times New Roman"/>
              </w:rPr>
              <w:t>=</w:t>
            </w:r>
            <w:r>
              <w:rPr>
                <w:rFonts w:ascii="Times New Roman" w:hAnsi="Times New Roman"/>
              </w:rPr>
              <w:t>以美元计价的剩余投资本金</w:t>
            </w:r>
            <w:r>
              <w:rPr>
                <w:rFonts w:ascii="Times New Roman" w:hAnsi="Times New Roman"/>
              </w:rPr>
              <w:t>42,025032.72</w:t>
            </w:r>
            <w:r>
              <w:rPr>
                <w:rFonts w:ascii="Times New Roman" w:hAnsi="Times New Roman"/>
              </w:rPr>
              <w:t>美元</w:t>
            </w:r>
            <w:r>
              <w:rPr>
                <w:rFonts w:ascii="Times New Roman" w:hAnsi="Times New Roman"/>
              </w:rPr>
              <w:t>*</w:t>
            </w:r>
            <w:r>
              <w:rPr>
                <w:rFonts w:ascii="Times New Roman" w:hAnsi="Times New Roman"/>
              </w:rPr>
              <w:t>（</w:t>
            </w:r>
            <w:r>
              <w:rPr>
                <w:rFonts w:ascii="Times New Roman" w:hAnsi="Times New Roman"/>
              </w:rPr>
              <w:t>1+15%*N/365</w:t>
            </w:r>
            <w:r>
              <w:rPr>
                <w:rFonts w:ascii="Times New Roman" w:hAnsi="Times New Roman"/>
              </w:rPr>
              <w:t>）</w:t>
            </w:r>
            <w:r>
              <w:rPr>
                <w:rFonts w:ascii="Times New Roman" w:hAnsi="Times New Roman"/>
              </w:rPr>
              <w:t>+</w:t>
            </w:r>
            <w:r>
              <w:rPr>
                <w:rFonts w:ascii="Times New Roman" w:hAnsi="Times New Roman"/>
              </w:rPr>
              <w:t>按照申请人持有股权比例</w:t>
            </w:r>
            <w:r>
              <w:rPr>
                <w:rFonts w:ascii="Times New Roman" w:hAnsi="Times New Roman"/>
              </w:rPr>
              <w:t>14.2761%</w:t>
            </w:r>
            <w:r>
              <w:rPr>
                <w:rFonts w:ascii="Times New Roman" w:hAnsi="Times New Roman"/>
              </w:rPr>
              <w:t>享有的已公布但尚未分配的红利</w:t>
            </w:r>
            <w:r>
              <w:rPr>
                <w:rFonts w:ascii="Times New Roman" w:hAnsi="Times New Roman"/>
              </w:rPr>
              <w:t>0</w:t>
            </w:r>
            <w:r>
              <w:rPr>
                <w:rFonts w:ascii="Times New Roman" w:hAnsi="Times New Roman"/>
              </w:rPr>
              <w:t>元，其中</w:t>
            </w:r>
            <w:r>
              <w:rPr>
                <w:rFonts w:ascii="Times New Roman" w:hAnsi="Times New Roman"/>
              </w:rPr>
              <w:t>N</w:t>
            </w:r>
            <w:r>
              <w:rPr>
                <w:rFonts w:ascii="Times New Roman" w:hAnsi="Times New Roman" w:hint="eastAsia"/>
              </w:rPr>
              <w:t>自交割日</w:t>
            </w:r>
            <w:r>
              <w:rPr>
                <w:rFonts w:ascii="Times New Roman" w:hAnsi="Times New Roman"/>
              </w:rPr>
              <w:t>2016</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18</w:t>
            </w:r>
            <w:r>
              <w:rPr>
                <w:rFonts w:ascii="Times New Roman" w:hAnsi="Times New Roman"/>
              </w:rPr>
              <w:t>日至申请人收到其股权被完全回购的相应对价之日期间的天数），暂计至</w:t>
            </w:r>
            <w:r>
              <w:rPr>
                <w:rFonts w:ascii="Times New Roman" w:hAnsi="Times New Roman"/>
              </w:rPr>
              <w:t>2023</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20</w:t>
            </w:r>
            <w:r>
              <w:rPr>
                <w:rFonts w:ascii="Times New Roman" w:hAnsi="Times New Roman"/>
              </w:rPr>
              <w:t>日为</w:t>
            </w:r>
            <w:r>
              <w:rPr>
                <w:rFonts w:ascii="Times New Roman" w:hAnsi="Times New Roman"/>
              </w:rPr>
              <w:t>88,310,137.2</w:t>
            </w:r>
            <w:r>
              <w:rPr>
                <w:rFonts w:ascii="Times New Roman" w:hAnsi="Times New Roman"/>
              </w:rPr>
              <w:t>美元</w:t>
            </w:r>
            <w:r>
              <w:rPr>
                <w:rFonts w:ascii="Times New Roman" w:hAnsi="Times New Roman"/>
              </w:rPr>
              <w:t>;</w:t>
            </w:r>
          </w:p>
          <w:p w:rsidR="000C5659" w:rsidRDefault="000E33C4">
            <w:pPr>
              <w:pStyle w:val="Style116"/>
              <w:rPr>
                <w:rFonts w:ascii="Times New Roman" w:hAnsi="Times New Roman"/>
              </w:rPr>
            </w:pPr>
            <w:r>
              <w:rPr>
                <w:rFonts w:ascii="Times New Roman" w:hAnsi="Times New Roman"/>
              </w:rPr>
              <w:t>2.</w:t>
            </w:r>
            <w:r>
              <w:rPr>
                <w:rFonts w:ascii="Times New Roman" w:hAnsi="Times New Roman"/>
              </w:rPr>
              <w:t>请求裁决第四被申请人薇美姿就第一被申请人王梓权、第二被申请人曹瑞安、第三被申请人余立涛在第</w:t>
            </w:r>
            <w:r>
              <w:rPr>
                <w:rFonts w:ascii="Times New Roman" w:hAnsi="Times New Roman"/>
              </w:rPr>
              <w:t>1</w:t>
            </w:r>
            <w:r>
              <w:rPr>
                <w:rFonts w:ascii="Times New Roman" w:hAnsi="Times New Roman"/>
              </w:rPr>
              <w:t>项仲裁请求下的全部付款义务承担连带责任；</w:t>
            </w:r>
          </w:p>
          <w:p w:rsidR="000C5659" w:rsidRDefault="000E33C4">
            <w:pPr>
              <w:pStyle w:val="Style116"/>
              <w:rPr>
                <w:rFonts w:ascii="Times New Roman" w:hAnsi="Times New Roman"/>
              </w:rPr>
            </w:pPr>
            <w:r>
              <w:rPr>
                <w:rFonts w:ascii="Times New Roman" w:hAnsi="Times New Roman"/>
              </w:rPr>
              <w:t>3.</w:t>
            </w:r>
            <w:r>
              <w:rPr>
                <w:rFonts w:ascii="Times New Roman" w:hAnsi="Times New Roman"/>
              </w:rPr>
              <w:t>请求裁决被申请人连带赔偿兰馨亚洲因本案仲裁而支出的律师费</w:t>
            </w:r>
            <w:r>
              <w:rPr>
                <w:rFonts w:ascii="Times New Roman" w:hAnsi="Times New Roman"/>
              </w:rPr>
              <w:t>400,000</w:t>
            </w:r>
            <w:r>
              <w:rPr>
                <w:rFonts w:ascii="Times New Roman" w:hAnsi="Times New Roman"/>
              </w:rPr>
              <w:t>元人民币、财产保全申请费用</w:t>
            </w:r>
            <w:r>
              <w:rPr>
                <w:rFonts w:ascii="Times New Roman" w:hAnsi="Times New Roman"/>
              </w:rPr>
              <w:t>5,000</w:t>
            </w:r>
            <w:r>
              <w:rPr>
                <w:rFonts w:ascii="Times New Roman" w:hAnsi="Times New Roman"/>
              </w:rPr>
              <w:t>元人民币及保全担保费</w:t>
            </w:r>
            <w:r>
              <w:rPr>
                <w:rFonts w:ascii="Times New Roman" w:hAnsi="Times New Roman"/>
              </w:rPr>
              <w:t>315,028</w:t>
            </w:r>
            <w:r>
              <w:rPr>
                <w:rFonts w:ascii="Times New Roman" w:hAnsi="Times New Roman"/>
              </w:rPr>
              <w:t>元人民币（暂估，具体金额以实际发生为准）等各项费用；</w:t>
            </w:r>
          </w:p>
          <w:p w:rsidR="000C5659" w:rsidRDefault="000E33C4">
            <w:pPr>
              <w:pStyle w:val="Style116"/>
              <w:rPr>
                <w:rFonts w:ascii="Times New Roman" w:hAnsi="Times New Roman"/>
              </w:rPr>
            </w:pPr>
            <w:r>
              <w:rPr>
                <w:rFonts w:ascii="Times New Roman" w:hAnsi="Times New Roman" w:hint="eastAsia"/>
              </w:rPr>
              <w:t>上述第</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r>
              <w:rPr>
                <w:rFonts w:ascii="Times New Roman" w:hAnsi="Times New Roman"/>
              </w:rPr>
              <w:t>项仲裁请求金额，暂计至</w:t>
            </w:r>
            <w:r>
              <w:rPr>
                <w:rFonts w:ascii="Times New Roman" w:hAnsi="Times New Roman"/>
              </w:rPr>
              <w:t>2023</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20</w:t>
            </w:r>
            <w:r>
              <w:rPr>
                <w:rFonts w:ascii="Times New Roman" w:hAnsi="Times New Roman"/>
              </w:rPr>
              <w:t>日合计为</w:t>
            </w:r>
            <w:r>
              <w:rPr>
                <w:rFonts w:ascii="Times New Roman" w:hAnsi="Times New Roman"/>
              </w:rPr>
              <w:t>630,371,306.6</w:t>
            </w:r>
            <w:r>
              <w:rPr>
                <w:rFonts w:ascii="Times New Roman" w:hAnsi="Times New Roman"/>
              </w:rPr>
              <w:t>元人民币（第</w:t>
            </w:r>
            <w:r>
              <w:rPr>
                <w:rFonts w:ascii="Times New Roman" w:hAnsi="Times New Roman"/>
              </w:rPr>
              <w:t>1</w:t>
            </w:r>
            <w:r>
              <w:rPr>
                <w:rFonts w:ascii="Times New Roman" w:hAnsi="Times New Roman"/>
              </w:rPr>
              <w:t>项中的费用暂按</w:t>
            </w:r>
            <w:r>
              <w:rPr>
                <w:rFonts w:ascii="Times New Roman" w:hAnsi="Times New Roman"/>
              </w:rPr>
              <w:t>1</w:t>
            </w:r>
            <w:r>
              <w:rPr>
                <w:rFonts w:ascii="Times New Roman" w:hAnsi="Times New Roman"/>
              </w:rPr>
              <w:t>美元</w:t>
            </w:r>
            <w:r>
              <w:rPr>
                <w:rFonts w:ascii="Times New Roman" w:hAnsi="Times New Roman"/>
              </w:rPr>
              <w:t>=7.13</w:t>
            </w:r>
            <w:r>
              <w:rPr>
                <w:rFonts w:ascii="Times New Roman" w:hAnsi="Times New Roman"/>
              </w:rPr>
              <w:t>元人民币的汇率标准计算，该单项金额为人民币</w:t>
            </w:r>
            <w:r>
              <w:rPr>
                <w:rFonts w:ascii="Times New Roman" w:hAnsi="Times New Roman"/>
              </w:rPr>
              <w:t>629,651,278.6</w:t>
            </w:r>
            <w:r>
              <w:rPr>
                <w:rFonts w:ascii="Times New Roman" w:hAnsi="Times New Roman"/>
              </w:rPr>
              <w:t>元）。</w:t>
            </w:r>
          </w:p>
          <w:p w:rsidR="000C5659" w:rsidRDefault="000E33C4">
            <w:pPr>
              <w:pStyle w:val="Style116"/>
              <w:rPr>
                <w:rFonts w:ascii="Times New Roman" w:hAnsi="Times New Roman"/>
              </w:rPr>
            </w:pPr>
            <w:r>
              <w:rPr>
                <w:rFonts w:ascii="Times New Roman" w:hAnsi="Times New Roman"/>
              </w:rPr>
              <w:t>4.</w:t>
            </w:r>
            <w:r>
              <w:rPr>
                <w:rFonts w:ascii="Times New Roman" w:hAnsi="Times New Roman"/>
              </w:rPr>
              <w:t>请求裁决被申请人连带承担本案全部仲裁费用。</w:t>
            </w:r>
          </w:p>
          <w:p w:rsidR="000C5659" w:rsidRDefault="000E33C4">
            <w:pPr>
              <w:pStyle w:val="Style116"/>
              <w:rPr>
                <w:rFonts w:ascii="Times New Roman" w:hAnsi="Times New Roman"/>
              </w:rPr>
            </w:pPr>
            <w:r>
              <w:rPr>
                <w:rFonts w:ascii="Times New Roman" w:hAnsi="Times New Roman" w:hint="eastAsia"/>
              </w:rPr>
              <w:t>深圳国际仲裁院予以了受理，案号为（</w:t>
            </w:r>
            <w:r>
              <w:rPr>
                <w:rFonts w:ascii="Times New Roman" w:hAnsi="Times New Roman"/>
              </w:rPr>
              <w:t>2024</w:t>
            </w:r>
            <w:r>
              <w:rPr>
                <w:rFonts w:ascii="Times New Roman" w:hAnsi="Times New Roman"/>
              </w:rPr>
              <w:t>）深国仲涉外受</w:t>
            </w:r>
            <w:r>
              <w:rPr>
                <w:rFonts w:ascii="Times New Roman" w:hAnsi="Times New Roman"/>
              </w:rPr>
              <w:t>434</w:t>
            </w:r>
            <w:r>
              <w:rPr>
                <w:rFonts w:ascii="Times New Roman" w:hAnsi="Times New Roman"/>
              </w:rPr>
              <w:t>号。</w:t>
            </w:r>
          </w:p>
          <w:p w:rsidR="000C5659" w:rsidRDefault="000E33C4">
            <w:pPr>
              <w:pStyle w:val="Style116"/>
              <w:rPr>
                <w:rFonts w:ascii="Times New Roman" w:hAnsi="Times New Roman"/>
              </w:rPr>
            </w:pPr>
            <w:r>
              <w:rPr>
                <w:rFonts w:ascii="Times New Roman" w:hAnsi="Times New Roman"/>
              </w:rPr>
              <w:t>2024</w:t>
            </w:r>
            <w:r>
              <w:rPr>
                <w:rFonts w:ascii="Times New Roman" w:hAnsi="Times New Roman"/>
              </w:rPr>
              <w:t>年</w:t>
            </w:r>
            <w:r>
              <w:rPr>
                <w:rFonts w:ascii="Times New Roman" w:hAnsi="Times New Roman"/>
              </w:rPr>
              <w:t>2</w:t>
            </w:r>
            <w:r>
              <w:rPr>
                <w:rFonts w:ascii="Times New Roman" w:hAnsi="Times New Roman"/>
              </w:rPr>
              <w:t>月</w:t>
            </w:r>
            <w:r>
              <w:rPr>
                <w:rFonts w:ascii="Times New Roman" w:hAnsi="Times New Roman"/>
              </w:rPr>
              <w:t>5</w:t>
            </w:r>
            <w:r>
              <w:rPr>
                <w:rFonts w:ascii="Times New Roman" w:hAnsi="Times New Roman"/>
              </w:rPr>
              <w:t>日，广东省广州市中级人民法院下发《民事裁定书》，裁定如下：</w:t>
            </w:r>
          </w:p>
          <w:p w:rsidR="000C5659" w:rsidRDefault="000E33C4">
            <w:pPr>
              <w:rPr>
                <w:rFonts w:ascii="Times New Roman" w:hAnsi="Times New Roman"/>
              </w:rPr>
            </w:pPr>
            <w:r>
              <w:rPr>
                <w:rFonts w:ascii="Times New Roman" w:hAnsi="Times New Roman" w:hint="eastAsia"/>
              </w:rPr>
              <w:t>查封、扣押、冻结被申请人王梓权、曹瑞安、余立涛、薇美姿公司名下价值人民币</w:t>
            </w:r>
            <w:r>
              <w:rPr>
                <w:rFonts w:ascii="Times New Roman" w:hAnsi="Times New Roman"/>
              </w:rPr>
              <w:t xml:space="preserve"> 630,371,306.6</w:t>
            </w:r>
            <w:r>
              <w:rPr>
                <w:rFonts w:ascii="Times New Roman" w:hAnsi="Times New Roman"/>
              </w:rPr>
              <w:t>元的财产；财产保全费</w:t>
            </w:r>
            <w:r>
              <w:rPr>
                <w:rFonts w:ascii="Times New Roman" w:hAnsi="Times New Roman"/>
              </w:rPr>
              <w:t>5000</w:t>
            </w:r>
            <w:r>
              <w:rPr>
                <w:rFonts w:ascii="Times New Roman" w:hAnsi="Times New Roman"/>
              </w:rPr>
              <w:t>元由申请人兰馨亚洲负担。</w:t>
            </w:r>
          </w:p>
        </w:tc>
        <w:tc>
          <w:tcPr>
            <w:tcW w:w="1417" w:type="dxa"/>
            <w:vAlign w:val="center"/>
          </w:tcPr>
          <w:p w:rsidR="000C5659" w:rsidRDefault="000E33C4">
            <w:pPr>
              <w:jc w:val="right"/>
              <w:rPr>
                <w:rFonts w:ascii="Times New Roman" w:hAnsi="Times New Roman"/>
              </w:rPr>
            </w:pPr>
            <w:r>
              <w:rPr>
                <w:rFonts w:ascii="Times New Roman" w:hAnsi="Times New Roman"/>
              </w:rPr>
              <w:lastRenderedPageBreak/>
              <w:t>630,371,306.6</w:t>
            </w:r>
          </w:p>
        </w:tc>
        <w:tc>
          <w:tcPr>
            <w:tcW w:w="1800" w:type="dxa"/>
            <w:vAlign w:val="center"/>
          </w:tcPr>
          <w:p w:rsidR="000C5659" w:rsidRDefault="000E33C4">
            <w:pPr>
              <w:pStyle w:val="Style116"/>
              <w:rPr>
                <w:rFonts w:ascii="Times New Roman" w:hAnsi="Times New Roman"/>
              </w:rPr>
            </w:pPr>
            <w:r>
              <w:rPr>
                <w:rFonts w:ascii="Times New Roman" w:hAnsi="Times New Roman" w:hint="eastAsia"/>
              </w:rPr>
              <w:t>诉讼（仲裁）不形成倍加洁预计负债。</w:t>
            </w:r>
          </w:p>
          <w:p w:rsidR="000C5659" w:rsidRDefault="000E33C4">
            <w:pPr>
              <w:pStyle w:val="Style116"/>
              <w:rPr>
                <w:rFonts w:ascii="Times New Roman" w:hAnsi="Times New Roman"/>
              </w:rPr>
            </w:pPr>
            <w:r>
              <w:rPr>
                <w:rFonts w:ascii="Times New Roman" w:hAnsi="Times New Roman" w:hint="eastAsia"/>
              </w:rPr>
              <w:t>根据《企业会计准则第</w:t>
            </w:r>
            <w:r>
              <w:rPr>
                <w:rFonts w:ascii="Times New Roman" w:hAnsi="Times New Roman"/>
              </w:rPr>
              <w:t>13</w:t>
            </w:r>
            <w:r>
              <w:rPr>
                <w:rFonts w:ascii="Times New Roman" w:hAnsi="Times New Roman"/>
              </w:rPr>
              <w:t>号</w:t>
            </w:r>
            <w:r>
              <w:rPr>
                <w:rFonts w:ascii="Times New Roman" w:hAnsi="Times New Roman"/>
              </w:rPr>
              <w:t>——</w:t>
            </w:r>
            <w:r>
              <w:rPr>
                <w:rFonts w:ascii="Times New Roman" w:hAnsi="Times New Roman"/>
              </w:rPr>
              <w:t>或有事项（</w:t>
            </w:r>
            <w:r>
              <w:rPr>
                <w:rFonts w:ascii="Times New Roman" w:hAnsi="Times New Roman"/>
              </w:rPr>
              <w:t>2006</w:t>
            </w:r>
            <w:r>
              <w:rPr>
                <w:rFonts w:ascii="Times New Roman" w:hAnsi="Times New Roman"/>
              </w:rPr>
              <w:t>）》：第四条</w:t>
            </w:r>
            <w:r>
              <w:rPr>
                <w:rFonts w:ascii="Times New Roman" w:hAnsi="Times New Roman"/>
              </w:rPr>
              <w:t xml:space="preserve"> </w:t>
            </w:r>
            <w:r>
              <w:rPr>
                <w:rFonts w:ascii="Times New Roman" w:hAnsi="Times New Roman"/>
              </w:rPr>
              <w:t>与或有事项相关的义务同时满足下列条件的，应当确认为预计负债：</w:t>
            </w:r>
          </w:p>
          <w:p w:rsidR="000C5659" w:rsidRDefault="000E33C4">
            <w:pPr>
              <w:pStyle w:val="Style116"/>
              <w:rPr>
                <w:rFonts w:ascii="Times New Roman" w:hAnsi="Times New Roman"/>
              </w:rPr>
            </w:pPr>
            <w:r>
              <w:rPr>
                <w:rFonts w:ascii="Times New Roman" w:hAnsi="Times New Roman" w:hint="eastAsia"/>
              </w:rPr>
              <w:t>（一）该义务是企业承担的现时义务；</w:t>
            </w:r>
          </w:p>
          <w:p w:rsidR="000C5659" w:rsidRDefault="000E33C4">
            <w:pPr>
              <w:pStyle w:val="Style116"/>
              <w:rPr>
                <w:rFonts w:ascii="Times New Roman" w:hAnsi="Times New Roman"/>
              </w:rPr>
            </w:pPr>
            <w:r>
              <w:rPr>
                <w:rFonts w:ascii="Times New Roman" w:hAnsi="Times New Roman" w:hint="eastAsia"/>
              </w:rPr>
              <w:t>（二）履行该义务很可能导致经济利益流出企业；</w:t>
            </w:r>
          </w:p>
          <w:p w:rsidR="000C5659" w:rsidRDefault="000E33C4">
            <w:pPr>
              <w:pStyle w:val="Style116"/>
              <w:rPr>
                <w:rFonts w:ascii="Times New Roman" w:hAnsi="Times New Roman"/>
              </w:rPr>
            </w:pPr>
            <w:r>
              <w:rPr>
                <w:rFonts w:ascii="Times New Roman" w:hAnsi="Times New Roman" w:hint="eastAsia"/>
              </w:rPr>
              <w:lastRenderedPageBreak/>
              <w:t>（三）该义务的金额能够可靠地计量。</w:t>
            </w:r>
          </w:p>
          <w:p w:rsidR="000C5659" w:rsidRDefault="000E33C4">
            <w:pPr>
              <w:rPr>
                <w:rFonts w:ascii="Times New Roman" w:hAnsi="Times New Roman"/>
              </w:rPr>
            </w:pPr>
            <w:r>
              <w:rPr>
                <w:rFonts w:ascii="Times New Roman" w:hAnsi="Times New Roman" w:hint="eastAsia"/>
              </w:rPr>
              <w:t>倍加洁和控股子公司并非该诉讼（仲裁）的当事人，故不形成倍加洁的预计负债。</w:t>
            </w:r>
          </w:p>
        </w:tc>
        <w:tc>
          <w:tcPr>
            <w:tcW w:w="1056" w:type="dxa"/>
            <w:vAlign w:val="center"/>
          </w:tcPr>
          <w:p w:rsidR="000C5659" w:rsidRDefault="000E33C4">
            <w:pPr>
              <w:pStyle w:val="Style116"/>
              <w:rPr>
                <w:rFonts w:ascii="Times New Roman" w:hAnsi="Times New Roman"/>
              </w:rPr>
            </w:pPr>
            <w:r>
              <w:rPr>
                <w:rFonts w:ascii="Times New Roman" w:hAnsi="Times New Roman" w:hint="eastAsia"/>
              </w:rPr>
              <w:lastRenderedPageBreak/>
              <w:t>就兰馨亚洲与薇美姿创始股东王梓权、曹瑞安、余立涛及薇美姿的仲裁案，薇美姿及创始股东王梓权、曹瑞安、余立涛于</w:t>
            </w:r>
            <w:r>
              <w:rPr>
                <w:rFonts w:ascii="Times New Roman" w:hAnsi="Times New Roman"/>
              </w:rPr>
              <w:t>2024</w:t>
            </w:r>
            <w:r>
              <w:rPr>
                <w:rFonts w:ascii="Times New Roman" w:hAnsi="Times New Roman"/>
              </w:rPr>
              <w:t>年</w:t>
            </w:r>
            <w:r>
              <w:rPr>
                <w:rFonts w:ascii="Times New Roman" w:hAnsi="Times New Roman"/>
              </w:rPr>
              <w:t>2</w:t>
            </w:r>
            <w:r>
              <w:rPr>
                <w:rFonts w:ascii="Times New Roman" w:hAnsi="Times New Roman"/>
              </w:rPr>
              <w:t>月</w:t>
            </w:r>
            <w:r>
              <w:rPr>
                <w:rFonts w:ascii="Times New Roman" w:hAnsi="Times New Roman"/>
              </w:rPr>
              <w:t>24</w:t>
            </w:r>
            <w:r>
              <w:rPr>
                <w:rFonts w:ascii="Times New Roman" w:hAnsi="Times New Roman"/>
              </w:rPr>
              <w:t>日向广州市</w:t>
            </w:r>
            <w:r>
              <w:rPr>
                <w:rFonts w:ascii="Times New Roman" w:hAnsi="Times New Roman"/>
              </w:rPr>
              <w:lastRenderedPageBreak/>
              <w:t>中级人民法院提交了《确认仲裁协议效力申请书》，申请事项：</w:t>
            </w:r>
          </w:p>
          <w:p w:rsidR="000C5659" w:rsidRDefault="000E33C4">
            <w:pPr>
              <w:pStyle w:val="Style116"/>
              <w:rPr>
                <w:rFonts w:ascii="Times New Roman" w:hAnsi="Times New Roman"/>
              </w:rPr>
            </w:pPr>
            <w:r>
              <w:rPr>
                <w:rFonts w:ascii="Times New Roman" w:hAnsi="Times New Roman"/>
              </w:rPr>
              <w:t>1.</w:t>
            </w:r>
            <w:r>
              <w:rPr>
                <w:rFonts w:ascii="Times New Roman" w:hAnsi="Times New Roman"/>
              </w:rPr>
              <w:t>请求确认深圳国际仲裁院</w:t>
            </w:r>
            <w:r>
              <w:rPr>
                <w:rFonts w:ascii="Times New Roman" w:hAnsi="Times New Roman" w:hint="eastAsia"/>
              </w:rPr>
              <w:t>（</w:t>
            </w:r>
            <w:r>
              <w:rPr>
                <w:rFonts w:ascii="Times New Roman" w:hAnsi="Times New Roman"/>
              </w:rPr>
              <w:t>2024</w:t>
            </w:r>
            <w:r>
              <w:rPr>
                <w:rFonts w:ascii="Times New Roman" w:hAnsi="Times New Roman"/>
              </w:rPr>
              <w:t>）深国仲涉外受</w:t>
            </w:r>
            <w:r>
              <w:rPr>
                <w:rFonts w:ascii="Times New Roman" w:hAnsi="Times New Roman"/>
              </w:rPr>
              <w:t>434</w:t>
            </w:r>
            <w:r>
              <w:rPr>
                <w:rFonts w:ascii="Times New Roman" w:hAnsi="Times New Roman"/>
              </w:rPr>
              <w:t>号仲裁案所依据的仲裁协议无效。</w:t>
            </w:r>
          </w:p>
          <w:p w:rsidR="000C5659" w:rsidRDefault="000E33C4">
            <w:pPr>
              <w:rPr>
                <w:rFonts w:ascii="Times New Roman" w:hAnsi="Times New Roman"/>
              </w:rPr>
            </w:pPr>
            <w:r>
              <w:rPr>
                <w:rFonts w:ascii="Times New Roman" w:hAnsi="Times New Roman"/>
              </w:rPr>
              <w:t>2.</w:t>
            </w:r>
            <w:r>
              <w:rPr>
                <w:rFonts w:ascii="Times New Roman" w:hAnsi="Times New Roman"/>
              </w:rPr>
              <w:t>本案诉讼费由兰馨亚洲承担。</w:t>
            </w:r>
          </w:p>
          <w:p w:rsidR="000C5659" w:rsidRDefault="000E33C4">
            <w:pPr>
              <w:rPr>
                <w:rFonts w:ascii="Times New Roman" w:hAnsi="Times New Roman"/>
              </w:rPr>
            </w:pPr>
            <w:r>
              <w:rPr>
                <w:rFonts w:ascii="Times New Roman" w:hAnsi="Times New Roman" w:hint="eastAsia"/>
              </w:rPr>
              <w:t>双方当事人已于</w:t>
            </w:r>
            <w:r>
              <w:rPr>
                <w:rFonts w:ascii="Times New Roman" w:hAnsi="Times New Roman" w:hint="eastAsia"/>
              </w:rPr>
              <w:t>2</w:t>
            </w:r>
            <w:r>
              <w:rPr>
                <w:rFonts w:ascii="Times New Roman" w:hAnsi="Times New Roman"/>
              </w:rPr>
              <w:t>024</w:t>
            </w:r>
            <w:r>
              <w:rPr>
                <w:rFonts w:ascii="Times New Roman" w:hAnsi="Times New Roman" w:hint="eastAsia"/>
              </w:rPr>
              <w:t>年</w:t>
            </w:r>
            <w:r>
              <w:rPr>
                <w:rFonts w:ascii="Times New Roman" w:hAnsi="Times New Roman"/>
              </w:rPr>
              <w:t>6</w:t>
            </w:r>
            <w:r>
              <w:rPr>
                <w:rFonts w:ascii="Times New Roman" w:hAnsi="Times New Roman"/>
              </w:rPr>
              <w:t>月</w:t>
            </w:r>
            <w:r>
              <w:rPr>
                <w:rFonts w:ascii="Times New Roman" w:hAnsi="Times New Roman"/>
              </w:rPr>
              <w:t>4</w:t>
            </w:r>
            <w:r>
              <w:rPr>
                <w:rFonts w:ascii="Times New Roman" w:hAnsi="Times New Roman"/>
              </w:rPr>
              <w:t>日参加了仲裁开庭，目前等</w:t>
            </w:r>
            <w:r>
              <w:rPr>
                <w:rFonts w:ascii="Times New Roman" w:hAnsi="Times New Roman" w:hint="eastAsia"/>
              </w:rPr>
              <w:t>待仲裁院</w:t>
            </w:r>
            <w:r>
              <w:rPr>
                <w:rFonts w:ascii="Times New Roman" w:hAnsi="Times New Roman"/>
              </w:rPr>
              <w:t>判决</w:t>
            </w:r>
            <w:r>
              <w:rPr>
                <w:rFonts w:ascii="Times New Roman" w:hAnsi="Times New Roman" w:hint="eastAsia"/>
              </w:rPr>
              <w:t>。</w:t>
            </w:r>
          </w:p>
        </w:tc>
        <w:tc>
          <w:tcPr>
            <w:tcW w:w="536" w:type="dxa"/>
            <w:vAlign w:val="center"/>
          </w:tcPr>
          <w:p w:rsidR="000C5659" w:rsidRDefault="000E33C4">
            <w:pPr>
              <w:rPr>
                <w:rFonts w:ascii="Times New Roman" w:hAnsi="Times New Roman"/>
              </w:rPr>
            </w:pPr>
            <w:r>
              <w:rPr>
                <w:rFonts w:ascii="Times New Roman" w:hAnsi="Times New Roman" w:hint="eastAsia"/>
              </w:rPr>
              <w:lastRenderedPageBreak/>
              <w:t>/</w:t>
            </w:r>
          </w:p>
        </w:tc>
        <w:tc>
          <w:tcPr>
            <w:tcW w:w="599" w:type="dxa"/>
            <w:vAlign w:val="center"/>
          </w:tcPr>
          <w:p w:rsidR="000C5659" w:rsidRDefault="000E33C4">
            <w:pPr>
              <w:rPr>
                <w:rFonts w:ascii="Times New Roman" w:hAnsi="Times New Roman"/>
              </w:rPr>
            </w:pPr>
            <w:r>
              <w:rPr>
                <w:rFonts w:ascii="Times New Roman" w:hAnsi="Times New Roman" w:hint="eastAsia"/>
              </w:rPr>
              <w:t>/</w:t>
            </w:r>
          </w:p>
        </w:tc>
      </w:tr>
    </w:tbl>
    <w:p w:rsidR="000C5659" w:rsidRDefault="000E33C4">
      <w:pPr>
        <w:rPr>
          <w:color w:val="000000" w:themeColor="text1"/>
        </w:rPr>
        <w:sectPr w:rsidR="000C5659">
          <w:pgSz w:w="16838" w:h="11906" w:orient="landscape"/>
          <w:pgMar w:top="1797" w:right="1525" w:bottom="1276" w:left="1440" w:header="851" w:footer="992" w:gutter="0"/>
          <w:cols w:space="425"/>
          <w:docGrid w:linePitch="312"/>
        </w:sectPr>
      </w:pPr>
      <w:r>
        <w:rPr>
          <w:color w:val="000000" w:themeColor="text1"/>
        </w:rPr>
        <w:lastRenderedPageBreak/>
        <w:br w:type="page"/>
      </w:r>
    </w:p>
    <w:p w:rsidR="000C5659" w:rsidRDefault="000E33C4" w:rsidP="000743DD">
      <w:pPr>
        <w:pStyle w:val="3"/>
        <w:numPr>
          <w:ilvl w:val="0"/>
          <w:numId w:val="23"/>
        </w:numPr>
        <w:rPr>
          <w:rFonts w:ascii="宋体" w:hAnsi="宋体"/>
          <w:color w:val="000000" w:themeColor="text1"/>
        </w:rPr>
      </w:pPr>
      <w:r>
        <w:rPr>
          <w:rFonts w:ascii="宋体" w:hAnsi="宋体"/>
          <w:color w:val="000000" w:themeColor="text1"/>
        </w:rPr>
        <w:lastRenderedPageBreak/>
        <w:t>其他说明</w:t>
      </w:r>
    </w:p>
    <w:sdt>
      <w:sdtPr>
        <w:rPr>
          <w:rFonts w:hint="eastAsia"/>
          <w:color w:val="000000" w:themeColor="text1"/>
        </w:rPr>
        <w:alias w:val="是否适用：重大诉讼、仲裁事项其他说明[双击切换]"/>
        <w:tag w:val="_GBC_d8d8aef394564199936be6639c0e21a5"/>
        <w:id w:val="29048432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color w:val="000000" w:themeColor="text1"/>
        </w:rPr>
        <w:t>上市公司</w:t>
      </w:r>
      <w:r>
        <w:rPr>
          <w:rFonts w:ascii="宋体" w:hAnsi="宋体" w:hint="eastAsia"/>
          <w:color w:val="000000" w:themeColor="text1"/>
        </w:rPr>
        <w:t>及其董事、监事、高级管理人员、控股股东、实际控制人</w:t>
      </w:r>
      <w:r>
        <w:rPr>
          <w:rFonts w:ascii="宋体" w:hAnsi="宋体"/>
          <w:color w:val="000000" w:themeColor="text1"/>
        </w:rPr>
        <w:t>涉嫌违法违规、受到处罚及整改情况</w:t>
      </w:r>
    </w:p>
    <w:sdt>
      <w:sdtPr>
        <w:rPr>
          <w:rFonts w:hint="eastAsia"/>
          <w:color w:val="000000" w:themeColor="text1"/>
        </w:rPr>
        <w:alias w:val="是否适用：上市公司及其董事、监事、高级管理人员、持有5%以上股份的股东、实际控制人、收购人处罚及整改情况[双击切换]"/>
        <w:tag w:val="_GBC_05b097ae59254d13916df227f563a3ed"/>
        <w:id w:val="-12128128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color w:val="000000" w:themeColor="text1"/>
        </w:rPr>
        <w:t>报告期内公司及其控股股东、实际控制人诚信状况的说明</w:t>
      </w:r>
    </w:p>
    <w:sdt>
      <w:sdtPr>
        <w:rPr>
          <w:rFonts w:hint="eastAsia"/>
          <w:color w:val="000000" w:themeColor="text1"/>
        </w:rPr>
        <w:alias w:val="是否适用：报告期内公司及其控股股东、实际控制人诚信状况的说明[双击切换]"/>
        <w:tag w:val="_GBC_650ef1e21808426d806ee2024dd14590"/>
        <w:id w:val="13284701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报告期内公司及其控股股东、实际控制人诚信状况的说明"/>
        <w:tag w:val="_GBC_29d7055c47724780994aca0175d8a9c8"/>
        <w:id w:val="-1889713873"/>
        <w:placeholder>
          <w:docPart w:val="GBC22222222222222222222222222222"/>
        </w:placeholder>
      </w:sdtPr>
      <w:sdtEndPr/>
      <w:sdtContent>
        <w:p w:rsidR="000C5659" w:rsidRDefault="000E33C4">
          <w:pPr>
            <w:rPr>
              <w:color w:val="000000" w:themeColor="text1"/>
            </w:rPr>
          </w:pPr>
          <w:r>
            <w:rPr>
              <w:rFonts w:hint="eastAsia"/>
              <w:color w:val="000000" w:themeColor="text1"/>
            </w:rPr>
            <w:t>报告期内，公司及控股股东、实际控制人不存在未履行法院生效判决、所负数额较大的债务</w:t>
          </w:r>
          <w:r>
            <w:rPr>
              <w:color w:val="000000" w:themeColor="text1"/>
            </w:rPr>
            <w:t>到期未清偿等情况</w:t>
          </w:r>
          <w:r>
            <w:rPr>
              <w:rFonts w:hint="eastAsia"/>
              <w:color w:val="000000" w:themeColor="text1"/>
            </w:rPr>
            <w:t>。</w:t>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hint="eastAsia"/>
          <w:color w:val="000000" w:themeColor="text1"/>
        </w:rPr>
        <w:t>重大关联交易</w:t>
      </w:r>
    </w:p>
    <w:p w:rsidR="000C5659" w:rsidRDefault="000E33C4" w:rsidP="000743DD">
      <w:pPr>
        <w:pStyle w:val="3"/>
        <w:numPr>
          <w:ilvl w:val="2"/>
          <w:numId w:val="24"/>
        </w:numPr>
        <w:rPr>
          <w:rFonts w:ascii="宋体" w:hAnsi="宋体"/>
          <w:color w:val="000000" w:themeColor="text1"/>
        </w:rPr>
      </w:pPr>
      <w:r>
        <w:rPr>
          <w:rFonts w:ascii="宋体" w:hAnsi="宋体" w:hint="eastAsia"/>
          <w:color w:val="000000" w:themeColor="text1"/>
        </w:rPr>
        <w:t>与日常经营相关的关联交易</w:t>
      </w:r>
    </w:p>
    <w:p w:rsidR="000C5659" w:rsidRDefault="000E33C4" w:rsidP="000743DD">
      <w:pPr>
        <w:pStyle w:val="4"/>
        <w:numPr>
          <w:ilvl w:val="2"/>
          <w:numId w:val="25"/>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与日常经营相关的关联交易[双击切换]"/>
        <w:tag w:val="_GBC_9cce66e2c46445bea6fd259dd8b5277c"/>
        <w:id w:val="8358266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2"/>
          <w:numId w:val="25"/>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与日常经营相关的关联交易[双击切换]"/>
        <w:tag w:val="_GBC_3d236e76c44140259dd09a3aed77ca15"/>
        <w:id w:val="-58506913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2"/>
          <w:numId w:val="25"/>
        </w:numPr>
        <w:rPr>
          <w:rFonts w:ascii="宋体" w:hAnsi="宋体"/>
          <w:color w:val="000000" w:themeColor="text1"/>
        </w:rPr>
      </w:pPr>
      <w:r>
        <w:rPr>
          <w:rFonts w:ascii="宋体" w:hAnsi="宋体" w:hint="eastAsia"/>
          <w:color w:val="000000" w:themeColor="text1"/>
        </w:rPr>
        <w:t>临时公告未披露的事项</w:t>
      </w:r>
    </w:p>
    <w:sdt>
      <w:sdtPr>
        <w:rPr>
          <w:color w:val="000000" w:themeColor="text1"/>
        </w:rPr>
        <w:alias w:val="是否适用：与日常经营相关的关联交易_临时公告未披露的事项[双击切换]"/>
        <w:tag w:val="_GBC_91ad548daaa84603a8faa6c0ce358499"/>
        <w:id w:val="-127115650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2"/>
          <w:numId w:val="24"/>
        </w:numPr>
        <w:rPr>
          <w:rFonts w:ascii="宋体" w:hAnsi="宋体"/>
          <w:color w:val="000000" w:themeColor="text1"/>
        </w:rPr>
      </w:pPr>
      <w:r>
        <w:rPr>
          <w:rFonts w:ascii="宋体" w:hAnsi="宋体"/>
          <w:color w:val="000000" w:themeColor="text1"/>
        </w:rPr>
        <w:t>资产收购</w:t>
      </w:r>
      <w:r>
        <w:rPr>
          <w:rFonts w:ascii="宋体" w:hAnsi="宋体" w:hint="eastAsia"/>
          <w:color w:val="000000" w:themeColor="text1"/>
        </w:rPr>
        <w:t>或股权收购</w:t>
      </w:r>
      <w:r>
        <w:rPr>
          <w:rFonts w:ascii="宋体" w:hAnsi="宋体"/>
          <w:color w:val="000000" w:themeColor="text1"/>
        </w:rPr>
        <w:t>、出售发生的关联交易</w:t>
      </w:r>
    </w:p>
    <w:p w:rsidR="000C5659" w:rsidRDefault="000E33C4" w:rsidP="000743DD">
      <w:pPr>
        <w:pStyle w:val="4"/>
        <w:numPr>
          <w:ilvl w:val="0"/>
          <w:numId w:val="26"/>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资产或股权收购、出售发生的关联交易[双击切换]"/>
        <w:tag w:val="_GBC_208b69178a984ade8f4f4dd7a3362ae3"/>
        <w:id w:val="-205045116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6"/>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资产或股权收购、出售发生的关联交易[双击切换]"/>
        <w:tag w:val="_GBC_b72de17637e74020b42aa0636b393f25"/>
        <w:id w:val="-2446418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6"/>
        </w:numPr>
        <w:rPr>
          <w:rFonts w:ascii="宋体" w:hAnsi="宋体"/>
          <w:color w:val="000000" w:themeColor="text1"/>
          <w:szCs w:val="32"/>
        </w:rPr>
      </w:pPr>
      <w:r>
        <w:rPr>
          <w:rFonts w:ascii="宋体" w:hAnsi="宋体"/>
          <w:color w:val="000000" w:themeColor="text1"/>
          <w:szCs w:val="32"/>
        </w:rPr>
        <w:t>临时公告未披露的事项</w:t>
      </w:r>
    </w:p>
    <w:sdt>
      <w:sdtPr>
        <w:rPr>
          <w:color w:val="000000" w:themeColor="text1"/>
        </w:rPr>
        <w:alias w:val="是否适用：资产收购、出售发生的关联交易_临时公告未披露的事项[双击切换]"/>
        <w:tag w:val="_GBC_d3f1f3f5ce564209aee49197432643af"/>
        <w:id w:val="160946323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6"/>
        </w:numPr>
        <w:rPr>
          <w:rFonts w:ascii="宋体" w:hAnsi="宋体"/>
          <w:color w:val="000000" w:themeColor="text1"/>
        </w:rPr>
      </w:pPr>
      <w:r>
        <w:rPr>
          <w:rFonts w:ascii="宋体" w:hAnsi="宋体"/>
          <w:color w:val="000000" w:themeColor="text1"/>
        </w:rPr>
        <w:t>涉及业绩约定的，应当披露报告期内的业绩实现情况</w:t>
      </w:r>
    </w:p>
    <w:sdt>
      <w:sdtPr>
        <w:rPr>
          <w:color w:val="000000" w:themeColor="text1"/>
        </w:rPr>
        <w:alias w:val="是否适用：涉及业绩约定的，应当披露报告期内的业绩实现情况[双击切换]"/>
        <w:tag w:val="_GBC_0640a8fc3526461ca1eed7810b087c23"/>
        <w:id w:val="211123373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2"/>
          <w:numId w:val="24"/>
        </w:numPr>
        <w:rPr>
          <w:rFonts w:ascii="宋体" w:hAnsi="宋体"/>
          <w:color w:val="000000" w:themeColor="text1"/>
        </w:rPr>
      </w:pPr>
      <w:r>
        <w:rPr>
          <w:rFonts w:ascii="宋体" w:hAnsi="宋体"/>
          <w:color w:val="000000" w:themeColor="text1"/>
        </w:rPr>
        <w:t>共同对外投资的重大关联交易</w:t>
      </w:r>
    </w:p>
    <w:p w:rsidR="000C5659" w:rsidRDefault="000E33C4" w:rsidP="000743DD">
      <w:pPr>
        <w:pStyle w:val="4"/>
        <w:numPr>
          <w:ilvl w:val="0"/>
          <w:numId w:val="27"/>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共同对外投资的重大关联交易[双击切换]"/>
        <w:tag w:val="_GBC_dda9192a67f44f8698afb5d0b3e3c767"/>
        <w:id w:val="145112944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7"/>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共同对外投资的重大关联交易[双击切换]"/>
        <w:tag w:val="_GBC_f5354c189ecd4cad9ef1e263c325c0db"/>
        <w:id w:val="6993785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7"/>
        </w:numPr>
        <w:rPr>
          <w:rFonts w:ascii="宋体" w:hAnsi="宋体"/>
          <w:color w:val="000000" w:themeColor="text1"/>
        </w:rPr>
      </w:pPr>
      <w:r>
        <w:rPr>
          <w:rFonts w:ascii="宋体" w:hAnsi="宋体"/>
          <w:color w:val="000000" w:themeColor="text1"/>
        </w:rPr>
        <w:lastRenderedPageBreak/>
        <w:t>临时公告未披露的事项</w:t>
      </w:r>
    </w:p>
    <w:sdt>
      <w:sdtPr>
        <w:rPr>
          <w:rFonts w:hint="eastAsia"/>
          <w:color w:val="000000" w:themeColor="text1"/>
        </w:rPr>
        <w:alias w:val="是否适用：共同对外投资的重大关联交易_临时公告未披露的事项[双击切换]"/>
        <w:tag w:val="_GBC_3ac28148c3754202ba544078ad581a24"/>
        <w:id w:val="-77595052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2"/>
          <w:numId w:val="24"/>
        </w:numPr>
        <w:rPr>
          <w:rFonts w:ascii="宋体" w:hAnsi="宋体"/>
          <w:color w:val="000000" w:themeColor="text1"/>
        </w:rPr>
      </w:pPr>
      <w:r>
        <w:rPr>
          <w:rFonts w:ascii="宋体" w:hAnsi="宋体" w:hint="eastAsia"/>
          <w:color w:val="000000" w:themeColor="text1"/>
        </w:rPr>
        <w:t>关联债权债务往来</w:t>
      </w:r>
    </w:p>
    <w:p w:rsidR="000C5659" w:rsidRDefault="000E33C4" w:rsidP="000743DD">
      <w:pPr>
        <w:pStyle w:val="4"/>
        <w:numPr>
          <w:ilvl w:val="0"/>
          <w:numId w:val="28"/>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关联债权债务往来[双击切换]"/>
        <w:tag w:val="_GBC_480ccdae6247445ca78cf6327eb0e24f"/>
        <w:id w:val="418790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8"/>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关联债权债务往来[双击切换]"/>
        <w:tag w:val="_GBC_06dcfbbd6aed49aa878ab07a09b2270b"/>
        <w:id w:val="185622501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0"/>
          <w:numId w:val="28"/>
        </w:numPr>
        <w:rPr>
          <w:rFonts w:ascii="宋体" w:hAnsi="宋体"/>
          <w:color w:val="000000" w:themeColor="text1"/>
        </w:rPr>
      </w:pPr>
      <w:r>
        <w:rPr>
          <w:rFonts w:ascii="宋体" w:hAnsi="宋体" w:hint="eastAsia"/>
          <w:color w:val="000000" w:themeColor="text1"/>
        </w:rPr>
        <w:t>临时公告未披露的事项</w:t>
      </w:r>
    </w:p>
    <w:sdt>
      <w:sdtPr>
        <w:rPr>
          <w:color w:val="000000" w:themeColor="text1"/>
        </w:rPr>
        <w:alias w:val="是否适用：关联债权债务往来_临时公告未披露的事项[双击切换]"/>
        <w:tag w:val="_GBC_0f4a6802ca704b49a413888379a91f0b"/>
        <w:id w:val="1333066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2"/>
          <w:numId w:val="24"/>
        </w:numPr>
        <w:rPr>
          <w:rFonts w:ascii="宋体" w:hAnsi="宋体"/>
          <w:color w:val="000000" w:themeColor="text1"/>
        </w:rPr>
      </w:pPr>
      <w:r>
        <w:rPr>
          <w:rFonts w:ascii="宋体" w:hAnsi="宋体"/>
          <w:color w:val="000000" w:themeColor="text1"/>
        </w:rPr>
        <w:t>公司与存在关联关系的财务公司、公司控股财务公司与关联方之间的金融业务</w:t>
      </w:r>
    </w:p>
    <w:sdt>
      <w:sdtPr>
        <w:rPr>
          <w:color w:val="000000" w:themeColor="text1"/>
        </w:rPr>
        <w:alias w:val="是否适用：公司与存在关联关系的财务公司、公司控股财务公司与关联方之间的金融业务 [双击切换]"/>
        <w:tag w:val="_GBC_918ef76103ad41b4a79075b59fdb8bf4"/>
        <w:id w:val="207547055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63" w:name="_Hlk41316022"/>
    </w:p>
    <w:p w:rsidR="000C5659" w:rsidRDefault="000C5659">
      <w:pPr>
        <w:rPr>
          <w:color w:val="000000" w:themeColor="text1"/>
        </w:rPr>
      </w:pPr>
    </w:p>
    <w:bookmarkEnd w:id="63"/>
    <w:p w:rsidR="000C5659" w:rsidRDefault="000E33C4" w:rsidP="000743DD">
      <w:pPr>
        <w:pStyle w:val="3"/>
        <w:numPr>
          <w:ilvl w:val="2"/>
          <w:numId w:val="24"/>
        </w:numPr>
        <w:rPr>
          <w:rFonts w:ascii="宋体" w:hAnsi="宋体"/>
          <w:color w:val="000000" w:themeColor="text1"/>
        </w:rPr>
      </w:pPr>
      <w:r>
        <w:rPr>
          <w:rFonts w:ascii="宋体" w:hAnsi="宋体" w:hint="eastAsia"/>
          <w:color w:val="000000" w:themeColor="text1"/>
        </w:rPr>
        <w:t>其他重大关联交易</w:t>
      </w:r>
    </w:p>
    <w:sdt>
      <w:sdtPr>
        <w:rPr>
          <w:rFonts w:hint="eastAsia"/>
          <w:color w:val="000000" w:themeColor="text1"/>
        </w:rPr>
        <w:alias w:val="是否适用：重大关联交易其他说明[双击切换]"/>
        <w:tag w:val="_GBC_7dd39ac420a244dcb8ea88c29ac07190"/>
        <w:id w:val="-8184119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2"/>
          <w:numId w:val="24"/>
        </w:numPr>
        <w:rPr>
          <w:rFonts w:ascii="宋体" w:hAnsi="宋体"/>
          <w:color w:val="000000" w:themeColor="text1"/>
        </w:rPr>
      </w:pPr>
      <w:r>
        <w:rPr>
          <w:rFonts w:ascii="宋体" w:hAnsi="宋体" w:hint="eastAsia"/>
          <w:color w:val="000000" w:themeColor="text1"/>
        </w:rPr>
        <w:t>其他</w:t>
      </w:r>
    </w:p>
    <w:sdt>
      <w:sdtPr>
        <w:rPr>
          <w:rFonts w:hint="eastAsia"/>
          <w:color w:val="000000" w:themeColor="text1"/>
        </w:rPr>
        <w:alias w:val="是否适用：重大关联交易事项其他补充说明[双击切换]"/>
        <w:tag w:val="_GBC_272061194cde466a9c566f0881c76d0d"/>
        <w:id w:val="4324051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r>
        <w:rPr>
          <w:rFonts w:ascii="宋体" w:hAnsi="宋体" w:hint="eastAsia"/>
          <w:color w:val="000000" w:themeColor="text1"/>
        </w:rPr>
        <w:t>重大合同及其履行情况</w:t>
      </w:r>
    </w:p>
    <w:p w:rsidR="000C5659" w:rsidRDefault="000E33C4" w:rsidP="000743DD">
      <w:pPr>
        <w:pStyle w:val="3"/>
        <w:numPr>
          <w:ilvl w:val="0"/>
          <w:numId w:val="29"/>
        </w:numPr>
        <w:rPr>
          <w:rFonts w:ascii="宋体" w:hAnsi="宋体"/>
          <w:color w:val="000000" w:themeColor="text1"/>
        </w:rPr>
      </w:pPr>
      <w:r>
        <w:rPr>
          <w:rFonts w:ascii="宋体" w:hAnsi="宋体"/>
          <w:color w:val="000000" w:themeColor="text1"/>
        </w:rPr>
        <w:t>托管、承包、租赁事项</w:t>
      </w:r>
    </w:p>
    <w:p w:rsidR="000C5659" w:rsidRDefault="00220B84">
      <w:pPr>
        <w:rPr>
          <w:color w:val="000000" w:themeColor="text1"/>
          <w:shd w:val="pct15" w:color="auto" w:fill="FFFFFF"/>
        </w:rPr>
      </w:pPr>
      <w:sdt>
        <w:sdtPr>
          <w:rPr>
            <w:color w:val="000000" w:themeColor="text1"/>
          </w:rPr>
          <w:alias w:val="是否适用：托管、承包、租赁事项[双击切换]"/>
          <w:tag w:val="_GBC_daed561e68674d828a348a97bffbc154"/>
          <w:id w:val="-594015297"/>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shd w:val="pct15" w:color="auto" w:fill="FFFFFF"/>
        </w:rPr>
        <w:sectPr w:rsidR="000C5659">
          <w:pgSz w:w="11906" w:h="16838"/>
          <w:pgMar w:top="1525" w:right="1276" w:bottom="1440" w:left="1797" w:header="851" w:footer="992" w:gutter="0"/>
          <w:cols w:space="425"/>
          <w:docGrid w:linePitch="312"/>
        </w:sectPr>
      </w:pPr>
    </w:p>
    <w:p w:rsidR="000C5659" w:rsidRDefault="000E33C4" w:rsidP="000743DD">
      <w:pPr>
        <w:pStyle w:val="3"/>
        <w:numPr>
          <w:ilvl w:val="0"/>
          <w:numId w:val="30"/>
        </w:numPr>
        <w:ind w:left="450" w:hanging="450"/>
        <w:rPr>
          <w:rFonts w:ascii="宋体" w:hAnsi="宋体"/>
          <w:color w:val="000000" w:themeColor="text1"/>
          <w:szCs w:val="21"/>
        </w:rPr>
      </w:pPr>
      <w:r>
        <w:rPr>
          <w:rFonts w:ascii="宋体" w:hAnsi="宋体" w:hint="eastAsia"/>
          <w:color w:val="000000" w:themeColor="text1"/>
          <w:szCs w:val="21"/>
        </w:rPr>
        <w:lastRenderedPageBreak/>
        <w:t>报告期内履行的及尚未履行完毕的重大担保情况</w:t>
      </w:r>
    </w:p>
    <w:sdt>
      <w:sdtPr>
        <w:rPr>
          <w:color w:val="000000" w:themeColor="text1"/>
        </w:rPr>
        <w:alias w:val="是否适用：担保情况[双击切换]"/>
        <w:tag w:val="_GBC_aae98b3e30bd49e4b2e1d2643f200047"/>
        <w:id w:val="-1030181766"/>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ind w:rightChars="-150" w:right="-315"/>
        <w:jc w:val="right"/>
        <w:rPr>
          <w:color w:val="000000" w:themeColor="text1"/>
        </w:rPr>
      </w:pPr>
      <w:bookmarkStart w:id="64" w:name="_Hlk42868045"/>
      <w:r>
        <w:rPr>
          <w:rFonts w:hint="eastAsia"/>
          <w:color w:val="000000" w:themeColor="text1"/>
        </w:rPr>
        <w:t>单位</w:t>
      </w:r>
      <w:r>
        <w:rPr>
          <w:color w:val="000000" w:themeColor="text1"/>
        </w:rPr>
        <w:t xml:space="preserve">： </w:t>
      </w:r>
      <w:sdt>
        <w:sdtPr>
          <w:rPr>
            <w:color w:val="000000" w:themeColor="text1"/>
          </w:rPr>
          <w:alias w:val="单位：担保情况"/>
          <w:tag w:val="_GBC_27c8b92380c14fd7885db4b4050dbded"/>
          <w:id w:val="6561173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币种</w:t>
      </w:r>
      <w:r>
        <w:rPr>
          <w:color w:val="000000" w:themeColor="text1"/>
        </w:rPr>
        <w:t xml:space="preserve">： </w:t>
      </w:r>
      <w:sdt>
        <w:sdtPr>
          <w:rPr>
            <w:color w:val="000000" w:themeColor="text1"/>
          </w:rPr>
          <w:alias w:val="币种：担保情况"/>
          <w:tag w:val="_GBC_a5bed87537d146398206f22cc051cc03"/>
          <w:id w:val="1211689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22"/>
        <w:gridCol w:w="859"/>
        <w:gridCol w:w="859"/>
        <w:gridCol w:w="950"/>
        <w:gridCol w:w="860"/>
        <w:gridCol w:w="857"/>
        <w:gridCol w:w="743"/>
        <w:gridCol w:w="965"/>
        <w:gridCol w:w="860"/>
        <w:gridCol w:w="860"/>
        <w:gridCol w:w="860"/>
        <w:gridCol w:w="860"/>
        <w:gridCol w:w="945"/>
        <w:gridCol w:w="860"/>
        <w:gridCol w:w="860"/>
        <w:gridCol w:w="843"/>
      </w:tblGrid>
      <w:tr w:rsidR="000C5659">
        <w:trPr>
          <w:trHeight w:val="293"/>
        </w:trPr>
        <w:sdt>
          <w:sdtPr>
            <w:rPr>
              <w:color w:val="000000" w:themeColor="text1"/>
            </w:rPr>
            <w:tag w:val="_PLD_e4c50adfca70424b94b9e8ceed3333ed"/>
            <w:id w:val="-417327042"/>
          </w:sdtPr>
          <w:sdtEndPr/>
          <w:sdtContent>
            <w:tc>
              <w:tcPr>
                <w:tcW w:w="5000" w:type="pct"/>
                <w:gridSpan w:val="16"/>
                <w:tcBorders>
                  <w:top w:val="single" w:sz="4" w:space="0" w:color="auto"/>
                  <w:bottom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公司对外担保情况（不包括对子公司的担保）</w:t>
                </w:r>
              </w:p>
            </w:tc>
          </w:sdtContent>
        </w:sdt>
      </w:tr>
      <w:tr w:rsidR="000C5659">
        <w:trPr>
          <w:trHeight w:val="293"/>
        </w:trPr>
        <w:sdt>
          <w:sdtPr>
            <w:rPr>
              <w:color w:val="000000" w:themeColor="text1"/>
            </w:rPr>
            <w:tag w:val="_PLD_b5e3bfe83f5247d8b2e96e12bee8662f"/>
            <w:id w:val="1285613710"/>
          </w:sdtPr>
          <w:sdtEndPr/>
          <w:sdtContent>
            <w:tc>
              <w:tcPr>
                <w:tcW w:w="297" w:type="pct"/>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担保方</w:t>
                </w:r>
              </w:p>
            </w:tc>
          </w:sdtContent>
        </w:sdt>
        <w:sdt>
          <w:sdtPr>
            <w:rPr>
              <w:color w:val="000000" w:themeColor="text1"/>
            </w:rPr>
            <w:tag w:val="_PLD_11e8ec3aaba140989322530dbb4ee821"/>
            <w:id w:val="215557272"/>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担保方与上市公司的关系</w:t>
                </w:r>
              </w:p>
            </w:tc>
          </w:sdtContent>
        </w:sdt>
        <w:sdt>
          <w:sdtPr>
            <w:rPr>
              <w:color w:val="000000" w:themeColor="text1"/>
            </w:rPr>
            <w:tag w:val="_PLD_0a624167897e488eac102851cdaa2dd6"/>
            <w:id w:val="712158158"/>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被担保方</w:t>
                </w:r>
              </w:p>
            </w:tc>
          </w:sdtContent>
        </w:sdt>
        <w:sdt>
          <w:sdtPr>
            <w:rPr>
              <w:color w:val="000000" w:themeColor="text1"/>
            </w:rPr>
            <w:tag w:val="_PLD_d74521a92aaa42b5808e61f4fb826446"/>
            <w:id w:val="1522050469"/>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担保金额</w:t>
                </w:r>
              </w:p>
            </w:tc>
          </w:sdtContent>
        </w:sdt>
        <w:sdt>
          <w:sdtPr>
            <w:rPr>
              <w:color w:val="000000" w:themeColor="text1"/>
            </w:rPr>
            <w:tag w:val="_PLD_6741824a509a46cebcb644a6151b055d"/>
            <w:id w:val="42567126"/>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担保发生日期</w:t>
                </w:r>
                <w:r>
                  <w:rPr>
                    <w:color w:val="000000" w:themeColor="text1"/>
                  </w:rPr>
                  <w:t>(</w:t>
                </w:r>
                <w:r>
                  <w:rPr>
                    <w:rFonts w:hint="eastAsia"/>
                    <w:color w:val="000000" w:themeColor="text1"/>
                  </w:rPr>
                  <w:t>协议签署日</w:t>
                </w:r>
                <w:r>
                  <w:rPr>
                    <w:color w:val="000000" w:themeColor="text1"/>
                  </w:rPr>
                  <w:t>)</w:t>
                </w:r>
              </w:p>
            </w:tc>
          </w:sdtContent>
        </w:sdt>
        <w:sdt>
          <w:sdtPr>
            <w:rPr>
              <w:color w:val="000000" w:themeColor="text1"/>
            </w:rPr>
            <w:tag w:val="_PLD_0e011a3a87e14e378e635db52fd873bd"/>
            <w:id w:val="-1303683958"/>
          </w:sdtPr>
          <w:sdtEndPr/>
          <w:sdtContent>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w:t>
                </w:r>
              </w:p>
              <w:p w:rsidR="000C5659" w:rsidRDefault="000E33C4">
                <w:pPr>
                  <w:autoSpaceDE w:val="0"/>
                  <w:autoSpaceDN w:val="0"/>
                  <w:adjustRightInd w:val="0"/>
                  <w:jc w:val="center"/>
                  <w:rPr>
                    <w:color w:val="000000" w:themeColor="text1"/>
                  </w:rPr>
                </w:pPr>
                <w:r>
                  <w:rPr>
                    <w:rFonts w:hint="eastAsia"/>
                    <w:color w:val="000000" w:themeColor="text1"/>
                  </w:rPr>
                  <w:t>起始日</w:t>
                </w:r>
              </w:p>
            </w:tc>
          </w:sdtContent>
        </w:sdt>
        <w:sdt>
          <w:sdtPr>
            <w:rPr>
              <w:color w:val="000000" w:themeColor="text1"/>
            </w:rPr>
            <w:tag w:val="_PLD_938a1d93f58f4900b7afb7849e3e6a58"/>
            <w:id w:val="1901391646"/>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w:t>
                </w:r>
              </w:p>
              <w:p w:rsidR="000C5659" w:rsidRDefault="000E33C4">
                <w:pPr>
                  <w:autoSpaceDE w:val="0"/>
                  <w:autoSpaceDN w:val="0"/>
                  <w:adjustRightInd w:val="0"/>
                  <w:jc w:val="center"/>
                  <w:rPr>
                    <w:color w:val="000000" w:themeColor="text1"/>
                  </w:rPr>
                </w:pPr>
                <w:r>
                  <w:rPr>
                    <w:rFonts w:hint="eastAsia"/>
                    <w:color w:val="000000" w:themeColor="text1"/>
                  </w:rPr>
                  <w:t>到期日</w:t>
                </w:r>
              </w:p>
            </w:tc>
          </w:sdtContent>
        </w:sdt>
        <w:sdt>
          <w:sdtPr>
            <w:rPr>
              <w:color w:val="000000" w:themeColor="text1"/>
            </w:rPr>
            <w:tag w:val="_PLD_51fa31228c524c01adac764c60a6999c"/>
            <w:id w:val="-1288584915"/>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担保类型</w:t>
                </w:r>
              </w:p>
            </w:tc>
          </w:sdtContent>
        </w:sdt>
        <w:sdt>
          <w:sdtPr>
            <w:rPr>
              <w:rFonts w:hint="eastAsia"/>
              <w:color w:val="000000" w:themeColor="text1"/>
            </w:rPr>
            <w:tag w:val="_PLD_1f3f8cca8d8c4b94a8d81954f7951552"/>
            <w:id w:val="874658673"/>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主债务情况</w:t>
                </w:r>
              </w:p>
            </w:tc>
          </w:sdtContent>
        </w:sdt>
        <w:sdt>
          <w:sdtPr>
            <w:rPr>
              <w:rFonts w:hint="eastAsia"/>
              <w:color w:val="000000" w:themeColor="text1"/>
            </w:rPr>
            <w:tag w:val="_PLD_cd7b5ab30a06466e9c30b0ca1035b8c8"/>
            <w:id w:val="-1192299459"/>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担保物（如有）</w:t>
                </w:r>
              </w:p>
            </w:tc>
          </w:sdtContent>
        </w:sdt>
        <w:sdt>
          <w:sdtPr>
            <w:rPr>
              <w:color w:val="000000" w:themeColor="text1"/>
            </w:rPr>
            <w:tag w:val="_PLD_a4bc1e9d84484ec38af3f5d7a2752067"/>
            <w:id w:val="643318555"/>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担保是否已经履行完毕</w:t>
                </w:r>
              </w:p>
            </w:tc>
          </w:sdtContent>
        </w:sdt>
        <w:sdt>
          <w:sdtPr>
            <w:rPr>
              <w:color w:val="000000" w:themeColor="text1"/>
            </w:rPr>
            <w:tag w:val="_PLD_3adcf1d50e504a54949358562441ef7b"/>
            <w:id w:val="-1496260765"/>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担保是否逾期</w:t>
                </w:r>
              </w:p>
            </w:tc>
          </w:sdtContent>
        </w:sdt>
        <w:sdt>
          <w:sdtPr>
            <w:rPr>
              <w:color w:val="000000" w:themeColor="text1"/>
            </w:rPr>
            <w:tag w:val="_PLD_3860b2e281fb4e30b2945d128cc96939"/>
            <w:id w:val="1225338021"/>
          </w:sdtPr>
          <w:sdtEndPr/>
          <w:sdtConten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rPr>
                <w:rFonts w:hint="eastAsia"/>
                <w:color w:val="000000" w:themeColor="text1"/>
              </w:rPr>
              <w:tag w:val="_PLD_63e29615db7e439fbe446447d9abc680"/>
              <w:id w:val="381529079"/>
            </w:sdtPr>
            <w:sdtEndPr/>
            <w:sdtContent>
              <w:p w:rsidR="000C5659" w:rsidRDefault="000E33C4">
                <w:pPr>
                  <w:autoSpaceDE w:val="0"/>
                  <w:autoSpaceDN w:val="0"/>
                  <w:adjustRightInd w:val="0"/>
                  <w:jc w:val="center"/>
                  <w:rPr>
                    <w:color w:val="000000" w:themeColor="text1"/>
                  </w:rPr>
                </w:pPr>
                <w:r>
                  <w:rPr>
                    <w:rFonts w:hint="eastAsia"/>
                    <w:color w:val="000000" w:themeColor="text1"/>
                  </w:rPr>
                  <w:t>反担保情况</w:t>
                </w:r>
              </w:p>
            </w:sdtContent>
          </w:sdt>
        </w:tc>
        <w:sdt>
          <w:sdtPr>
            <w:rPr>
              <w:color w:val="000000" w:themeColor="text1"/>
            </w:rPr>
            <w:tag w:val="_PLD_0f93b7a8a3684e3ba874246a93cd5173"/>
            <w:id w:val="1923526106"/>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是否为关联方担保</w:t>
                </w:r>
              </w:p>
            </w:tc>
          </w:sdtContent>
        </w:sdt>
        <w:sdt>
          <w:sdtPr>
            <w:rPr>
              <w:color w:val="000000" w:themeColor="text1"/>
            </w:rPr>
            <w:tag w:val="_PLD_fd1e6b8b28d64a7ea7816d45bcfc0699"/>
            <w:id w:val="-636568242"/>
          </w:sdtPr>
          <w:sdtEndPr/>
          <w:sdtContent>
            <w:tc>
              <w:tcPr>
                <w:tcW w:w="304" w:type="pct"/>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jc w:val="center"/>
                  <w:rPr>
                    <w:color w:val="000000" w:themeColor="text1"/>
                  </w:rPr>
                </w:pPr>
                <w:r>
                  <w:rPr>
                    <w:rFonts w:hint="eastAsia"/>
                    <w:color w:val="000000" w:themeColor="text1"/>
                  </w:rPr>
                  <w:t>关联</w:t>
                </w:r>
              </w:p>
              <w:p w:rsidR="000C5659" w:rsidRDefault="000E33C4">
                <w:pPr>
                  <w:autoSpaceDE w:val="0"/>
                  <w:autoSpaceDN w:val="0"/>
                  <w:adjustRightInd w:val="0"/>
                  <w:jc w:val="center"/>
                  <w:rPr>
                    <w:color w:val="000000" w:themeColor="text1"/>
                  </w:rPr>
                </w:pPr>
                <w:r>
                  <w:rPr>
                    <w:rFonts w:hint="eastAsia"/>
                    <w:color w:val="000000" w:themeColor="text1"/>
                  </w:rPr>
                  <w:t>关系</w:t>
                </w:r>
              </w:p>
            </w:tc>
          </w:sdtContent>
        </w:sdt>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rPr>
                <w:color w:val="000000" w:themeColor="text1"/>
              </w:rPr>
            </w:pPr>
            <w:r>
              <w:rPr>
                <w:rFonts w:hint="eastAsia"/>
                <w:color w:val="000000" w:themeColor="text1"/>
              </w:rPr>
              <w:t>报告期内担保发生额合计（不包括对子公司的担保）</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ind w:rightChars="40" w:right="84"/>
              <w:jc w:val="right"/>
            </w:pPr>
            <w:r>
              <w:t>0</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rPr>
                <w:color w:val="000000" w:themeColor="text1"/>
              </w:rPr>
            </w:pPr>
            <w:r>
              <w:rPr>
                <w:rFonts w:hint="eastAsia"/>
                <w:color w:val="000000" w:themeColor="text1"/>
              </w:rPr>
              <w:t>报告期末担保余额合计（</w:t>
            </w:r>
            <w:r>
              <w:rPr>
                <w:color w:val="000000" w:themeColor="text1"/>
              </w:rPr>
              <w:t>A</w:t>
            </w:r>
            <w:r>
              <w:rPr>
                <w:rFonts w:hint="eastAsia"/>
                <w:color w:val="000000" w:themeColor="text1"/>
              </w:rPr>
              <w:t>）（不包括对子公司的担保）</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ind w:rightChars="40" w:right="84"/>
              <w:jc w:val="right"/>
            </w:pPr>
            <w:r>
              <w:rPr>
                <w:rFonts w:hint="eastAsia"/>
              </w:rPr>
              <w:t>0</w:t>
            </w:r>
          </w:p>
        </w:tc>
      </w:tr>
      <w:tr w:rsidR="000C5659">
        <w:trPr>
          <w:trHeight w:val="308"/>
        </w:trPr>
        <w:tc>
          <w:tcPr>
            <w:tcW w:w="5000" w:type="pct"/>
            <w:gridSpan w:val="16"/>
            <w:tcBorders>
              <w:top w:val="single" w:sz="4" w:space="0" w:color="auto"/>
              <w:bottom w:val="single" w:sz="4" w:space="0" w:color="auto"/>
            </w:tcBorders>
            <w:shd w:val="clear" w:color="auto" w:fill="auto"/>
            <w:vAlign w:val="center"/>
          </w:tcPr>
          <w:p w:rsidR="000C5659" w:rsidRDefault="00220B84">
            <w:pPr>
              <w:autoSpaceDE w:val="0"/>
              <w:autoSpaceDN w:val="0"/>
              <w:adjustRightInd w:val="0"/>
              <w:ind w:rightChars="40" w:right="84"/>
              <w:jc w:val="center"/>
              <w:rPr>
                <w:color w:val="000000" w:themeColor="text1"/>
              </w:rPr>
            </w:pPr>
            <w:sdt>
              <w:sdtPr>
                <w:rPr>
                  <w:rFonts w:hint="eastAsia"/>
                  <w:color w:val="000000" w:themeColor="text1"/>
                </w:rPr>
                <w:tag w:val="_PLD_05f81595191b432fba2f5467a459f70b"/>
                <w:id w:val="418761593"/>
              </w:sdtPr>
              <w:sdtEndPr/>
              <w:sdtContent>
                <w:r w:rsidR="000E33C4">
                  <w:rPr>
                    <w:rFonts w:hint="eastAsia"/>
                    <w:color w:val="000000" w:themeColor="text1"/>
                  </w:rPr>
                  <w:t>公司对子公司的担保情况</w:t>
                </w:r>
              </w:sdtContent>
            </w:sdt>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ind w:rightChars="40" w:right="84"/>
              <w:rPr>
                <w:color w:val="000000" w:themeColor="text1"/>
              </w:rPr>
            </w:pPr>
            <w:r>
              <w:rPr>
                <w:rFonts w:hint="eastAsia"/>
                <w:color w:val="000000" w:themeColor="text1"/>
              </w:rPr>
              <w:t>报告期内对子公司担保发生额合计</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ind w:rightChars="40" w:right="84"/>
              <w:jc w:val="right"/>
            </w:pPr>
            <w:r>
              <w:rPr>
                <w:rFonts w:hint="eastAsia"/>
              </w:rPr>
              <w:t>7</w:t>
            </w:r>
            <w:r>
              <w:t>0,000,000.00</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ind w:rightChars="40" w:right="84"/>
              <w:rPr>
                <w:color w:val="000000" w:themeColor="text1"/>
              </w:rPr>
            </w:pPr>
            <w:r>
              <w:rPr>
                <w:rFonts w:hint="eastAsia"/>
                <w:color w:val="000000" w:themeColor="text1"/>
              </w:rPr>
              <w:t>报告期末对子公司担保余额合计（</w:t>
            </w:r>
            <w:r>
              <w:rPr>
                <w:color w:val="000000" w:themeColor="text1"/>
              </w:rPr>
              <w:t>B</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tabs>
                <w:tab w:val="center" w:pos="2466"/>
                <w:tab w:val="right" w:pos="4932"/>
              </w:tabs>
              <w:autoSpaceDE w:val="0"/>
              <w:autoSpaceDN w:val="0"/>
              <w:adjustRightInd w:val="0"/>
              <w:ind w:rightChars="40" w:right="84"/>
              <w:jc w:val="right"/>
            </w:pPr>
            <w:r>
              <w:rPr>
                <w:rFonts w:hint="eastAsia"/>
              </w:rPr>
              <w:t>3</w:t>
            </w:r>
            <w:r>
              <w:t>44,980</w:t>
            </w:r>
            <w:r>
              <w:rPr>
                <w:rFonts w:hint="eastAsia"/>
              </w:rPr>
              <w:t>,</w:t>
            </w:r>
            <w:r>
              <w:t>000.00</w:t>
            </w:r>
          </w:p>
        </w:tc>
      </w:tr>
      <w:tr w:rsidR="000C5659">
        <w:trPr>
          <w:trHeight w:val="308"/>
        </w:trPr>
        <w:sdt>
          <w:sdtPr>
            <w:rPr>
              <w:color w:val="000000" w:themeColor="text1"/>
            </w:rPr>
            <w:tag w:val="_PLD_7934b7db222a4b859de67adddfbf4ea4"/>
            <w:id w:val="1411741067"/>
          </w:sdtPr>
          <w:sdtEndPr/>
          <w:sdtContent>
            <w:tc>
              <w:tcPr>
                <w:tcW w:w="5000" w:type="pct"/>
                <w:gridSpan w:val="16"/>
                <w:tcBorders>
                  <w:top w:val="single" w:sz="4" w:space="0" w:color="auto"/>
                  <w:bottom w:val="single" w:sz="4" w:space="0" w:color="auto"/>
                </w:tcBorders>
                <w:shd w:val="clear" w:color="auto" w:fill="auto"/>
                <w:vAlign w:val="center"/>
              </w:tcPr>
              <w:p w:rsidR="000C5659" w:rsidRDefault="000E33C4">
                <w:pPr>
                  <w:autoSpaceDE w:val="0"/>
                  <w:autoSpaceDN w:val="0"/>
                  <w:adjustRightInd w:val="0"/>
                  <w:ind w:rightChars="40" w:right="84"/>
                  <w:jc w:val="center"/>
                  <w:rPr>
                    <w:color w:val="000000" w:themeColor="text1"/>
                  </w:rPr>
                </w:pPr>
                <w:r>
                  <w:rPr>
                    <w:rFonts w:hint="eastAsia"/>
                    <w:color w:val="000000" w:themeColor="text1"/>
                  </w:rPr>
                  <w:t>公司担保总额情况（包括对子公司的担保）</w:t>
                </w:r>
              </w:p>
            </w:tc>
          </w:sdtContent>
        </w:sdt>
      </w:tr>
      <w:tr w:rsidR="000C5659">
        <w:trPr>
          <w:trHeight w:val="470"/>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ind w:rightChars="40" w:right="84"/>
              <w:rPr>
                <w:color w:val="000000" w:themeColor="text1"/>
              </w:rPr>
            </w:pPr>
            <w:r>
              <w:rPr>
                <w:rFonts w:hint="eastAsia"/>
                <w:color w:val="000000" w:themeColor="text1"/>
              </w:rPr>
              <w:t>担保总额（</w:t>
            </w:r>
            <w:r>
              <w:rPr>
                <w:color w:val="000000" w:themeColor="text1"/>
              </w:rPr>
              <w:t>A+B</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ind w:rightChars="40" w:right="84"/>
              <w:jc w:val="right"/>
            </w:pPr>
            <w:r>
              <w:t>344,980,000.00</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ind w:rightChars="40" w:right="84"/>
              <w:rPr>
                <w:color w:val="000000" w:themeColor="text1"/>
              </w:rPr>
            </w:pPr>
            <w:r>
              <w:rPr>
                <w:rFonts w:hint="eastAsia"/>
                <w:color w:val="000000" w:themeColor="text1"/>
              </w:rPr>
              <w:t>担保总额占公司净资产的比例</w:t>
            </w:r>
            <w:r>
              <w:rPr>
                <w:color w:val="000000" w:themeColor="text1"/>
              </w:rPr>
              <w:t>(%)</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ind w:rightChars="40" w:right="84"/>
              <w:jc w:val="right"/>
            </w:pPr>
            <w:r>
              <w:rPr>
                <w:rFonts w:hint="eastAsia"/>
              </w:rPr>
              <w:t>2</w:t>
            </w:r>
            <w:r>
              <w:t>9.24</w:t>
            </w:r>
          </w:p>
        </w:tc>
      </w:tr>
      <w:tr w:rsidR="000C5659">
        <w:trPr>
          <w:trHeight w:val="308"/>
        </w:trPr>
        <w:sdt>
          <w:sdtPr>
            <w:rPr>
              <w:rFonts w:ascii="宋体" w:hAnsi="宋体"/>
              <w:color w:val="000000" w:themeColor="text1"/>
            </w:rPr>
            <w:tag w:val="_PLD_a773089c19754364bad6c8803a7c8022"/>
            <w:id w:val="-1501505439"/>
          </w:sdtPr>
          <w:sdtEndPr/>
          <w:sdtContent>
            <w:tc>
              <w:tcPr>
                <w:tcW w:w="5000" w:type="pct"/>
                <w:gridSpan w:val="16"/>
                <w:tcBorders>
                  <w:top w:val="single" w:sz="4" w:space="0" w:color="auto"/>
                  <w:bottom w:val="single" w:sz="4" w:space="0" w:color="auto"/>
                </w:tcBorders>
                <w:shd w:val="clear" w:color="auto" w:fill="auto"/>
                <w:vAlign w:val="center"/>
              </w:tcPr>
              <w:p w:rsidR="000C5659" w:rsidRDefault="000E33C4">
                <w:pPr>
                  <w:pStyle w:val="ab"/>
                  <w:autoSpaceDE w:val="0"/>
                  <w:autoSpaceDN w:val="0"/>
                  <w:adjustRightInd w:val="0"/>
                  <w:ind w:rightChars="40" w:right="84"/>
                  <w:rPr>
                    <w:rFonts w:ascii="宋体" w:hAnsi="宋体"/>
                    <w:color w:val="000000" w:themeColor="text1"/>
                  </w:rPr>
                </w:pPr>
                <w:r>
                  <w:rPr>
                    <w:rFonts w:ascii="宋体" w:hAnsi="宋体" w:hint="eastAsia"/>
                    <w:color w:val="000000" w:themeColor="text1"/>
                  </w:rPr>
                  <w:t>其中：</w:t>
                </w:r>
              </w:p>
            </w:tc>
          </w:sdtContent>
        </w:sdt>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rPr>
                <w:color w:val="000000" w:themeColor="text1"/>
              </w:rPr>
            </w:pPr>
            <w:r>
              <w:rPr>
                <w:rFonts w:hint="eastAsia"/>
                <w:color w:val="000000" w:themeColor="text1"/>
              </w:rPr>
              <w:t>为股东、实际控制人及其关联方提供担保的金额（</w:t>
            </w:r>
            <w:r>
              <w:rPr>
                <w:color w:val="000000" w:themeColor="text1"/>
              </w:rPr>
              <w:t>C</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ind w:rightChars="40" w:right="84"/>
              <w:jc w:val="right"/>
            </w:pPr>
            <w:r>
              <w:rPr>
                <w:rFonts w:hint="eastAsia"/>
              </w:rPr>
              <w:t>0</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rPr>
                <w:color w:val="000000" w:themeColor="text1"/>
              </w:rPr>
            </w:pPr>
            <w:r>
              <w:rPr>
                <w:rFonts w:hint="eastAsia"/>
                <w:color w:val="000000" w:themeColor="text1"/>
              </w:rPr>
              <w:t>直接或间接为资产负债率超过</w:t>
            </w:r>
            <w:r>
              <w:rPr>
                <w:color w:val="000000" w:themeColor="text1"/>
              </w:rPr>
              <w:t>70</w:t>
            </w:r>
            <w:r>
              <w:rPr>
                <w:rFonts w:hint="eastAsia"/>
                <w:color w:val="000000" w:themeColor="text1"/>
              </w:rPr>
              <w:t>%的被担保对象提供的债务担保金额（</w:t>
            </w:r>
            <w:r>
              <w:rPr>
                <w:color w:val="000000" w:themeColor="text1"/>
              </w:rPr>
              <w:t>D</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ind w:rightChars="40" w:right="84"/>
              <w:jc w:val="right"/>
            </w:pPr>
            <w:r>
              <w:rPr>
                <w:rFonts w:hint="eastAsia"/>
              </w:rPr>
              <w:t>0</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rPr>
                <w:color w:val="000000" w:themeColor="text1"/>
              </w:rPr>
            </w:pPr>
            <w:r>
              <w:rPr>
                <w:rFonts w:hint="eastAsia"/>
                <w:color w:val="000000" w:themeColor="text1"/>
              </w:rPr>
              <w:t>担保总额超过净资产</w:t>
            </w:r>
            <w:r>
              <w:rPr>
                <w:color w:val="000000" w:themeColor="text1"/>
              </w:rPr>
              <w:t>50</w:t>
            </w:r>
            <w:r>
              <w:rPr>
                <w:rFonts w:hint="eastAsia"/>
                <w:color w:val="000000" w:themeColor="text1"/>
              </w:rPr>
              <w:t>%部分的金额（</w:t>
            </w:r>
            <w:r>
              <w:rPr>
                <w:color w:val="000000" w:themeColor="text1"/>
              </w:rPr>
              <w:t>E</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ind w:rightChars="40" w:right="84"/>
              <w:jc w:val="right"/>
            </w:pPr>
            <w:r>
              <w:rPr>
                <w:rFonts w:hint="eastAsia"/>
              </w:rPr>
              <w:t>0</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rPr>
                <w:color w:val="000000" w:themeColor="text1"/>
              </w:rPr>
            </w:pPr>
            <w:r>
              <w:rPr>
                <w:rFonts w:hint="eastAsia"/>
                <w:color w:val="000000" w:themeColor="text1"/>
              </w:rPr>
              <w:t>上述三项担保金额合计（</w:t>
            </w:r>
            <w:r>
              <w:rPr>
                <w:color w:val="000000" w:themeColor="text1"/>
              </w:rPr>
              <w:t>C+D+E</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ind w:rightChars="40" w:right="84"/>
              <w:jc w:val="right"/>
            </w:pPr>
            <w:r>
              <w:rPr>
                <w:rFonts w:hint="eastAsia"/>
              </w:rPr>
              <w:t>0</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pStyle w:val="ab"/>
              <w:autoSpaceDE w:val="0"/>
              <w:autoSpaceDN w:val="0"/>
              <w:adjustRightInd w:val="0"/>
              <w:rPr>
                <w:rFonts w:ascii="宋体" w:hAnsi="宋体"/>
                <w:color w:val="000000" w:themeColor="text1"/>
              </w:rPr>
            </w:pPr>
            <w:r>
              <w:rPr>
                <w:rFonts w:ascii="宋体" w:hAnsi="宋体" w:hint="eastAsia"/>
                <w:color w:val="000000" w:themeColor="text1"/>
              </w:rPr>
              <w:t>未到期担保可能承担连带清偿责任说明</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pPr>
            <w:r>
              <w:rPr>
                <w:rFonts w:hint="eastAsia"/>
              </w:rPr>
              <w:t>无</w:t>
            </w:r>
          </w:p>
        </w:tc>
      </w:tr>
      <w:tr w:rsidR="000C5659">
        <w:trPr>
          <w:trHeight w:val="308"/>
        </w:trPr>
        <w:tc>
          <w:tcPr>
            <w:tcW w:w="2147" w:type="pct"/>
            <w:gridSpan w:val="7"/>
            <w:tcBorders>
              <w:top w:val="single" w:sz="4" w:space="0" w:color="auto"/>
              <w:bottom w:val="single" w:sz="4" w:space="0" w:color="auto"/>
              <w:right w:val="single" w:sz="4" w:space="0" w:color="auto"/>
            </w:tcBorders>
            <w:shd w:val="clear" w:color="auto" w:fill="auto"/>
            <w:vAlign w:val="center"/>
          </w:tcPr>
          <w:p w:rsidR="000C5659" w:rsidRDefault="000E33C4">
            <w:pPr>
              <w:autoSpaceDE w:val="0"/>
              <w:autoSpaceDN w:val="0"/>
              <w:adjustRightInd w:val="0"/>
              <w:rPr>
                <w:color w:val="000000" w:themeColor="text1"/>
              </w:rPr>
            </w:pPr>
            <w:r>
              <w:rPr>
                <w:rFonts w:hint="eastAsia"/>
                <w:color w:val="000000" w:themeColor="text1"/>
              </w:rPr>
              <w:t>担保情况说明</w:t>
            </w:r>
          </w:p>
        </w:tc>
        <w:tc>
          <w:tcPr>
            <w:tcW w:w="2853" w:type="pct"/>
            <w:gridSpan w:val="9"/>
            <w:tcBorders>
              <w:top w:val="single" w:sz="4" w:space="0" w:color="auto"/>
              <w:left w:val="single" w:sz="4" w:space="0" w:color="auto"/>
              <w:bottom w:val="single" w:sz="4" w:space="0" w:color="auto"/>
            </w:tcBorders>
            <w:shd w:val="clear" w:color="auto" w:fill="auto"/>
            <w:vAlign w:val="center"/>
          </w:tcPr>
          <w:p w:rsidR="000C5659" w:rsidRDefault="000E33C4">
            <w:pPr>
              <w:autoSpaceDE w:val="0"/>
              <w:autoSpaceDN w:val="0"/>
              <w:adjustRightInd w:val="0"/>
            </w:pPr>
            <w:r>
              <w:rPr>
                <w:rFonts w:hint="eastAsia"/>
              </w:rPr>
              <w:t>报告期内对子公司的担保均为合并报表范围内的担保</w:t>
            </w:r>
          </w:p>
        </w:tc>
      </w:tr>
    </w:tbl>
    <w:p w:rsidR="000C5659" w:rsidRDefault="000C5659">
      <w:pPr>
        <w:rPr>
          <w:color w:val="000000" w:themeColor="text1"/>
        </w:rPr>
      </w:pPr>
    </w:p>
    <w:bookmarkEnd w:id="64"/>
    <w:p w:rsidR="000C5659" w:rsidRDefault="000C5659">
      <w:pPr>
        <w:rPr>
          <w:color w:val="000000" w:themeColor="text1"/>
        </w:rPr>
        <w:sectPr w:rsidR="000C5659">
          <w:pgSz w:w="16838" w:h="11906" w:orient="landscape"/>
          <w:pgMar w:top="1797" w:right="1525" w:bottom="1276" w:left="1440" w:header="851" w:footer="992" w:gutter="0"/>
          <w:cols w:space="425"/>
          <w:docGrid w:linePitch="312"/>
        </w:sectPr>
      </w:pPr>
    </w:p>
    <w:p w:rsidR="000C5659" w:rsidRDefault="000E33C4" w:rsidP="000743DD">
      <w:pPr>
        <w:pStyle w:val="3"/>
        <w:numPr>
          <w:ilvl w:val="0"/>
          <w:numId w:val="30"/>
        </w:numPr>
        <w:ind w:left="450" w:hanging="450"/>
        <w:rPr>
          <w:rFonts w:ascii="宋体" w:hAnsi="宋体"/>
          <w:color w:val="000000" w:themeColor="text1"/>
          <w:szCs w:val="21"/>
        </w:rPr>
      </w:pPr>
      <w:r>
        <w:rPr>
          <w:rFonts w:ascii="宋体" w:hAnsi="宋体"/>
          <w:color w:val="000000" w:themeColor="text1"/>
          <w:szCs w:val="21"/>
        </w:rPr>
        <w:lastRenderedPageBreak/>
        <w:t>其他重大合同</w:t>
      </w:r>
    </w:p>
    <w:sdt>
      <w:sdtPr>
        <w:rPr>
          <w:color w:val="000000" w:themeColor="text1"/>
        </w:rPr>
        <w:alias w:val="是否适用：其他重大合同[双击切换]"/>
        <w:tag w:val="_GBC_23289ac36e3b4aeeaff6a4f1df0c3165"/>
        <w:id w:val="147309932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bookmarkStart w:id="65" w:name="_Hlk72846301"/>
      <w:bookmarkStart w:id="66" w:name="_Hlk170215658"/>
      <w:bookmarkStart w:id="67" w:name="_Hlk170206295"/>
      <w:r>
        <w:rPr>
          <w:rFonts w:ascii="宋体" w:hAnsi="宋体" w:hint="eastAsia"/>
          <w:color w:val="000000" w:themeColor="text1"/>
        </w:rPr>
        <w:t>募集资金使用进展说明</w:t>
      </w:r>
    </w:p>
    <w:sdt>
      <w:sdtPr>
        <w:rPr>
          <w:color w:val="000000" w:themeColor="text1"/>
        </w:rPr>
        <w:alias w:val="是否适用：募集资金使用进展说明[双击切换]"/>
        <w:tag w:val="_GBC_680b9390780e4e2096adf48e91fa95ca"/>
        <w:id w:val="-102555768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68" w:name="_Hlk106701941"/>
      <w:bookmarkEnd w:id="65"/>
    </w:p>
    <w:bookmarkEnd w:id="66"/>
    <w:bookmarkEnd w:id="67"/>
    <w:bookmarkEnd w:id="68"/>
    <w:p w:rsidR="000C5659" w:rsidRDefault="000C5659">
      <w:pPr>
        <w:rPr>
          <w:color w:val="000000" w:themeColor="text1"/>
        </w:rPr>
      </w:pPr>
    </w:p>
    <w:p w:rsidR="000C5659" w:rsidRDefault="000E33C4" w:rsidP="000743DD">
      <w:pPr>
        <w:pStyle w:val="2"/>
        <w:numPr>
          <w:ilvl w:val="0"/>
          <w:numId w:val="21"/>
        </w:numPr>
        <w:tabs>
          <w:tab w:val="left" w:pos="426"/>
        </w:tabs>
        <w:ind w:left="422" w:hanging="422"/>
        <w:jc w:val="left"/>
        <w:rPr>
          <w:rFonts w:ascii="宋体" w:hAnsi="宋体"/>
          <w:color w:val="000000" w:themeColor="text1"/>
        </w:rPr>
      </w:pPr>
      <w:bookmarkStart w:id="69" w:name="_Hlk74820557"/>
      <w:bookmarkStart w:id="70" w:name="_Hlk74904700"/>
      <w:r>
        <w:rPr>
          <w:rFonts w:ascii="宋体" w:hAnsi="宋体"/>
          <w:color w:val="000000" w:themeColor="text1"/>
        </w:rPr>
        <w:t>其他</w:t>
      </w:r>
      <w:r>
        <w:rPr>
          <w:rFonts w:ascii="宋体" w:hAnsi="宋体" w:hint="eastAsia"/>
          <w:color w:val="000000" w:themeColor="text1"/>
        </w:rPr>
        <w:t>重大事项的说明</w:t>
      </w:r>
    </w:p>
    <w:sdt>
      <w:sdtPr>
        <w:rPr>
          <w:color w:val="000000" w:themeColor="text1"/>
        </w:rPr>
        <w:alias w:val="是否适用：其他重大事项的说明[双击切换]"/>
        <w:tag w:val="_GBC_60472543195d45309db4d042b8e09883"/>
        <w:id w:val="15563589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69"/>
    <w:bookmarkEnd w:id="70"/>
    <w:p w:rsidR="000C5659" w:rsidRDefault="000C5659">
      <w:pPr>
        <w:rPr>
          <w:color w:val="000000" w:themeColor="text1"/>
        </w:rPr>
      </w:pPr>
    </w:p>
    <w:p w:rsidR="000C5659" w:rsidRDefault="000E33C4">
      <w:pPr>
        <w:pStyle w:val="1"/>
        <w:numPr>
          <w:ilvl w:val="0"/>
          <w:numId w:val="3"/>
        </w:numPr>
        <w:rPr>
          <w:rFonts w:ascii="黑体" w:hAnsi="黑体"/>
          <w:color w:val="000000" w:themeColor="text1"/>
        </w:rPr>
      </w:pPr>
      <w:bookmarkStart w:id="71" w:name="_Toc142578261"/>
      <w:bookmarkStart w:id="72" w:name="_Toc392233016"/>
      <w:bookmarkStart w:id="73" w:name="_Toc76114278"/>
      <w:r>
        <w:rPr>
          <w:rFonts w:ascii="黑体" w:hAnsi="黑体" w:hint="eastAsia"/>
          <w:color w:val="000000" w:themeColor="text1"/>
        </w:rPr>
        <w:t>股份变动及股东情况</w:t>
      </w:r>
      <w:bookmarkEnd w:id="59"/>
      <w:bookmarkEnd w:id="71"/>
      <w:bookmarkEnd w:id="72"/>
      <w:bookmarkEnd w:id="73"/>
    </w:p>
    <w:p w:rsidR="000C5659" w:rsidRDefault="000E33C4" w:rsidP="000743DD">
      <w:pPr>
        <w:pStyle w:val="2"/>
        <w:numPr>
          <w:ilvl w:val="0"/>
          <w:numId w:val="31"/>
        </w:numPr>
        <w:spacing w:line="360" w:lineRule="auto"/>
        <w:ind w:left="422" w:hanging="422"/>
        <w:rPr>
          <w:rFonts w:ascii="宋体" w:hAnsi="宋体"/>
          <w:color w:val="000000" w:themeColor="text1"/>
        </w:rPr>
      </w:pPr>
      <w:bookmarkStart w:id="74" w:name="_Toc342059476"/>
      <w:bookmarkStart w:id="75" w:name="_Toc342565989"/>
      <w:r>
        <w:rPr>
          <w:rFonts w:ascii="宋体" w:hAnsi="宋体"/>
          <w:color w:val="000000" w:themeColor="text1"/>
        </w:rPr>
        <w:t>股</w:t>
      </w:r>
      <w:r>
        <w:rPr>
          <w:rFonts w:ascii="宋体" w:hAnsi="宋体" w:hint="eastAsia"/>
          <w:color w:val="000000" w:themeColor="text1"/>
        </w:rPr>
        <w:t>本变动情况</w:t>
      </w:r>
      <w:bookmarkEnd w:id="74"/>
      <w:bookmarkEnd w:id="75"/>
    </w:p>
    <w:p w:rsidR="000C5659" w:rsidRDefault="000E33C4" w:rsidP="000743DD">
      <w:pPr>
        <w:pStyle w:val="3"/>
        <w:numPr>
          <w:ilvl w:val="1"/>
          <w:numId w:val="32"/>
        </w:numPr>
        <w:rPr>
          <w:rFonts w:ascii="宋体" w:hAnsi="宋体"/>
          <w:color w:val="000000" w:themeColor="text1"/>
        </w:rPr>
      </w:pPr>
      <w:bookmarkStart w:id="76" w:name="_Toc342565990"/>
      <w:bookmarkStart w:id="77" w:name="_Toc342059477"/>
      <w:r>
        <w:rPr>
          <w:rFonts w:ascii="宋体" w:hAnsi="宋体" w:hint="eastAsia"/>
          <w:color w:val="000000" w:themeColor="text1"/>
        </w:rPr>
        <w:t>股份变动情况表</w:t>
      </w:r>
      <w:bookmarkEnd w:id="76"/>
      <w:bookmarkEnd w:id="77"/>
    </w:p>
    <w:p w:rsidR="000C5659" w:rsidRDefault="000E33C4" w:rsidP="000743DD">
      <w:pPr>
        <w:pStyle w:val="4"/>
        <w:numPr>
          <w:ilvl w:val="2"/>
          <w:numId w:val="33"/>
        </w:numPr>
        <w:rPr>
          <w:rFonts w:ascii="宋体" w:hAnsi="宋体"/>
          <w:color w:val="000000" w:themeColor="text1"/>
        </w:rPr>
      </w:pPr>
      <w:r>
        <w:rPr>
          <w:rFonts w:ascii="宋体" w:hAnsi="宋体" w:hint="eastAsia"/>
          <w:color w:val="000000" w:themeColor="text1"/>
        </w:rPr>
        <w:t>股份变动情况表</w:t>
      </w:r>
    </w:p>
    <w:p w:rsidR="000C5659" w:rsidRDefault="000E33C4">
      <w:pPr>
        <w:rPr>
          <w:color w:val="000000" w:themeColor="text1"/>
        </w:rPr>
      </w:pPr>
      <w:r>
        <w:rPr>
          <w:rFonts w:hint="eastAsia"/>
          <w:color w:val="000000" w:themeColor="text1"/>
        </w:rPr>
        <w:t>报告期内，</w:t>
      </w:r>
      <w:sdt>
        <w:sdtPr>
          <w:rPr>
            <w:rFonts w:hint="eastAsia"/>
            <w:color w:val="000000" w:themeColor="text1"/>
          </w:rPr>
          <w:tag w:val="_PLD_dec093ae39394edab2b0d11e4fc7aedd"/>
          <w:id w:val="-1526483434"/>
          <w:placeholder>
            <w:docPart w:val="GBC22222222222222222222222222222"/>
          </w:placeholder>
        </w:sdtPr>
        <w:sdtEndPr/>
        <w:sdtContent>
          <w:r>
            <w:rPr>
              <w:rFonts w:hint="eastAsia"/>
              <w:color w:val="000000" w:themeColor="text1"/>
            </w:rPr>
            <w:t>公司股份总数及股本结构未发生变化。</w:t>
          </w:r>
        </w:sdtContent>
      </w:sdt>
    </w:p>
    <w:p w:rsidR="000C5659" w:rsidRDefault="000C5659">
      <w:pPr>
        <w:rPr>
          <w:color w:val="000000" w:themeColor="text1"/>
        </w:rPr>
      </w:pPr>
    </w:p>
    <w:p w:rsidR="000C5659" w:rsidRDefault="000E33C4" w:rsidP="000743DD">
      <w:pPr>
        <w:pStyle w:val="4"/>
        <w:numPr>
          <w:ilvl w:val="2"/>
          <w:numId w:val="33"/>
        </w:numPr>
        <w:rPr>
          <w:rFonts w:ascii="宋体" w:hAnsi="宋体"/>
          <w:color w:val="000000" w:themeColor="text1"/>
        </w:rPr>
      </w:pPr>
      <w:bookmarkStart w:id="78" w:name="_Toc342565996"/>
      <w:bookmarkStart w:id="79" w:name="_Toc342059483"/>
      <w:r>
        <w:rPr>
          <w:rFonts w:ascii="宋体" w:hAnsi="宋体"/>
          <w:color w:val="000000" w:themeColor="text1"/>
        </w:rPr>
        <w:t>股份变动情况说明</w:t>
      </w:r>
    </w:p>
    <w:sdt>
      <w:sdtPr>
        <w:rPr>
          <w:color w:val="000000" w:themeColor="text1"/>
        </w:rPr>
        <w:alias w:val="是否适用：普通股股份变动情况说明[双击切换]"/>
        <w:tag w:val="_GBC_28994e6dc9c649e498c0ab9c340777bf"/>
        <w:id w:val="-54922472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2"/>
          <w:numId w:val="33"/>
        </w:numPr>
        <w:rPr>
          <w:rFonts w:ascii="宋体" w:hAnsi="宋体" w:cs="宋体"/>
          <w:color w:val="000000" w:themeColor="text1"/>
          <w:kern w:val="0"/>
          <w:szCs w:val="22"/>
        </w:rPr>
      </w:pPr>
      <w:r>
        <w:rPr>
          <w:rFonts w:ascii="宋体" w:hAnsi="宋体" w:cs="宋体" w:hint="eastAsia"/>
          <w:color w:val="000000" w:themeColor="text1"/>
          <w:kern w:val="0"/>
          <w:szCs w:val="22"/>
        </w:rPr>
        <w:t>报告期后到半年报披露日期间发生股份变动对每股收益、每股净资产等财务指标的影响（如有）</w:t>
      </w:r>
    </w:p>
    <w:sdt>
      <w:sdtPr>
        <w:rPr>
          <w:rFonts w:hint="eastAsia"/>
          <w:color w:val="000000" w:themeColor="text1"/>
        </w:rPr>
        <w:alias w:val="是否适用：普通股股份变动对最近一年和最近一期每股收益、每股净资产等财务指标的影响[双击切换]"/>
        <w:tag w:val="_GBC_bb0980f1589b4db8944ca5595f342bfe"/>
        <w:id w:val="5774814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
        <w:numPr>
          <w:ilvl w:val="2"/>
          <w:numId w:val="33"/>
        </w:numPr>
        <w:rPr>
          <w:rFonts w:ascii="宋体" w:hAnsi="宋体"/>
          <w:color w:val="000000" w:themeColor="text1"/>
        </w:rPr>
      </w:pPr>
      <w:r>
        <w:rPr>
          <w:rFonts w:ascii="宋体" w:hAnsi="宋体"/>
          <w:color w:val="000000" w:themeColor="text1"/>
        </w:rPr>
        <w:t>公司认为必要或证券监管机构要求披露的其他内容</w:t>
      </w:r>
    </w:p>
    <w:sdt>
      <w:sdtPr>
        <w:rPr>
          <w:color w:val="000000" w:themeColor="text1"/>
        </w:rPr>
        <w:alias w:val="是否适用：公司认为必要或证券监管机构要求披露的其他内容[双击切换]"/>
        <w:tag w:val="_GBC_7554eed1e25047d282437f24056d532b"/>
        <w:id w:val="13844541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1"/>
          <w:numId w:val="32"/>
        </w:numPr>
        <w:rPr>
          <w:rFonts w:ascii="宋体" w:hAnsi="宋体"/>
          <w:color w:val="000000" w:themeColor="text1"/>
        </w:rPr>
      </w:pPr>
      <w:r>
        <w:rPr>
          <w:rFonts w:ascii="宋体" w:hAnsi="宋体"/>
          <w:color w:val="000000" w:themeColor="text1"/>
        </w:rPr>
        <w:t>限售股份变动情况</w:t>
      </w:r>
    </w:p>
    <w:sdt>
      <w:sdtPr>
        <w:rPr>
          <w:color w:val="000000" w:themeColor="text1"/>
        </w:rPr>
        <w:alias w:val="是否适用：限售股份变动情况表[双击切换]"/>
        <w:tag w:val="_GBC_6f5978a50e224b6aa94189436cdee711"/>
        <w:id w:val="36541505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31"/>
        </w:numPr>
        <w:spacing w:line="360" w:lineRule="auto"/>
        <w:ind w:left="422" w:hanging="422"/>
        <w:rPr>
          <w:rFonts w:ascii="宋体" w:hAnsi="宋体"/>
          <w:color w:val="000000" w:themeColor="text1"/>
        </w:rPr>
      </w:pPr>
      <w:r>
        <w:rPr>
          <w:rFonts w:ascii="宋体" w:hAnsi="宋体"/>
          <w:color w:val="000000" w:themeColor="text1"/>
        </w:rPr>
        <w:t>股东情况</w:t>
      </w:r>
      <w:bookmarkEnd w:id="78"/>
      <w:bookmarkEnd w:id="79"/>
    </w:p>
    <w:p w:rsidR="000C5659" w:rsidRDefault="000E33C4" w:rsidP="000743DD">
      <w:pPr>
        <w:pStyle w:val="3"/>
        <w:numPr>
          <w:ilvl w:val="1"/>
          <w:numId w:val="34"/>
        </w:numPr>
        <w:rPr>
          <w:rFonts w:ascii="宋体" w:hAnsi="宋体"/>
          <w:color w:val="000000" w:themeColor="text1"/>
        </w:rPr>
      </w:pPr>
      <w:r>
        <w:rPr>
          <w:rFonts w:ascii="宋体" w:hAnsi="宋体"/>
          <w:color w:val="000000" w:themeColor="text1"/>
        </w:rPr>
        <w:t>股东总数：</w:t>
      </w:r>
    </w:p>
    <w:tbl>
      <w:tblPr>
        <w:tblStyle w:val="aff2"/>
        <w:tblW w:w="0" w:type="auto"/>
        <w:tblLook w:val="04A0" w:firstRow="1" w:lastRow="0" w:firstColumn="1" w:lastColumn="0" w:noHBand="0" w:noVBand="1"/>
      </w:tblPr>
      <w:tblGrid>
        <w:gridCol w:w="4943"/>
        <w:gridCol w:w="3880"/>
      </w:tblGrid>
      <w:tr w:rsidR="000C5659">
        <w:sdt>
          <w:sdtPr>
            <w:rPr>
              <w:rFonts w:ascii="Times New Roman" w:hAnsi="Times New Roman"/>
              <w:color w:val="000000" w:themeColor="text1"/>
            </w:rPr>
            <w:tag w:val="_PLD_9206d6884981495295105158630a6172"/>
            <w:id w:val="632447298"/>
          </w:sdtPr>
          <w:sdtEndPr/>
          <w:sdtContent>
            <w:tc>
              <w:tcPr>
                <w:tcW w:w="5070" w:type="dxa"/>
              </w:tcPr>
              <w:p w:rsidR="000C5659" w:rsidRDefault="000E33C4">
                <w:pPr>
                  <w:rPr>
                    <w:rFonts w:ascii="Times New Roman" w:hAnsi="Times New Roman"/>
                    <w:color w:val="000000" w:themeColor="text1"/>
                  </w:rPr>
                </w:pPr>
                <w:r>
                  <w:rPr>
                    <w:rFonts w:ascii="Times New Roman" w:hAnsi="Times New Roman"/>
                    <w:color w:val="000000" w:themeColor="text1"/>
                  </w:rPr>
                  <w:t>截至报告期末</w:t>
                </w:r>
                <w:r>
                  <w:rPr>
                    <w:rFonts w:ascii="Times New Roman" w:hAnsi="Times New Roman" w:hint="eastAsia"/>
                    <w:color w:val="000000" w:themeColor="text1"/>
                  </w:rPr>
                  <w:t>普通股</w:t>
                </w:r>
                <w:r>
                  <w:rPr>
                    <w:rFonts w:ascii="Times New Roman" w:hAnsi="Times New Roman"/>
                    <w:color w:val="000000" w:themeColor="text1"/>
                  </w:rPr>
                  <w:t>股东总数</w:t>
                </w:r>
                <w:r>
                  <w:rPr>
                    <w:rFonts w:ascii="Times New Roman" w:hAnsi="Times New Roman"/>
                    <w:color w:val="000000" w:themeColor="text1"/>
                  </w:rPr>
                  <w:t>(</w:t>
                </w:r>
                <w:r>
                  <w:rPr>
                    <w:rFonts w:ascii="Times New Roman" w:hAnsi="Times New Roman"/>
                    <w:color w:val="000000" w:themeColor="text1"/>
                  </w:rPr>
                  <w:t>户</w:t>
                </w:r>
                <w:r>
                  <w:rPr>
                    <w:rFonts w:ascii="Times New Roman" w:hAnsi="Times New Roman"/>
                    <w:color w:val="000000" w:themeColor="text1"/>
                  </w:rPr>
                  <w:t>)</w:t>
                </w:r>
              </w:p>
            </w:tc>
          </w:sdtContent>
        </w:sdt>
        <w:tc>
          <w:tcPr>
            <w:tcW w:w="3978" w:type="dxa"/>
          </w:tcPr>
          <w:p w:rsidR="000C5659" w:rsidRDefault="000E33C4">
            <w:pPr>
              <w:jc w:val="right"/>
              <w:rPr>
                <w:rFonts w:ascii="Times New Roman" w:hAnsi="Times New Roman"/>
                <w:color w:val="000000" w:themeColor="text1"/>
              </w:rPr>
            </w:pPr>
            <w:r>
              <w:rPr>
                <w:rFonts w:ascii="Times New Roman" w:hAnsi="Times New Roman"/>
                <w:color w:val="000000" w:themeColor="text1"/>
              </w:rPr>
              <w:t>5,497</w:t>
            </w:r>
          </w:p>
        </w:tc>
      </w:tr>
      <w:tr w:rsidR="000C5659">
        <w:tc>
          <w:tcPr>
            <w:tcW w:w="5070" w:type="dxa"/>
          </w:tcPr>
          <w:p w:rsidR="000C5659" w:rsidRDefault="000E33C4">
            <w:pPr>
              <w:rPr>
                <w:rFonts w:ascii="Times New Roman" w:hAnsi="Times New Roman"/>
                <w:color w:val="000000" w:themeColor="text1"/>
              </w:rPr>
            </w:pPr>
            <w:r>
              <w:rPr>
                <w:rFonts w:ascii="Times New Roman" w:hAnsi="Times New Roman" w:hint="eastAsia"/>
                <w:color w:val="000000" w:themeColor="text1"/>
              </w:rPr>
              <w:t>截至报告期末表决权恢复的优先股股东总数（户）</w:t>
            </w:r>
          </w:p>
        </w:tc>
        <w:tc>
          <w:tcPr>
            <w:tcW w:w="3978" w:type="dxa"/>
          </w:tcPr>
          <w:p w:rsidR="000C5659" w:rsidRDefault="000E33C4">
            <w:pPr>
              <w:jc w:val="right"/>
              <w:rPr>
                <w:rFonts w:ascii="Times New Roman" w:hAnsi="Times New Roman"/>
              </w:rPr>
            </w:pPr>
            <w:r>
              <w:rPr>
                <w:rFonts w:ascii="Times New Roman" w:hAnsi="Times New Roman" w:hint="eastAsia"/>
              </w:rPr>
              <w:t>0</w:t>
            </w:r>
          </w:p>
        </w:tc>
      </w:tr>
    </w:tbl>
    <w:p w:rsidR="000C5659" w:rsidRDefault="000C5659">
      <w:pPr>
        <w:rPr>
          <w:color w:val="000000" w:themeColor="text1"/>
        </w:rPr>
      </w:pPr>
    </w:p>
    <w:p w:rsidR="000C5659" w:rsidRDefault="000E33C4" w:rsidP="000743DD">
      <w:pPr>
        <w:pStyle w:val="3"/>
        <w:numPr>
          <w:ilvl w:val="1"/>
          <w:numId w:val="34"/>
        </w:numPr>
        <w:rPr>
          <w:rFonts w:ascii="宋体" w:hAnsi="宋体"/>
          <w:color w:val="000000" w:themeColor="text1"/>
        </w:rPr>
      </w:pPr>
      <w:r>
        <w:rPr>
          <w:rFonts w:ascii="宋体" w:hAnsi="宋体" w:hint="eastAsia"/>
          <w:color w:val="000000" w:themeColor="text1"/>
          <w:szCs w:val="21"/>
        </w:rPr>
        <w:t>截至报告期末前十名股东、前十名流通股东（或无限售条件股东）持股情况表</w:t>
      </w:r>
    </w:p>
    <w:p w:rsidR="000C5659" w:rsidRDefault="000E33C4">
      <w:pPr>
        <w:jc w:val="right"/>
        <w:rPr>
          <w:color w:val="000000" w:themeColor="text1"/>
        </w:rPr>
      </w:pPr>
      <w:r>
        <w:rPr>
          <w:color w:val="000000" w:themeColor="text1"/>
        </w:rPr>
        <w:t>单位：</w:t>
      </w:r>
      <w:sdt>
        <w:sdtPr>
          <w:rPr>
            <w:bCs/>
            <w:color w:val="000000" w:themeColor="text1"/>
          </w:rPr>
          <w:alias w:val="单位：前十名股东持股情况"/>
          <w:tag w:val="_GBC_9d020b31dcb449c980ed0856cf6dae82"/>
          <w:id w:val="199545239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B708C8">
            <w:rPr>
              <w:rFonts w:hint="eastAsia"/>
              <w:bCs/>
              <w:color w:val="000000" w:themeColor="text1"/>
            </w:rPr>
            <w:t>股</w:t>
          </w:r>
        </w:sdtContent>
      </w:sdt>
    </w:p>
    <w:tbl>
      <w:tblPr>
        <w:tblStyle w:val="g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194"/>
        <w:gridCol w:w="1436"/>
        <w:gridCol w:w="859"/>
        <w:gridCol w:w="898"/>
        <w:gridCol w:w="1043"/>
        <w:gridCol w:w="256"/>
        <w:gridCol w:w="350"/>
        <w:gridCol w:w="1194"/>
      </w:tblGrid>
      <w:tr w:rsidR="000C5659">
        <w:trPr>
          <w:cantSplit/>
        </w:trPr>
        <w:sdt>
          <w:sdtPr>
            <w:rPr>
              <w:rFonts w:ascii="宋体" w:hAnsi="宋体"/>
              <w:color w:val="000000" w:themeColor="text1"/>
            </w:rPr>
            <w:tag w:val="_PLD_3038da138bad4905b589aeba821a8575"/>
            <w:id w:val="-186994826"/>
          </w:sdtPr>
          <w:sdtEndPr/>
          <w:sdtContent>
            <w:tc>
              <w:tcPr>
                <w:tcW w:w="0" w:type="auto"/>
                <w:gridSpan w:val="9"/>
                <w:shd w:val="clear" w:color="auto" w:fill="auto"/>
                <w:vAlign w:val="center"/>
              </w:tcPr>
              <w:p w:rsidR="000C5659" w:rsidRDefault="000E33C4">
                <w:pPr>
                  <w:pStyle w:val="ab"/>
                  <w:jc w:val="center"/>
                  <w:rPr>
                    <w:rFonts w:ascii="宋体" w:hAnsi="宋体"/>
                    <w:color w:val="000000" w:themeColor="text1"/>
                  </w:rPr>
                </w:pPr>
                <w:r>
                  <w:rPr>
                    <w:rFonts w:ascii="宋体" w:hAnsi="宋体"/>
                    <w:color w:val="000000" w:themeColor="text1"/>
                  </w:rPr>
                  <w:t>前十名股东持股情况</w:t>
                </w:r>
                <w:r>
                  <w:rPr>
                    <w:rFonts w:ascii="宋体" w:hAnsi="宋体" w:hint="eastAsia"/>
                    <w:color w:val="000000" w:themeColor="text1"/>
                  </w:rPr>
                  <w:t>（不含通过转融通出借股份）</w:t>
                </w:r>
              </w:p>
            </w:tc>
          </w:sdtContent>
        </w:sdt>
      </w:tr>
      <w:tr w:rsidR="000C5659">
        <w:trPr>
          <w:cantSplit/>
        </w:trPr>
        <w:sdt>
          <w:sdtPr>
            <w:rPr>
              <w:color w:val="000000" w:themeColor="text1"/>
            </w:rPr>
            <w:tag w:val="_PLD_80eda5ca76254dc1b950ed7de7dc5885"/>
            <w:id w:val="-1587616550"/>
          </w:sdtPr>
          <w:sdtEndPr/>
          <w:sdtContent>
            <w:tc>
              <w:tcPr>
                <w:tcW w:w="0" w:type="auto"/>
                <w:vMerge w:val="restart"/>
                <w:shd w:val="clear" w:color="auto" w:fill="auto"/>
                <w:vAlign w:val="center"/>
              </w:tcPr>
              <w:p w:rsidR="000C5659" w:rsidRDefault="000E33C4">
                <w:pPr>
                  <w:jc w:val="center"/>
                  <w:rPr>
                    <w:color w:val="000000" w:themeColor="text1"/>
                  </w:rPr>
                </w:pPr>
                <w:r>
                  <w:rPr>
                    <w:color w:val="000000" w:themeColor="text1"/>
                  </w:rPr>
                  <w:t>股东名称</w:t>
                </w:r>
              </w:p>
              <w:p w:rsidR="000C5659" w:rsidRDefault="000E33C4">
                <w:pPr>
                  <w:jc w:val="center"/>
                  <w:rPr>
                    <w:color w:val="000000" w:themeColor="text1"/>
                  </w:rPr>
                </w:pPr>
                <w:r>
                  <w:rPr>
                    <w:rFonts w:hint="eastAsia"/>
                    <w:color w:val="000000" w:themeColor="text1"/>
                  </w:rPr>
                  <w:t>（全称）</w:t>
                </w:r>
              </w:p>
            </w:tc>
          </w:sdtContent>
        </w:sdt>
        <w:sdt>
          <w:sdtPr>
            <w:rPr>
              <w:color w:val="000000" w:themeColor="text1"/>
            </w:rPr>
            <w:tag w:val="_PLD_ca2ffd3fc186426e98aac562ecc1ba54"/>
            <w:id w:val="-39911460"/>
          </w:sdtPr>
          <w:sdtEndPr/>
          <w:sdtContent>
            <w:tc>
              <w:tcPr>
                <w:tcW w:w="0" w:type="auto"/>
                <w:vMerge w:val="restart"/>
                <w:shd w:val="clear" w:color="auto" w:fill="auto"/>
                <w:vAlign w:val="center"/>
              </w:tcPr>
              <w:p w:rsidR="000C5659" w:rsidRDefault="000E33C4">
                <w:pPr>
                  <w:jc w:val="center"/>
                  <w:rPr>
                    <w:color w:val="000000" w:themeColor="text1"/>
                  </w:rPr>
                </w:pPr>
                <w:r>
                  <w:rPr>
                    <w:color w:val="000000" w:themeColor="text1"/>
                  </w:rPr>
                  <w:t>报告期内增减</w:t>
                </w:r>
              </w:p>
            </w:tc>
          </w:sdtContent>
        </w:sdt>
        <w:sdt>
          <w:sdtPr>
            <w:rPr>
              <w:color w:val="000000" w:themeColor="text1"/>
            </w:rPr>
            <w:tag w:val="_PLD_084006d53bec42bea9418fc4576a1210"/>
            <w:id w:val="73168047"/>
          </w:sdtPr>
          <w:sdtEndPr/>
          <w:sdtContent>
            <w:tc>
              <w:tcPr>
                <w:tcW w:w="0" w:type="auto"/>
                <w:vMerge w:val="restart"/>
                <w:shd w:val="clear" w:color="auto" w:fill="auto"/>
                <w:vAlign w:val="center"/>
              </w:tcPr>
              <w:p w:rsidR="000C5659" w:rsidRDefault="000E33C4">
                <w:pPr>
                  <w:jc w:val="center"/>
                  <w:rPr>
                    <w:color w:val="000000" w:themeColor="text1"/>
                  </w:rPr>
                </w:pPr>
                <w:r>
                  <w:rPr>
                    <w:color w:val="000000" w:themeColor="text1"/>
                  </w:rPr>
                  <w:t>期末持股数量</w:t>
                </w:r>
              </w:p>
            </w:tc>
          </w:sdtContent>
        </w:sdt>
        <w:sdt>
          <w:sdtPr>
            <w:rPr>
              <w:color w:val="000000" w:themeColor="text1"/>
            </w:rPr>
            <w:tag w:val="_PLD_f27008de77ee4b27b35e2ae22d35699c"/>
            <w:id w:val="-1403140089"/>
          </w:sdtPr>
          <w:sdtEndPr/>
          <w:sdtContent>
            <w:tc>
              <w:tcPr>
                <w:tcW w:w="0" w:type="auto"/>
                <w:vMerge w:val="restart"/>
                <w:shd w:val="clear" w:color="auto" w:fill="auto"/>
                <w:vAlign w:val="center"/>
              </w:tcPr>
              <w:p w:rsidR="000C5659" w:rsidRDefault="000E33C4">
                <w:pPr>
                  <w:jc w:val="center"/>
                  <w:rPr>
                    <w:color w:val="000000" w:themeColor="text1"/>
                  </w:rPr>
                </w:pPr>
                <w:r>
                  <w:rPr>
                    <w:color w:val="000000" w:themeColor="text1"/>
                  </w:rPr>
                  <w:t>比例(%)</w:t>
                </w:r>
              </w:p>
            </w:tc>
          </w:sdtContent>
        </w:sdt>
        <w:sdt>
          <w:sdtPr>
            <w:rPr>
              <w:rFonts w:ascii="宋体" w:hAnsi="宋体"/>
              <w:color w:val="000000" w:themeColor="text1"/>
            </w:rPr>
            <w:tag w:val="_PLD_34fcc5fa9a414555bef1b48aa74c8135"/>
            <w:id w:val="381216892"/>
          </w:sdtPr>
          <w:sdtEndPr/>
          <w:sdtContent>
            <w:tc>
              <w:tcPr>
                <w:tcW w:w="0" w:type="auto"/>
                <w:vMerge w:val="restart"/>
                <w:shd w:val="clear" w:color="auto" w:fill="auto"/>
                <w:vAlign w:val="center"/>
              </w:tcPr>
              <w:p w:rsidR="000C5659" w:rsidRDefault="000E33C4">
                <w:pPr>
                  <w:pStyle w:val="a3"/>
                  <w:rPr>
                    <w:rFonts w:ascii="宋体" w:hAnsi="宋体"/>
                    <w:bCs/>
                    <w:color w:val="000000" w:themeColor="text1"/>
                  </w:rPr>
                </w:pPr>
                <w:r>
                  <w:rPr>
                    <w:rFonts w:ascii="宋体" w:hAnsi="宋体"/>
                    <w:color w:val="000000" w:themeColor="text1"/>
                  </w:rPr>
                  <w:t>持有有限售条件股份数量</w:t>
                </w:r>
              </w:p>
            </w:tc>
          </w:sdtContent>
        </w:sdt>
        <w:sdt>
          <w:sdtPr>
            <w:rPr>
              <w:color w:val="000000" w:themeColor="text1"/>
            </w:rPr>
            <w:tag w:val="_PLD_94fbee67e09740e59eb90272af77b58a"/>
            <w:id w:val="1487121591"/>
          </w:sdtPr>
          <w:sdtEndPr/>
          <w:sdtContent>
            <w:tc>
              <w:tcPr>
                <w:tcW w:w="0" w:type="auto"/>
                <w:gridSpan w:val="3"/>
                <w:shd w:val="clear" w:color="auto" w:fill="auto"/>
                <w:vAlign w:val="center"/>
              </w:tcPr>
              <w:p w:rsidR="000C5659" w:rsidRDefault="000E33C4">
                <w:pPr>
                  <w:jc w:val="center"/>
                  <w:rPr>
                    <w:color w:val="000000" w:themeColor="text1"/>
                  </w:rPr>
                </w:pPr>
                <w:r>
                  <w:rPr>
                    <w:color w:val="000000" w:themeColor="text1"/>
                  </w:rPr>
                  <w:t>质押</w:t>
                </w:r>
                <w:r>
                  <w:rPr>
                    <w:rFonts w:hint="eastAsia"/>
                    <w:color w:val="000000" w:themeColor="text1"/>
                  </w:rPr>
                  <w:t>、标记</w:t>
                </w:r>
                <w:r>
                  <w:rPr>
                    <w:color w:val="000000" w:themeColor="text1"/>
                  </w:rPr>
                  <w:t>或冻结情况</w:t>
                </w:r>
              </w:p>
            </w:tc>
          </w:sdtContent>
        </w:sdt>
        <w:sdt>
          <w:sdtPr>
            <w:rPr>
              <w:color w:val="000000" w:themeColor="text1"/>
            </w:rPr>
            <w:tag w:val="_PLD_2228ecf4db6a4362bff11fe1e2d3c903"/>
            <w:id w:val="971865860"/>
          </w:sdtPr>
          <w:sdtEndPr/>
          <w:sdtContent>
            <w:tc>
              <w:tcPr>
                <w:tcW w:w="0" w:type="auto"/>
                <w:vMerge w:val="restart"/>
                <w:shd w:val="clear" w:color="auto" w:fill="auto"/>
                <w:vAlign w:val="center"/>
              </w:tcPr>
              <w:p w:rsidR="000C5659" w:rsidRDefault="000E33C4">
                <w:pPr>
                  <w:jc w:val="center"/>
                  <w:rPr>
                    <w:color w:val="000000" w:themeColor="text1"/>
                  </w:rPr>
                </w:pPr>
                <w:r>
                  <w:rPr>
                    <w:color w:val="000000" w:themeColor="text1"/>
                  </w:rPr>
                  <w:t>股东性质</w:t>
                </w:r>
              </w:p>
            </w:tc>
          </w:sdtContent>
        </w:sdt>
      </w:tr>
      <w:tr w:rsidR="000C5659">
        <w:trPr>
          <w:cantSplit/>
        </w:trPr>
        <w:tc>
          <w:tcPr>
            <w:tcW w:w="0" w:type="auto"/>
            <w:vMerge/>
            <w:tcBorders>
              <w:bottom w:val="single" w:sz="4" w:space="0" w:color="auto"/>
            </w:tcBorders>
            <w:shd w:val="clear" w:color="auto" w:fill="auto"/>
            <w:vAlign w:val="center"/>
          </w:tcPr>
          <w:p w:rsidR="000C5659" w:rsidRDefault="000C5659">
            <w:pPr>
              <w:jc w:val="center"/>
              <w:rPr>
                <w:color w:val="000000" w:themeColor="text1"/>
              </w:rPr>
            </w:pPr>
          </w:p>
        </w:tc>
        <w:tc>
          <w:tcPr>
            <w:tcW w:w="0" w:type="auto"/>
            <w:vMerge/>
            <w:tcBorders>
              <w:bottom w:val="single" w:sz="4" w:space="0" w:color="auto"/>
            </w:tcBorders>
            <w:shd w:val="clear" w:color="auto" w:fill="auto"/>
            <w:vAlign w:val="center"/>
          </w:tcPr>
          <w:p w:rsidR="000C5659" w:rsidRDefault="000C5659">
            <w:pPr>
              <w:jc w:val="center"/>
              <w:rPr>
                <w:color w:val="000000" w:themeColor="text1"/>
              </w:rPr>
            </w:pPr>
          </w:p>
        </w:tc>
        <w:tc>
          <w:tcPr>
            <w:tcW w:w="0" w:type="auto"/>
            <w:vMerge/>
            <w:tcBorders>
              <w:bottom w:val="single" w:sz="4" w:space="0" w:color="auto"/>
            </w:tcBorders>
            <w:shd w:val="clear" w:color="auto" w:fill="auto"/>
            <w:vAlign w:val="center"/>
          </w:tcPr>
          <w:p w:rsidR="000C5659" w:rsidRDefault="000C5659">
            <w:pPr>
              <w:jc w:val="center"/>
              <w:rPr>
                <w:color w:val="000000" w:themeColor="text1"/>
              </w:rPr>
            </w:pPr>
          </w:p>
        </w:tc>
        <w:tc>
          <w:tcPr>
            <w:tcW w:w="0" w:type="auto"/>
            <w:vMerge/>
            <w:tcBorders>
              <w:bottom w:val="single" w:sz="4" w:space="0" w:color="auto"/>
            </w:tcBorders>
            <w:shd w:val="clear" w:color="auto" w:fill="auto"/>
            <w:vAlign w:val="center"/>
          </w:tcPr>
          <w:p w:rsidR="000C5659" w:rsidRDefault="000C5659">
            <w:pPr>
              <w:jc w:val="center"/>
              <w:rPr>
                <w:color w:val="000000" w:themeColor="text1"/>
              </w:rPr>
            </w:pPr>
          </w:p>
        </w:tc>
        <w:tc>
          <w:tcPr>
            <w:tcW w:w="0" w:type="auto"/>
            <w:vMerge/>
            <w:tcBorders>
              <w:bottom w:val="single" w:sz="4" w:space="0" w:color="auto"/>
            </w:tcBorders>
            <w:shd w:val="clear" w:color="auto" w:fill="auto"/>
            <w:vAlign w:val="center"/>
          </w:tcPr>
          <w:p w:rsidR="000C5659" w:rsidRDefault="000C5659">
            <w:pPr>
              <w:jc w:val="center"/>
              <w:rPr>
                <w:color w:val="000000" w:themeColor="text1"/>
              </w:rPr>
            </w:pPr>
          </w:p>
        </w:tc>
        <w:sdt>
          <w:sdtPr>
            <w:rPr>
              <w:color w:val="000000" w:themeColor="text1"/>
            </w:rPr>
            <w:tag w:val="_PLD_45bf36a531de47beb596ebacadac576a"/>
            <w:id w:val="287254240"/>
          </w:sdtPr>
          <w:sdtEndPr/>
          <w:sdtContent>
            <w:tc>
              <w:tcPr>
                <w:tcW w:w="0" w:type="auto"/>
                <w:tcBorders>
                  <w:bottom w:val="single" w:sz="4" w:space="0" w:color="auto"/>
                </w:tcBorders>
                <w:shd w:val="clear" w:color="auto" w:fill="auto"/>
                <w:vAlign w:val="center"/>
              </w:tcPr>
              <w:p w:rsidR="000C5659" w:rsidRDefault="000E33C4">
                <w:pPr>
                  <w:jc w:val="center"/>
                  <w:rPr>
                    <w:color w:val="000000" w:themeColor="text1"/>
                  </w:rPr>
                </w:pPr>
                <w:r>
                  <w:rPr>
                    <w:color w:val="000000" w:themeColor="text1"/>
                  </w:rPr>
                  <w:t>股份状态</w:t>
                </w:r>
              </w:p>
            </w:tc>
          </w:sdtContent>
        </w:sdt>
        <w:sdt>
          <w:sdtPr>
            <w:rPr>
              <w:color w:val="000000" w:themeColor="text1"/>
            </w:rPr>
            <w:tag w:val="_PLD_bea7397233604f859f8d14f2ae0a0417"/>
            <w:id w:val="-1343390070"/>
          </w:sdtPr>
          <w:sdtEndPr/>
          <w:sdtContent>
            <w:tc>
              <w:tcPr>
                <w:tcW w:w="0" w:type="auto"/>
                <w:gridSpan w:val="2"/>
                <w:tcBorders>
                  <w:bottom w:val="single" w:sz="4" w:space="0" w:color="auto"/>
                </w:tcBorders>
                <w:shd w:val="clear" w:color="auto" w:fill="auto"/>
                <w:vAlign w:val="center"/>
              </w:tcPr>
              <w:p w:rsidR="000C5659" w:rsidRDefault="000E33C4">
                <w:pPr>
                  <w:jc w:val="center"/>
                  <w:rPr>
                    <w:color w:val="000000" w:themeColor="text1"/>
                  </w:rPr>
                </w:pPr>
                <w:r>
                  <w:rPr>
                    <w:color w:val="000000" w:themeColor="text1"/>
                  </w:rPr>
                  <w:t>数量</w:t>
                </w:r>
              </w:p>
            </w:tc>
          </w:sdtContent>
        </w:sdt>
        <w:tc>
          <w:tcPr>
            <w:tcW w:w="0" w:type="auto"/>
            <w:vMerge/>
            <w:shd w:val="clear" w:color="auto" w:fill="auto"/>
            <w:vAlign w:val="center"/>
          </w:tcPr>
          <w:p w:rsidR="000C5659" w:rsidRDefault="000C5659">
            <w:pPr>
              <w:jc w:val="center"/>
              <w:rPr>
                <w:color w:val="000000" w:themeColor="text1"/>
              </w:rPr>
            </w:pPr>
          </w:p>
        </w:tc>
      </w:tr>
      <w:tr w:rsidR="000C5659">
        <w:trPr>
          <w:cantSplit/>
        </w:trPr>
        <w:tc>
          <w:tcPr>
            <w:tcW w:w="0" w:type="auto"/>
            <w:shd w:val="clear" w:color="auto" w:fill="auto"/>
            <w:vAlign w:val="center"/>
          </w:tcPr>
          <w:p w:rsidR="000C5659" w:rsidRDefault="000E33C4">
            <w:pPr>
              <w:pStyle w:val="Style116"/>
            </w:pPr>
            <w:r>
              <w:rPr>
                <w:rFonts w:hint="eastAsia"/>
              </w:rPr>
              <w:lastRenderedPageBreak/>
              <w:t>张文生</w:t>
            </w:r>
          </w:p>
        </w:tc>
        <w:tc>
          <w:tcPr>
            <w:tcW w:w="0" w:type="auto"/>
            <w:shd w:val="clear" w:color="auto" w:fill="auto"/>
            <w:vAlign w:val="center"/>
          </w:tcPr>
          <w:p w:rsidR="000C5659" w:rsidRDefault="000E33C4">
            <w:pPr>
              <w:jc w:val="right"/>
            </w:pPr>
            <w:r>
              <w:rPr>
                <w:rFonts w:hint="eastAsia"/>
              </w:rPr>
              <w:t>0</w:t>
            </w:r>
          </w:p>
        </w:tc>
        <w:tc>
          <w:tcPr>
            <w:tcW w:w="0" w:type="auto"/>
            <w:shd w:val="clear" w:color="auto" w:fill="auto"/>
            <w:vAlign w:val="center"/>
          </w:tcPr>
          <w:p w:rsidR="000C5659" w:rsidRDefault="000E33C4">
            <w:pPr>
              <w:jc w:val="right"/>
            </w:pPr>
            <w:r>
              <w:t>63,000,000</w:t>
            </w:r>
          </w:p>
        </w:tc>
        <w:tc>
          <w:tcPr>
            <w:tcW w:w="0" w:type="auto"/>
            <w:shd w:val="clear" w:color="auto" w:fill="auto"/>
            <w:vAlign w:val="center"/>
          </w:tcPr>
          <w:p w:rsidR="000C5659" w:rsidRDefault="000E33C4">
            <w:pPr>
              <w:jc w:val="right"/>
            </w:pPr>
            <w:r>
              <w:rPr>
                <w:rFonts w:hint="eastAsia"/>
              </w:rPr>
              <w:t>6</w:t>
            </w:r>
            <w:r>
              <w:t>2.72</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109045289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193801734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境内自然人</w:t>
                </w:r>
              </w:p>
            </w:tc>
          </w:sdtContent>
        </w:sdt>
      </w:tr>
      <w:tr w:rsidR="000C5659">
        <w:trPr>
          <w:cantSplit/>
        </w:trPr>
        <w:tc>
          <w:tcPr>
            <w:tcW w:w="0" w:type="auto"/>
            <w:shd w:val="clear" w:color="auto" w:fill="auto"/>
            <w:vAlign w:val="center"/>
          </w:tcPr>
          <w:p w:rsidR="000C5659" w:rsidRDefault="000E33C4">
            <w:pPr>
              <w:pStyle w:val="Style116"/>
            </w:pPr>
            <w:r>
              <w:rPr>
                <w:rFonts w:hint="eastAsia"/>
              </w:rPr>
              <w:t>扬州竟成企业管理咨询合伙企业（有限合伙）</w:t>
            </w:r>
          </w:p>
        </w:tc>
        <w:tc>
          <w:tcPr>
            <w:tcW w:w="0" w:type="auto"/>
            <w:shd w:val="clear" w:color="auto" w:fill="auto"/>
            <w:vAlign w:val="center"/>
          </w:tcPr>
          <w:p w:rsidR="000C5659" w:rsidRDefault="000E33C4">
            <w:pPr>
              <w:jc w:val="right"/>
            </w:pPr>
            <w:r>
              <w:rPr>
                <w:rFonts w:hint="eastAsia"/>
              </w:rPr>
              <w:t>0</w:t>
            </w:r>
          </w:p>
        </w:tc>
        <w:tc>
          <w:tcPr>
            <w:tcW w:w="0" w:type="auto"/>
            <w:shd w:val="clear" w:color="auto" w:fill="auto"/>
            <w:vAlign w:val="center"/>
          </w:tcPr>
          <w:p w:rsidR="000C5659" w:rsidRDefault="000E33C4">
            <w:pPr>
              <w:jc w:val="right"/>
            </w:pPr>
            <w:r>
              <w:t>7,500,000</w:t>
            </w:r>
          </w:p>
        </w:tc>
        <w:tc>
          <w:tcPr>
            <w:tcW w:w="0" w:type="auto"/>
            <w:shd w:val="clear" w:color="auto" w:fill="auto"/>
            <w:vAlign w:val="center"/>
          </w:tcPr>
          <w:p w:rsidR="000C5659" w:rsidRDefault="000E33C4">
            <w:pPr>
              <w:jc w:val="right"/>
            </w:pPr>
            <w:r>
              <w:rPr>
                <w:rFonts w:hint="eastAsia"/>
              </w:rPr>
              <w:t>7</w:t>
            </w:r>
            <w:r>
              <w:t>.47</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170770531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77351665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境内非国有法人</w:t>
                </w:r>
              </w:p>
            </w:tc>
          </w:sdtContent>
        </w:sdt>
      </w:tr>
      <w:tr w:rsidR="000C5659">
        <w:trPr>
          <w:cantSplit/>
        </w:trPr>
        <w:tc>
          <w:tcPr>
            <w:tcW w:w="0" w:type="auto"/>
            <w:shd w:val="clear" w:color="auto" w:fill="auto"/>
            <w:vAlign w:val="center"/>
          </w:tcPr>
          <w:p w:rsidR="000C5659" w:rsidRDefault="000E33C4">
            <w:pPr>
              <w:pStyle w:val="Style116"/>
            </w:pPr>
            <w:r>
              <w:rPr>
                <w:rFonts w:hint="eastAsia"/>
              </w:rPr>
              <w:t>扬州和成企业管理咨询合伙企业（有限合伙）</w:t>
            </w:r>
          </w:p>
        </w:tc>
        <w:tc>
          <w:tcPr>
            <w:tcW w:w="0" w:type="auto"/>
            <w:shd w:val="clear" w:color="auto" w:fill="auto"/>
            <w:vAlign w:val="center"/>
          </w:tcPr>
          <w:p w:rsidR="000C5659" w:rsidRDefault="000E33C4">
            <w:pPr>
              <w:jc w:val="right"/>
            </w:pPr>
            <w:r>
              <w:rPr>
                <w:rFonts w:hint="eastAsia"/>
              </w:rPr>
              <w:t>0</w:t>
            </w:r>
          </w:p>
        </w:tc>
        <w:tc>
          <w:tcPr>
            <w:tcW w:w="0" w:type="auto"/>
            <w:shd w:val="clear" w:color="auto" w:fill="auto"/>
            <w:vAlign w:val="center"/>
          </w:tcPr>
          <w:p w:rsidR="000C5659" w:rsidRDefault="000E33C4">
            <w:pPr>
              <w:jc w:val="right"/>
            </w:pPr>
            <w:r>
              <w:t>4,500,000</w:t>
            </w:r>
          </w:p>
        </w:tc>
        <w:tc>
          <w:tcPr>
            <w:tcW w:w="0" w:type="auto"/>
            <w:shd w:val="clear" w:color="auto" w:fill="auto"/>
            <w:vAlign w:val="center"/>
          </w:tcPr>
          <w:p w:rsidR="000C5659" w:rsidRDefault="000E33C4">
            <w:pPr>
              <w:jc w:val="right"/>
            </w:pPr>
            <w:r>
              <w:rPr>
                <w:rFonts w:hint="eastAsia"/>
              </w:rPr>
              <w:t>4</w:t>
            </w:r>
            <w:r>
              <w:t>.48</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72868414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176911248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境内非国有法人</w:t>
                </w:r>
              </w:p>
            </w:tc>
          </w:sdtContent>
        </w:sdt>
      </w:tr>
      <w:tr w:rsidR="000C5659">
        <w:trPr>
          <w:cantSplit/>
        </w:trPr>
        <w:tc>
          <w:tcPr>
            <w:tcW w:w="0" w:type="auto"/>
            <w:shd w:val="clear" w:color="auto" w:fill="auto"/>
            <w:vAlign w:val="center"/>
          </w:tcPr>
          <w:p w:rsidR="000C5659" w:rsidRDefault="000E33C4">
            <w:pPr>
              <w:pStyle w:val="Style116"/>
            </w:pPr>
            <w:r>
              <w:rPr>
                <w:rFonts w:hint="eastAsia"/>
              </w:rPr>
              <w:t>中国工商银行股份有限公司－兴全绿色投资混合型证券投资基金（</w:t>
            </w:r>
            <w:r>
              <w:t>LOF）</w:t>
            </w:r>
          </w:p>
        </w:tc>
        <w:tc>
          <w:tcPr>
            <w:tcW w:w="0" w:type="auto"/>
            <w:shd w:val="clear" w:color="auto" w:fill="auto"/>
            <w:vAlign w:val="center"/>
          </w:tcPr>
          <w:p w:rsidR="000C5659" w:rsidRDefault="000E33C4">
            <w:pPr>
              <w:jc w:val="right"/>
            </w:pPr>
            <w:r>
              <w:t>1,586,725</w:t>
            </w:r>
          </w:p>
        </w:tc>
        <w:tc>
          <w:tcPr>
            <w:tcW w:w="0" w:type="auto"/>
            <w:shd w:val="clear" w:color="auto" w:fill="auto"/>
            <w:vAlign w:val="center"/>
          </w:tcPr>
          <w:p w:rsidR="000C5659" w:rsidRDefault="000E33C4">
            <w:pPr>
              <w:jc w:val="right"/>
            </w:pPr>
            <w:r>
              <w:t>1,586,725</w:t>
            </w:r>
          </w:p>
        </w:tc>
        <w:tc>
          <w:tcPr>
            <w:tcW w:w="0" w:type="auto"/>
            <w:shd w:val="clear" w:color="auto" w:fill="auto"/>
            <w:vAlign w:val="center"/>
          </w:tcPr>
          <w:p w:rsidR="000C5659" w:rsidRDefault="000E33C4">
            <w:pPr>
              <w:jc w:val="right"/>
            </w:pPr>
            <w:r>
              <w:rPr>
                <w:rFonts w:hint="eastAsia"/>
              </w:rPr>
              <w:t>1</w:t>
            </w:r>
            <w:r>
              <w:t>.58</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66737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192198957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其他</w:t>
                </w:r>
              </w:p>
            </w:tc>
          </w:sdtContent>
        </w:sdt>
      </w:tr>
      <w:tr w:rsidR="000C5659">
        <w:trPr>
          <w:cantSplit/>
        </w:trPr>
        <w:tc>
          <w:tcPr>
            <w:tcW w:w="0" w:type="auto"/>
            <w:shd w:val="clear" w:color="auto" w:fill="auto"/>
            <w:vAlign w:val="center"/>
          </w:tcPr>
          <w:p w:rsidR="000C5659" w:rsidRDefault="000E33C4">
            <w:pPr>
              <w:pStyle w:val="Style116"/>
            </w:pPr>
            <w:r>
              <w:rPr>
                <w:rFonts w:hint="eastAsia"/>
              </w:rPr>
              <w:t>陈丙胜</w:t>
            </w:r>
          </w:p>
        </w:tc>
        <w:tc>
          <w:tcPr>
            <w:tcW w:w="0" w:type="auto"/>
            <w:shd w:val="clear" w:color="auto" w:fill="auto"/>
            <w:vAlign w:val="center"/>
          </w:tcPr>
          <w:p w:rsidR="000C5659" w:rsidRDefault="000E33C4">
            <w:pPr>
              <w:jc w:val="right"/>
            </w:pPr>
            <w:r>
              <w:rPr>
                <w:rFonts w:hint="eastAsia"/>
              </w:rPr>
              <w:t>-</w:t>
            </w:r>
            <w:r>
              <w:t>38,500</w:t>
            </w:r>
          </w:p>
        </w:tc>
        <w:tc>
          <w:tcPr>
            <w:tcW w:w="0" w:type="auto"/>
            <w:shd w:val="clear" w:color="auto" w:fill="auto"/>
            <w:vAlign w:val="center"/>
          </w:tcPr>
          <w:p w:rsidR="000C5659" w:rsidRDefault="000E33C4">
            <w:pPr>
              <w:jc w:val="right"/>
            </w:pPr>
            <w:r>
              <w:t>910,000</w:t>
            </w:r>
          </w:p>
        </w:tc>
        <w:tc>
          <w:tcPr>
            <w:tcW w:w="0" w:type="auto"/>
            <w:shd w:val="clear" w:color="auto" w:fill="auto"/>
            <w:vAlign w:val="center"/>
          </w:tcPr>
          <w:p w:rsidR="000C5659" w:rsidRDefault="000E33C4">
            <w:pPr>
              <w:jc w:val="right"/>
            </w:pPr>
            <w:r>
              <w:rPr>
                <w:rFonts w:hint="eastAsia"/>
              </w:rPr>
              <w:t>0</w:t>
            </w:r>
            <w:r>
              <w:t>.91</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24961952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122918849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境内自然人</w:t>
                </w:r>
              </w:p>
            </w:tc>
          </w:sdtContent>
        </w:sdt>
      </w:tr>
      <w:tr w:rsidR="000C5659">
        <w:trPr>
          <w:cantSplit/>
        </w:trPr>
        <w:tc>
          <w:tcPr>
            <w:tcW w:w="0" w:type="auto"/>
            <w:shd w:val="clear" w:color="auto" w:fill="auto"/>
            <w:vAlign w:val="center"/>
          </w:tcPr>
          <w:p w:rsidR="000C5659" w:rsidRDefault="000E33C4">
            <w:pPr>
              <w:pStyle w:val="Style116"/>
            </w:pPr>
            <w:r>
              <w:rPr>
                <w:rFonts w:hint="eastAsia"/>
              </w:rPr>
              <w:t>中信银行股份有限公司－交银施罗德瑞元三年定期开放混合型证券投资基金</w:t>
            </w:r>
          </w:p>
        </w:tc>
        <w:tc>
          <w:tcPr>
            <w:tcW w:w="0" w:type="auto"/>
            <w:shd w:val="clear" w:color="auto" w:fill="auto"/>
            <w:vAlign w:val="center"/>
          </w:tcPr>
          <w:p w:rsidR="000C5659" w:rsidRDefault="000E33C4">
            <w:pPr>
              <w:jc w:val="right"/>
            </w:pPr>
            <w:r>
              <w:t>849,443</w:t>
            </w:r>
          </w:p>
        </w:tc>
        <w:tc>
          <w:tcPr>
            <w:tcW w:w="0" w:type="auto"/>
            <w:shd w:val="clear" w:color="auto" w:fill="auto"/>
            <w:vAlign w:val="center"/>
          </w:tcPr>
          <w:p w:rsidR="000C5659" w:rsidRDefault="000E33C4">
            <w:pPr>
              <w:jc w:val="right"/>
            </w:pPr>
            <w:r>
              <w:t>849,443</w:t>
            </w:r>
          </w:p>
        </w:tc>
        <w:tc>
          <w:tcPr>
            <w:tcW w:w="0" w:type="auto"/>
            <w:shd w:val="clear" w:color="auto" w:fill="auto"/>
            <w:vAlign w:val="center"/>
          </w:tcPr>
          <w:p w:rsidR="000C5659" w:rsidRDefault="000E33C4">
            <w:pPr>
              <w:jc w:val="right"/>
            </w:pPr>
            <w:r>
              <w:rPr>
                <w:rFonts w:hint="eastAsia"/>
              </w:rPr>
              <w:t>0</w:t>
            </w:r>
            <w:r>
              <w:t>.85</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60592818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173088333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其他</w:t>
                </w:r>
              </w:p>
            </w:tc>
          </w:sdtContent>
        </w:sdt>
      </w:tr>
      <w:tr w:rsidR="000C5659">
        <w:trPr>
          <w:cantSplit/>
        </w:trPr>
        <w:tc>
          <w:tcPr>
            <w:tcW w:w="0" w:type="auto"/>
            <w:shd w:val="clear" w:color="auto" w:fill="auto"/>
            <w:vAlign w:val="center"/>
          </w:tcPr>
          <w:p w:rsidR="000C5659" w:rsidRDefault="000E33C4">
            <w:pPr>
              <w:pStyle w:val="Style116"/>
            </w:pPr>
            <w:r>
              <w:rPr>
                <w:rFonts w:hint="eastAsia"/>
              </w:rPr>
              <w:t>兴业银行股份有限公司－华夏兴阳一年持有期混合型证券投资基金</w:t>
            </w:r>
          </w:p>
        </w:tc>
        <w:tc>
          <w:tcPr>
            <w:tcW w:w="0" w:type="auto"/>
            <w:shd w:val="clear" w:color="auto" w:fill="auto"/>
            <w:vAlign w:val="center"/>
          </w:tcPr>
          <w:p w:rsidR="000C5659" w:rsidRDefault="000E33C4">
            <w:pPr>
              <w:jc w:val="right"/>
            </w:pPr>
            <w:r>
              <w:t>789,600</w:t>
            </w:r>
          </w:p>
        </w:tc>
        <w:tc>
          <w:tcPr>
            <w:tcW w:w="0" w:type="auto"/>
            <w:shd w:val="clear" w:color="auto" w:fill="auto"/>
            <w:vAlign w:val="center"/>
          </w:tcPr>
          <w:p w:rsidR="000C5659" w:rsidRDefault="000E33C4">
            <w:pPr>
              <w:jc w:val="right"/>
            </w:pPr>
            <w:r>
              <w:t>789,600</w:t>
            </w:r>
          </w:p>
        </w:tc>
        <w:tc>
          <w:tcPr>
            <w:tcW w:w="0" w:type="auto"/>
            <w:shd w:val="clear" w:color="auto" w:fill="auto"/>
            <w:vAlign w:val="center"/>
          </w:tcPr>
          <w:p w:rsidR="000C5659" w:rsidRDefault="000E33C4">
            <w:pPr>
              <w:jc w:val="right"/>
            </w:pPr>
            <w:r>
              <w:rPr>
                <w:rFonts w:hint="eastAsia"/>
              </w:rPr>
              <w:t>0</w:t>
            </w:r>
            <w:r>
              <w:t>.79</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75219698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15558559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其他</w:t>
                </w:r>
              </w:p>
            </w:tc>
          </w:sdtContent>
        </w:sdt>
      </w:tr>
      <w:tr w:rsidR="000C5659">
        <w:trPr>
          <w:cantSplit/>
        </w:trPr>
        <w:tc>
          <w:tcPr>
            <w:tcW w:w="0" w:type="auto"/>
            <w:shd w:val="clear" w:color="auto" w:fill="auto"/>
            <w:vAlign w:val="center"/>
          </w:tcPr>
          <w:p w:rsidR="000C5659" w:rsidRDefault="000E33C4">
            <w:pPr>
              <w:pStyle w:val="Style116"/>
            </w:pPr>
            <w:r>
              <w:rPr>
                <w:rFonts w:hint="eastAsia"/>
              </w:rPr>
              <w:t>四川省壹拾壹号职业年金计划－建设银行</w:t>
            </w:r>
          </w:p>
        </w:tc>
        <w:tc>
          <w:tcPr>
            <w:tcW w:w="0" w:type="auto"/>
            <w:shd w:val="clear" w:color="auto" w:fill="auto"/>
            <w:vAlign w:val="center"/>
          </w:tcPr>
          <w:p w:rsidR="000C5659" w:rsidRDefault="000E33C4">
            <w:pPr>
              <w:jc w:val="right"/>
            </w:pPr>
            <w:r>
              <w:t>404,800</w:t>
            </w:r>
          </w:p>
        </w:tc>
        <w:tc>
          <w:tcPr>
            <w:tcW w:w="0" w:type="auto"/>
            <w:shd w:val="clear" w:color="auto" w:fill="auto"/>
            <w:vAlign w:val="center"/>
          </w:tcPr>
          <w:p w:rsidR="000C5659" w:rsidRDefault="000E33C4">
            <w:pPr>
              <w:jc w:val="right"/>
            </w:pPr>
            <w:r>
              <w:t>404,800</w:t>
            </w:r>
          </w:p>
        </w:tc>
        <w:tc>
          <w:tcPr>
            <w:tcW w:w="0" w:type="auto"/>
            <w:shd w:val="clear" w:color="auto" w:fill="auto"/>
            <w:vAlign w:val="center"/>
          </w:tcPr>
          <w:p w:rsidR="000C5659" w:rsidRDefault="000E33C4">
            <w:pPr>
              <w:jc w:val="right"/>
            </w:pPr>
            <w:r>
              <w:rPr>
                <w:rFonts w:hint="eastAsia"/>
              </w:rPr>
              <w:t>0</w:t>
            </w:r>
            <w:r>
              <w:t>.40</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16613028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158341005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其他</w:t>
                </w:r>
              </w:p>
            </w:tc>
          </w:sdtContent>
        </w:sdt>
      </w:tr>
      <w:tr w:rsidR="000C5659">
        <w:trPr>
          <w:cantSplit/>
        </w:trPr>
        <w:tc>
          <w:tcPr>
            <w:tcW w:w="0" w:type="auto"/>
            <w:shd w:val="clear" w:color="auto" w:fill="auto"/>
            <w:vAlign w:val="center"/>
          </w:tcPr>
          <w:p w:rsidR="000C5659" w:rsidRDefault="000E33C4">
            <w:pPr>
              <w:pStyle w:val="Style116"/>
            </w:pPr>
            <w:r>
              <w:rPr>
                <w:rFonts w:hint="eastAsia"/>
              </w:rPr>
              <w:t>河南省玖号职业年金计划－光大银行</w:t>
            </w:r>
          </w:p>
        </w:tc>
        <w:tc>
          <w:tcPr>
            <w:tcW w:w="0" w:type="auto"/>
            <w:shd w:val="clear" w:color="auto" w:fill="auto"/>
            <w:vAlign w:val="center"/>
          </w:tcPr>
          <w:p w:rsidR="000C5659" w:rsidRDefault="000E33C4">
            <w:pPr>
              <w:jc w:val="right"/>
            </w:pPr>
            <w:r>
              <w:t>352,200</w:t>
            </w:r>
          </w:p>
        </w:tc>
        <w:tc>
          <w:tcPr>
            <w:tcW w:w="0" w:type="auto"/>
            <w:shd w:val="clear" w:color="auto" w:fill="auto"/>
            <w:vAlign w:val="center"/>
          </w:tcPr>
          <w:p w:rsidR="000C5659" w:rsidRDefault="000E33C4">
            <w:pPr>
              <w:jc w:val="right"/>
            </w:pPr>
            <w:r>
              <w:t>352,200</w:t>
            </w:r>
          </w:p>
        </w:tc>
        <w:tc>
          <w:tcPr>
            <w:tcW w:w="0" w:type="auto"/>
            <w:shd w:val="clear" w:color="auto" w:fill="auto"/>
            <w:vAlign w:val="center"/>
          </w:tcPr>
          <w:p w:rsidR="000C5659" w:rsidRDefault="000E33C4">
            <w:pPr>
              <w:jc w:val="right"/>
            </w:pPr>
            <w:r>
              <w:rPr>
                <w:rFonts w:hint="eastAsia"/>
              </w:rPr>
              <w:t>0</w:t>
            </w:r>
            <w:r>
              <w:t>.35</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136891794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87993463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其他</w:t>
                </w:r>
              </w:p>
            </w:tc>
          </w:sdtContent>
        </w:sdt>
      </w:tr>
      <w:tr w:rsidR="000C5659">
        <w:trPr>
          <w:cantSplit/>
        </w:trPr>
        <w:tc>
          <w:tcPr>
            <w:tcW w:w="0" w:type="auto"/>
            <w:shd w:val="clear" w:color="auto" w:fill="auto"/>
            <w:vAlign w:val="center"/>
          </w:tcPr>
          <w:p w:rsidR="000C5659" w:rsidRDefault="000E33C4">
            <w:pPr>
              <w:pStyle w:val="Style116"/>
            </w:pPr>
            <w:r>
              <w:rPr>
                <w:rFonts w:hint="eastAsia"/>
              </w:rPr>
              <w:t>李然</w:t>
            </w:r>
          </w:p>
        </w:tc>
        <w:tc>
          <w:tcPr>
            <w:tcW w:w="0" w:type="auto"/>
            <w:shd w:val="clear" w:color="auto" w:fill="auto"/>
            <w:vAlign w:val="center"/>
          </w:tcPr>
          <w:p w:rsidR="000C5659" w:rsidRDefault="000E33C4">
            <w:pPr>
              <w:jc w:val="right"/>
            </w:pPr>
            <w:r>
              <w:rPr>
                <w:rFonts w:hint="eastAsia"/>
              </w:rPr>
              <w:t>-</w:t>
            </w:r>
            <w:r>
              <w:t>1,000</w:t>
            </w:r>
          </w:p>
        </w:tc>
        <w:tc>
          <w:tcPr>
            <w:tcW w:w="0" w:type="auto"/>
            <w:shd w:val="clear" w:color="auto" w:fill="auto"/>
            <w:vAlign w:val="center"/>
          </w:tcPr>
          <w:p w:rsidR="000C5659" w:rsidRDefault="000E33C4">
            <w:pPr>
              <w:jc w:val="right"/>
            </w:pPr>
            <w:r>
              <w:t>330,000</w:t>
            </w:r>
          </w:p>
        </w:tc>
        <w:tc>
          <w:tcPr>
            <w:tcW w:w="0" w:type="auto"/>
            <w:shd w:val="clear" w:color="auto" w:fill="auto"/>
            <w:vAlign w:val="center"/>
          </w:tcPr>
          <w:p w:rsidR="000C5659" w:rsidRDefault="000E33C4">
            <w:pPr>
              <w:jc w:val="right"/>
            </w:pPr>
            <w:r>
              <w:rPr>
                <w:rFonts w:hint="eastAsia"/>
              </w:rPr>
              <w:t>0</w:t>
            </w:r>
            <w:r>
              <w:t>.33</w:t>
            </w:r>
          </w:p>
        </w:tc>
        <w:tc>
          <w:tcPr>
            <w:tcW w:w="0" w:type="auto"/>
            <w:shd w:val="clear" w:color="auto" w:fill="auto"/>
            <w:vAlign w:val="center"/>
          </w:tcPr>
          <w:p w:rsidR="000C5659" w:rsidRDefault="000E33C4">
            <w:pPr>
              <w:jc w:val="right"/>
            </w:pPr>
            <w:r>
              <w:rPr>
                <w:rFonts w:hint="eastAsia"/>
              </w:rPr>
              <w:t>0</w:t>
            </w:r>
          </w:p>
        </w:tc>
        <w:sdt>
          <w:sdtPr>
            <w:rPr>
              <w:color w:val="000000" w:themeColor="text1"/>
            </w:rPr>
            <w:alias w:val="前十名股东持有股份状态"/>
            <w:tag w:val="_GBC_d5194108b2a8481e94140819dbdc5afe"/>
            <w:id w:val="547887638"/>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0C5659" w:rsidRDefault="00B708C8">
                <w:pPr>
                  <w:jc w:val="center"/>
                  <w:rPr>
                    <w:color w:val="000000" w:themeColor="text1"/>
                  </w:rPr>
                </w:pPr>
                <w:r>
                  <w:rPr>
                    <w:rFonts w:hint="eastAsia"/>
                    <w:color w:val="000000" w:themeColor="text1"/>
                  </w:rPr>
                  <w:t>无</w:t>
                </w:r>
              </w:p>
            </w:tc>
          </w:sdtContent>
        </w:sdt>
        <w:tc>
          <w:tcPr>
            <w:tcW w:w="0" w:type="auto"/>
            <w:gridSpan w:val="2"/>
            <w:shd w:val="clear" w:color="auto" w:fill="auto"/>
            <w:vAlign w:val="center"/>
          </w:tcPr>
          <w:p w:rsidR="000C5659" w:rsidRDefault="000E33C4">
            <w:pPr>
              <w:jc w:val="right"/>
            </w:pPr>
            <w:r>
              <w:rPr>
                <w:rFonts w:hint="eastAsia"/>
              </w:rPr>
              <w:t>0</w:t>
            </w:r>
          </w:p>
        </w:tc>
        <w:sdt>
          <w:sdtPr>
            <w:rPr>
              <w:color w:val="000000" w:themeColor="text1"/>
            </w:rPr>
            <w:alias w:val="前十名股东的股东性质"/>
            <w:tag w:val="_GBC_71380bc899eb4b9781e95e37e7a1e221"/>
            <w:id w:val="45345571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0C5659" w:rsidRDefault="00B708C8">
                <w:pPr>
                  <w:rPr>
                    <w:color w:val="000000" w:themeColor="text1"/>
                  </w:rPr>
                </w:pPr>
                <w:r>
                  <w:rPr>
                    <w:rFonts w:hint="eastAsia"/>
                    <w:color w:val="000000" w:themeColor="text1"/>
                  </w:rPr>
                  <w:t>境内自然人</w:t>
                </w:r>
              </w:p>
            </w:tc>
          </w:sdtContent>
        </w:sdt>
      </w:tr>
      <w:tr w:rsidR="000C5659">
        <w:trPr>
          <w:cantSplit/>
        </w:trPr>
        <w:sdt>
          <w:sdtPr>
            <w:rPr>
              <w:color w:val="000000" w:themeColor="text1"/>
            </w:rPr>
            <w:tag w:val="_PLD_6f36efd0621247ffb7b2462dd9753e27"/>
            <w:id w:val="2060669358"/>
          </w:sdtPr>
          <w:sdtEndPr/>
          <w:sdtContent>
            <w:tc>
              <w:tcPr>
                <w:tcW w:w="0" w:type="auto"/>
                <w:gridSpan w:val="9"/>
                <w:shd w:val="clear" w:color="auto" w:fill="auto"/>
                <w:vAlign w:val="center"/>
              </w:tcPr>
              <w:p w:rsidR="000C5659" w:rsidRDefault="000E33C4">
                <w:pPr>
                  <w:jc w:val="center"/>
                  <w:rPr>
                    <w:color w:val="000000" w:themeColor="text1"/>
                  </w:rPr>
                </w:pPr>
                <w:r>
                  <w:rPr>
                    <w:color w:val="000000" w:themeColor="text1"/>
                  </w:rPr>
                  <w:t>前十名无限售条件股东持股情况</w:t>
                </w:r>
                <w:r>
                  <w:rPr>
                    <w:rFonts w:hint="eastAsia"/>
                    <w:color w:val="000000" w:themeColor="text1"/>
                  </w:rPr>
                  <w:t>（不含通过转融通出借股份、高管锁定股）</w:t>
                </w:r>
              </w:p>
            </w:tc>
          </w:sdtContent>
        </w:sdt>
      </w:tr>
      <w:tr w:rsidR="000C5659">
        <w:trPr>
          <w:cantSplit/>
        </w:trPr>
        <w:sdt>
          <w:sdtPr>
            <w:rPr>
              <w:color w:val="000000" w:themeColor="text1"/>
            </w:rPr>
            <w:tag w:val="_PLD_6c8c7d50ba2b44858757eeaaa20b5499"/>
            <w:id w:val="-808702047"/>
          </w:sdtPr>
          <w:sdtEndPr/>
          <w:sdtContent>
            <w:tc>
              <w:tcPr>
                <w:tcW w:w="2641" w:type="dxa"/>
                <w:gridSpan w:val="2"/>
                <w:vMerge w:val="restart"/>
                <w:shd w:val="clear" w:color="auto" w:fill="auto"/>
                <w:vAlign w:val="center"/>
              </w:tcPr>
              <w:p w:rsidR="000C5659" w:rsidRDefault="000E33C4">
                <w:pPr>
                  <w:jc w:val="center"/>
                  <w:rPr>
                    <w:color w:val="000000" w:themeColor="text1"/>
                  </w:rPr>
                </w:pPr>
                <w:r>
                  <w:rPr>
                    <w:color w:val="000000" w:themeColor="text1"/>
                  </w:rPr>
                  <w:t>股东名称</w:t>
                </w:r>
              </w:p>
            </w:tc>
          </w:sdtContent>
        </w:sdt>
        <w:sdt>
          <w:sdtPr>
            <w:rPr>
              <w:color w:val="000000" w:themeColor="text1"/>
            </w:rPr>
            <w:tag w:val="_PLD_e4987b1a07a6489c82ab5ef0aa3370ea"/>
            <w:id w:val="-1896727383"/>
          </w:sdtPr>
          <w:sdtEndPr/>
          <w:sdtContent>
            <w:tc>
              <w:tcPr>
                <w:tcW w:w="3756" w:type="dxa"/>
                <w:gridSpan w:val="3"/>
                <w:vMerge w:val="restart"/>
                <w:shd w:val="clear" w:color="auto" w:fill="auto"/>
                <w:vAlign w:val="center"/>
              </w:tcPr>
              <w:p w:rsidR="000C5659" w:rsidRDefault="000E33C4">
                <w:pPr>
                  <w:jc w:val="center"/>
                  <w:rPr>
                    <w:color w:val="000000" w:themeColor="text1"/>
                  </w:rPr>
                </w:pPr>
                <w:r>
                  <w:rPr>
                    <w:color w:val="000000" w:themeColor="text1"/>
                  </w:rPr>
                  <w:t>持有无限售条件流通股的数量</w:t>
                </w:r>
              </w:p>
            </w:tc>
          </w:sdtContent>
        </w:sdt>
        <w:sdt>
          <w:sdtPr>
            <w:rPr>
              <w:color w:val="000000" w:themeColor="text1"/>
            </w:rPr>
            <w:tag w:val="_PLD_26ce78cac14a427ca05aa80b21b65936"/>
            <w:id w:val="1771514082"/>
          </w:sdtPr>
          <w:sdtEndPr/>
          <w:sdtContent>
            <w:tc>
              <w:tcPr>
                <w:tcW w:w="0" w:type="auto"/>
                <w:gridSpan w:val="4"/>
                <w:tcBorders>
                  <w:bottom w:val="single" w:sz="4" w:space="0" w:color="auto"/>
                </w:tcBorders>
                <w:shd w:val="clear" w:color="auto" w:fill="auto"/>
                <w:vAlign w:val="center"/>
              </w:tcPr>
              <w:p w:rsidR="000C5659" w:rsidRDefault="000E33C4">
                <w:pPr>
                  <w:jc w:val="center"/>
                  <w:rPr>
                    <w:color w:val="000000" w:themeColor="text1"/>
                  </w:rPr>
                </w:pPr>
                <w:r>
                  <w:rPr>
                    <w:color w:val="000000" w:themeColor="text1"/>
                  </w:rPr>
                  <w:t>股份种类</w:t>
                </w:r>
                <w:r>
                  <w:rPr>
                    <w:rFonts w:hint="eastAsia"/>
                    <w:color w:val="000000" w:themeColor="text1"/>
                  </w:rPr>
                  <w:t>及数量</w:t>
                </w:r>
              </w:p>
            </w:tc>
          </w:sdtContent>
        </w:sdt>
      </w:tr>
      <w:tr w:rsidR="000C5659">
        <w:trPr>
          <w:cantSplit/>
        </w:trPr>
        <w:tc>
          <w:tcPr>
            <w:tcW w:w="2641" w:type="dxa"/>
            <w:gridSpan w:val="2"/>
            <w:vMerge/>
            <w:shd w:val="clear" w:color="auto" w:fill="auto"/>
            <w:vAlign w:val="center"/>
          </w:tcPr>
          <w:p w:rsidR="000C5659" w:rsidRDefault="000C5659">
            <w:pPr>
              <w:jc w:val="center"/>
              <w:rPr>
                <w:color w:val="000000" w:themeColor="text1"/>
              </w:rPr>
            </w:pPr>
          </w:p>
        </w:tc>
        <w:tc>
          <w:tcPr>
            <w:tcW w:w="3756" w:type="dxa"/>
            <w:gridSpan w:val="3"/>
            <w:vMerge/>
            <w:shd w:val="clear" w:color="auto" w:fill="auto"/>
            <w:vAlign w:val="center"/>
          </w:tcPr>
          <w:p w:rsidR="000C5659" w:rsidRDefault="000C5659">
            <w:pPr>
              <w:jc w:val="center"/>
              <w:rPr>
                <w:color w:val="000000" w:themeColor="text1"/>
              </w:rPr>
            </w:pPr>
          </w:p>
        </w:tc>
        <w:sdt>
          <w:sdtPr>
            <w:rPr>
              <w:color w:val="000000" w:themeColor="text1"/>
            </w:rPr>
            <w:tag w:val="_PLD_05580a00e3f942c0b2da618818a84669"/>
            <w:id w:val="-1555538677"/>
          </w:sdtPr>
          <w:sdtEndPr/>
          <w:sdtContent>
            <w:tc>
              <w:tcPr>
                <w:tcW w:w="0" w:type="auto"/>
                <w:gridSpan w:val="2"/>
                <w:shd w:val="clear" w:color="auto" w:fill="auto"/>
                <w:vAlign w:val="center"/>
              </w:tcPr>
              <w:p w:rsidR="000C5659" w:rsidRDefault="000E33C4">
                <w:pPr>
                  <w:jc w:val="center"/>
                  <w:rPr>
                    <w:color w:val="000000" w:themeColor="text1"/>
                  </w:rPr>
                </w:pPr>
                <w:r>
                  <w:rPr>
                    <w:rFonts w:hint="eastAsia"/>
                    <w:color w:val="000000" w:themeColor="text1"/>
                  </w:rPr>
                  <w:t>种类</w:t>
                </w:r>
              </w:p>
            </w:tc>
          </w:sdtContent>
        </w:sdt>
        <w:sdt>
          <w:sdtPr>
            <w:rPr>
              <w:color w:val="000000" w:themeColor="text1"/>
            </w:rPr>
            <w:tag w:val="_PLD_7f8ec6251e234192b411b34b07ccd732"/>
            <w:id w:val="-867291419"/>
          </w:sdtPr>
          <w:sdtEndPr/>
          <w:sdtContent>
            <w:tc>
              <w:tcPr>
                <w:tcW w:w="0" w:type="auto"/>
                <w:gridSpan w:val="2"/>
                <w:shd w:val="clear" w:color="auto" w:fill="auto"/>
                <w:vAlign w:val="center"/>
              </w:tcPr>
              <w:p w:rsidR="000C5659" w:rsidRDefault="000E33C4">
                <w:pPr>
                  <w:jc w:val="center"/>
                  <w:rPr>
                    <w:color w:val="000000" w:themeColor="text1"/>
                  </w:rPr>
                </w:pPr>
                <w:r>
                  <w:rPr>
                    <w:rFonts w:hint="eastAsia"/>
                    <w:color w:val="000000" w:themeColor="text1"/>
                  </w:rPr>
                  <w:t>数量</w:t>
                </w:r>
              </w:p>
            </w:tc>
          </w:sdtContent>
        </w:sdt>
      </w:tr>
      <w:tr w:rsidR="000C5659">
        <w:trPr>
          <w:cantSplit/>
        </w:trPr>
        <w:tc>
          <w:tcPr>
            <w:tcW w:w="0" w:type="auto"/>
            <w:gridSpan w:val="2"/>
            <w:shd w:val="clear" w:color="auto" w:fill="auto"/>
            <w:vAlign w:val="center"/>
          </w:tcPr>
          <w:p w:rsidR="000C5659" w:rsidRDefault="000E33C4">
            <w:pPr>
              <w:pStyle w:val="Style116"/>
            </w:pPr>
            <w:r>
              <w:rPr>
                <w:rFonts w:hint="eastAsia"/>
              </w:rPr>
              <w:t>张文生</w:t>
            </w:r>
          </w:p>
        </w:tc>
        <w:tc>
          <w:tcPr>
            <w:tcW w:w="0" w:type="auto"/>
            <w:gridSpan w:val="3"/>
            <w:shd w:val="clear" w:color="auto" w:fill="auto"/>
            <w:vAlign w:val="center"/>
          </w:tcPr>
          <w:p w:rsidR="000C5659" w:rsidRDefault="000E33C4">
            <w:pPr>
              <w:jc w:val="right"/>
            </w:pPr>
            <w:r>
              <w:t>63,000,000</w:t>
            </w:r>
          </w:p>
        </w:tc>
        <w:sdt>
          <w:sdtPr>
            <w:rPr>
              <w:bCs/>
              <w:color w:val="000000" w:themeColor="text1"/>
            </w:rPr>
            <w:alias w:val="前十名无限售条件股东期末持有流通股的种类"/>
            <w:tag w:val="_GBC_5d0d3dfc3b8545ce906ab8a21728fb94"/>
            <w:id w:val="161432246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63,000,000</w:t>
            </w:r>
          </w:p>
        </w:tc>
      </w:tr>
      <w:tr w:rsidR="000C5659">
        <w:trPr>
          <w:cantSplit/>
        </w:trPr>
        <w:tc>
          <w:tcPr>
            <w:tcW w:w="0" w:type="auto"/>
            <w:gridSpan w:val="2"/>
            <w:shd w:val="clear" w:color="auto" w:fill="auto"/>
            <w:vAlign w:val="center"/>
          </w:tcPr>
          <w:p w:rsidR="000C5659" w:rsidRDefault="000E33C4">
            <w:pPr>
              <w:pStyle w:val="Style116"/>
            </w:pPr>
            <w:r>
              <w:rPr>
                <w:rFonts w:hint="eastAsia"/>
              </w:rPr>
              <w:t>扬州竟成企业管理咨询合伙企业（有限合伙）</w:t>
            </w:r>
          </w:p>
        </w:tc>
        <w:tc>
          <w:tcPr>
            <w:tcW w:w="0" w:type="auto"/>
            <w:gridSpan w:val="3"/>
            <w:shd w:val="clear" w:color="auto" w:fill="auto"/>
            <w:vAlign w:val="center"/>
          </w:tcPr>
          <w:p w:rsidR="000C5659" w:rsidRDefault="000E33C4">
            <w:pPr>
              <w:jc w:val="right"/>
            </w:pPr>
            <w:r>
              <w:t>7,500,000</w:t>
            </w:r>
          </w:p>
        </w:tc>
        <w:sdt>
          <w:sdtPr>
            <w:rPr>
              <w:bCs/>
              <w:color w:val="000000" w:themeColor="text1"/>
            </w:rPr>
            <w:alias w:val="前十名无限售条件股东期末持有流通股的种类"/>
            <w:tag w:val="_GBC_5d0d3dfc3b8545ce906ab8a21728fb94"/>
            <w:id w:val="-16995017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7,500,000</w:t>
            </w:r>
          </w:p>
        </w:tc>
      </w:tr>
      <w:tr w:rsidR="000C5659">
        <w:trPr>
          <w:cantSplit/>
        </w:trPr>
        <w:tc>
          <w:tcPr>
            <w:tcW w:w="0" w:type="auto"/>
            <w:gridSpan w:val="2"/>
            <w:shd w:val="clear" w:color="auto" w:fill="auto"/>
            <w:vAlign w:val="center"/>
          </w:tcPr>
          <w:p w:rsidR="000C5659" w:rsidRDefault="000E33C4">
            <w:pPr>
              <w:pStyle w:val="Style116"/>
            </w:pPr>
            <w:r>
              <w:rPr>
                <w:rFonts w:hint="eastAsia"/>
              </w:rPr>
              <w:t>扬州和成企业管理咨询合伙企业（有限合伙）</w:t>
            </w:r>
          </w:p>
        </w:tc>
        <w:tc>
          <w:tcPr>
            <w:tcW w:w="0" w:type="auto"/>
            <w:gridSpan w:val="3"/>
            <w:shd w:val="clear" w:color="auto" w:fill="auto"/>
            <w:vAlign w:val="center"/>
          </w:tcPr>
          <w:p w:rsidR="000C5659" w:rsidRDefault="000E33C4">
            <w:pPr>
              <w:jc w:val="right"/>
            </w:pPr>
            <w:r>
              <w:t>4,500,000</w:t>
            </w:r>
          </w:p>
        </w:tc>
        <w:sdt>
          <w:sdtPr>
            <w:rPr>
              <w:bCs/>
              <w:color w:val="000000" w:themeColor="text1"/>
            </w:rPr>
            <w:alias w:val="前十名无限售条件股东期末持有流通股的种类"/>
            <w:tag w:val="_GBC_5d0d3dfc3b8545ce906ab8a21728fb94"/>
            <w:id w:val="33550269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4,500,000</w:t>
            </w:r>
          </w:p>
        </w:tc>
      </w:tr>
      <w:tr w:rsidR="000C5659">
        <w:trPr>
          <w:cantSplit/>
        </w:trPr>
        <w:tc>
          <w:tcPr>
            <w:tcW w:w="0" w:type="auto"/>
            <w:gridSpan w:val="2"/>
            <w:shd w:val="clear" w:color="auto" w:fill="auto"/>
            <w:vAlign w:val="center"/>
          </w:tcPr>
          <w:p w:rsidR="000C5659" w:rsidRDefault="000E33C4">
            <w:pPr>
              <w:pStyle w:val="Style116"/>
            </w:pPr>
            <w:r>
              <w:rPr>
                <w:rFonts w:hint="eastAsia"/>
              </w:rPr>
              <w:t>中国工商银行股份有限公司－兴全绿色投资混合型证券投资基金（</w:t>
            </w:r>
            <w:r>
              <w:t>LOF）</w:t>
            </w:r>
          </w:p>
        </w:tc>
        <w:tc>
          <w:tcPr>
            <w:tcW w:w="0" w:type="auto"/>
            <w:gridSpan w:val="3"/>
            <w:shd w:val="clear" w:color="auto" w:fill="auto"/>
            <w:vAlign w:val="center"/>
          </w:tcPr>
          <w:p w:rsidR="000C5659" w:rsidRDefault="000E33C4">
            <w:pPr>
              <w:jc w:val="right"/>
            </w:pPr>
            <w:r>
              <w:t>1,586,725</w:t>
            </w:r>
          </w:p>
        </w:tc>
        <w:sdt>
          <w:sdtPr>
            <w:rPr>
              <w:bCs/>
              <w:color w:val="000000" w:themeColor="text1"/>
            </w:rPr>
            <w:alias w:val="前十名无限售条件股东期末持有流通股的种类"/>
            <w:tag w:val="_GBC_5d0d3dfc3b8545ce906ab8a21728fb94"/>
            <w:id w:val="-130785460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1,586,725</w:t>
            </w:r>
          </w:p>
        </w:tc>
      </w:tr>
      <w:tr w:rsidR="000C5659">
        <w:trPr>
          <w:cantSplit/>
        </w:trPr>
        <w:tc>
          <w:tcPr>
            <w:tcW w:w="0" w:type="auto"/>
            <w:gridSpan w:val="2"/>
            <w:shd w:val="clear" w:color="auto" w:fill="auto"/>
            <w:vAlign w:val="center"/>
          </w:tcPr>
          <w:p w:rsidR="000C5659" w:rsidRDefault="000E33C4">
            <w:pPr>
              <w:pStyle w:val="Style116"/>
            </w:pPr>
            <w:r>
              <w:rPr>
                <w:rFonts w:hint="eastAsia"/>
              </w:rPr>
              <w:lastRenderedPageBreak/>
              <w:t>陈丙胜</w:t>
            </w:r>
          </w:p>
        </w:tc>
        <w:tc>
          <w:tcPr>
            <w:tcW w:w="0" w:type="auto"/>
            <w:gridSpan w:val="3"/>
            <w:shd w:val="clear" w:color="auto" w:fill="auto"/>
            <w:vAlign w:val="center"/>
          </w:tcPr>
          <w:p w:rsidR="000C5659" w:rsidRDefault="000E33C4">
            <w:pPr>
              <w:jc w:val="right"/>
            </w:pPr>
            <w:r>
              <w:t>910,000</w:t>
            </w:r>
          </w:p>
        </w:tc>
        <w:sdt>
          <w:sdtPr>
            <w:rPr>
              <w:bCs/>
              <w:color w:val="000000" w:themeColor="text1"/>
            </w:rPr>
            <w:alias w:val="前十名无限售条件股东期末持有流通股的种类"/>
            <w:tag w:val="_GBC_5d0d3dfc3b8545ce906ab8a21728fb94"/>
            <w:id w:val="1373526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910,000</w:t>
            </w:r>
          </w:p>
        </w:tc>
      </w:tr>
      <w:tr w:rsidR="000C5659">
        <w:trPr>
          <w:cantSplit/>
        </w:trPr>
        <w:tc>
          <w:tcPr>
            <w:tcW w:w="0" w:type="auto"/>
            <w:gridSpan w:val="2"/>
            <w:shd w:val="clear" w:color="auto" w:fill="auto"/>
            <w:vAlign w:val="center"/>
          </w:tcPr>
          <w:p w:rsidR="000C5659" w:rsidRDefault="000E33C4">
            <w:pPr>
              <w:pStyle w:val="Style116"/>
            </w:pPr>
            <w:r>
              <w:rPr>
                <w:rFonts w:hint="eastAsia"/>
              </w:rPr>
              <w:t>中信银行股份有限公司－交银施罗德瑞元三年定期开放混合型证券投资基金</w:t>
            </w:r>
          </w:p>
        </w:tc>
        <w:tc>
          <w:tcPr>
            <w:tcW w:w="0" w:type="auto"/>
            <w:gridSpan w:val="3"/>
            <w:shd w:val="clear" w:color="auto" w:fill="auto"/>
            <w:vAlign w:val="center"/>
          </w:tcPr>
          <w:p w:rsidR="000C5659" w:rsidRDefault="000E33C4">
            <w:pPr>
              <w:jc w:val="right"/>
            </w:pPr>
            <w:r>
              <w:t>849,443</w:t>
            </w:r>
          </w:p>
        </w:tc>
        <w:sdt>
          <w:sdtPr>
            <w:rPr>
              <w:bCs/>
              <w:color w:val="000000" w:themeColor="text1"/>
            </w:rPr>
            <w:alias w:val="前十名无限售条件股东期末持有流通股的种类"/>
            <w:tag w:val="_GBC_5d0d3dfc3b8545ce906ab8a21728fb94"/>
            <w:id w:val="-124565071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849,443</w:t>
            </w:r>
          </w:p>
        </w:tc>
      </w:tr>
      <w:tr w:rsidR="000C5659">
        <w:trPr>
          <w:cantSplit/>
        </w:trPr>
        <w:tc>
          <w:tcPr>
            <w:tcW w:w="0" w:type="auto"/>
            <w:gridSpan w:val="2"/>
            <w:shd w:val="clear" w:color="auto" w:fill="auto"/>
            <w:vAlign w:val="center"/>
          </w:tcPr>
          <w:p w:rsidR="000C5659" w:rsidRDefault="000E33C4">
            <w:pPr>
              <w:pStyle w:val="Style116"/>
            </w:pPr>
            <w:r>
              <w:rPr>
                <w:rFonts w:hint="eastAsia"/>
              </w:rPr>
              <w:t>兴业银行股份有限公司－华夏兴阳一年持有期混合型证券投资基金</w:t>
            </w:r>
          </w:p>
        </w:tc>
        <w:tc>
          <w:tcPr>
            <w:tcW w:w="0" w:type="auto"/>
            <w:gridSpan w:val="3"/>
            <w:shd w:val="clear" w:color="auto" w:fill="auto"/>
            <w:vAlign w:val="center"/>
          </w:tcPr>
          <w:p w:rsidR="000C5659" w:rsidRDefault="000E33C4">
            <w:pPr>
              <w:jc w:val="right"/>
            </w:pPr>
            <w:r>
              <w:t>789,600</w:t>
            </w:r>
          </w:p>
        </w:tc>
        <w:sdt>
          <w:sdtPr>
            <w:rPr>
              <w:bCs/>
              <w:color w:val="000000" w:themeColor="text1"/>
            </w:rPr>
            <w:alias w:val="前十名无限售条件股东期末持有流通股的种类"/>
            <w:tag w:val="_GBC_5d0d3dfc3b8545ce906ab8a21728fb94"/>
            <w:id w:val="135098708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789,600</w:t>
            </w:r>
          </w:p>
        </w:tc>
      </w:tr>
      <w:tr w:rsidR="000C5659">
        <w:trPr>
          <w:cantSplit/>
        </w:trPr>
        <w:tc>
          <w:tcPr>
            <w:tcW w:w="0" w:type="auto"/>
            <w:gridSpan w:val="2"/>
            <w:shd w:val="clear" w:color="auto" w:fill="auto"/>
            <w:vAlign w:val="center"/>
          </w:tcPr>
          <w:p w:rsidR="000C5659" w:rsidRDefault="000E33C4">
            <w:pPr>
              <w:pStyle w:val="Style116"/>
            </w:pPr>
            <w:r>
              <w:rPr>
                <w:rFonts w:hint="eastAsia"/>
              </w:rPr>
              <w:t>四川省壹拾壹号职业年金计划－建设银行</w:t>
            </w:r>
          </w:p>
        </w:tc>
        <w:tc>
          <w:tcPr>
            <w:tcW w:w="0" w:type="auto"/>
            <w:gridSpan w:val="3"/>
            <w:shd w:val="clear" w:color="auto" w:fill="auto"/>
            <w:vAlign w:val="center"/>
          </w:tcPr>
          <w:p w:rsidR="000C5659" w:rsidRDefault="000E33C4">
            <w:pPr>
              <w:jc w:val="right"/>
            </w:pPr>
            <w:r>
              <w:t>404,800</w:t>
            </w:r>
          </w:p>
        </w:tc>
        <w:sdt>
          <w:sdtPr>
            <w:rPr>
              <w:bCs/>
              <w:color w:val="000000" w:themeColor="text1"/>
            </w:rPr>
            <w:alias w:val="前十名无限售条件股东期末持有流通股的种类"/>
            <w:tag w:val="_GBC_5d0d3dfc3b8545ce906ab8a21728fb94"/>
            <w:id w:val="8218161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404,800</w:t>
            </w:r>
          </w:p>
        </w:tc>
      </w:tr>
      <w:tr w:rsidR="000C5659">
        <w:trPr>
          <w:cantSplit/>
        </w:trPr>
        <w:tc>
          <w:tcPr>
            <w:tcW w:w="0" w:type="auto"/>
            <w:gridSpan w:val="2"/>
            <w:shd w:val="clear" w:color="auto" w:fill="auto"/>
            <w:vAlign w:val="center"/>
          </w:tcPr>
          <w:p w:rsidR="000C5659" w:rsidRDefault="000E33C4">
            <w:pPr>
              <w:pStyle w:val="Style116"/>
            </w:pPr>
            <w:r>
              <w:rPr>
                <w:rFonts w:hint="eastAsia"/>
              </w:rPr>
              <w:t>河南省玖号职业年金计划－光大银行</w:t>
            </w:r>
          </w:p>
        </w:tc>
        <w:tc>
          <w:tcPr>
            <w:tcW w:w="0" w:type="auto"/>
            <w:gridSpan w:val="3"/>
            <w:shd w:val="clear" w:color="auto" w:fill="auto"/>
            <w:vAlign w:val="center"/>
          </w:tcPr>
          <w:p w:rsidR="000C5659" w:rsidRDefault="000E33C4">
            <w:pPr>
              <w:jc w:val="right"/>
            </w:pPr>
            <w:r>
              <w:t>352,200</w:t>
            </w:r>
          </w:p>
        </w:tc>
        <w:sdt>
          <w:sdtPr>
            <w:rPr>
              <w:bCs/>
              <w:color w:val="000000" w:themeColor="text1"/>
            </w:rPr>
            <w:alias w:val="前十名无限售条件股东期末持有流通股的种类"/>
            <w:tag w:val="_GBC_5d0d3dfc3b8545ce906ab8a21728fb94"/>
            <w:id w:val="-163278367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352,200</w:t>
            </w:r>
          </w:p>
        </w:tc>
      </w:tr>
      <w:tr w:rsidR="000C5659">
        <w:trPr>
          <w:cantSplit/>
        </w:trPr>
        <w:tc>
          <w:tcPr>
            <w:tcW w:w="0" w:type="auto"/>
            <w:gridSpan w:val="2"/>
            <w:shd w:val="clear" w:color="auto" w:fill="auto"/>
            <w:vAlign w:val="center"/>
          </w:tcPr>
          <w:p w:rsidR="000C5659" w:rsidRDefault="000E33C4">
            <w:pPr>
              <w:pStyle w:val="Style116"/>
            </w:pPr>
            <w:r>
              <w:rPr>
                <w:rFonts w:hint="eastAsia"/>
              </w:rPr>
              <w:t>李然</w:t>
            </w:r>
          </w:p>
        </w:tc>
        <w:tc>
          <w:tcPr>
            <w:tcW w:w="0" w:type="auto"/>
            <w:gridSpan w:val="3"/>
            <w:shd w:val="clear" w:color="auto" w:fill="auto"/>
            <w:vAlign w:val="center"/>
          </w:tcPr>
          <w:p w:rsidR="000C5659" w:rsidRDefault="000E33C4">
            <w:pPr>
              <w:jc w:val="right"/>
            </w:pPr>
            <w:r>
              <w:t>330,000</w:t>
            </w:r>
          </w:p>
        </w:tc>
        <w:sdt>
          <w:sdtPr>
            <w:rPr>
              <w:bCs/>
              <w:color w:val="000000" w:themeColor="text1"/>
            </w:rPr>
            <w:alias w:val="前十名无限售条件股东期末持有流通股的种类"/>
            <w:tag w:val="_GBC_5d0d3dfc3b8545ce906ab8a21728fb94"/>
            <w:id w:val="72364215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C5659" w:rsidRDefault="00B708C8">
                <w:pPr>
                  <w:jc w:val="center"/>
                  <w:rPr>
                    <w:bCs/>
                    <w:color w:val="000000" w:themeColor="text1"/>
                  </w:rPr>
                </w:pPr>
                <w:r>
                  <w:rPr>
                    <w:rFonts w:hint="eastAsia"/>
                    <w:bCs/>
                    <w:color w:val="000000" w:themeColor="text1"/>
                  </w:rPr>
                  <w:t>人民币普通股</w:t>
                </w:r>
              </w:p>
            </w:tc>
          </w:sdtContent>
        </w:sdt>
        <w:tc>
          <w:tcPr>
            <w:tcW w:w="0" w:type="auto"/>
            <w:gridSpan w:val="2"/>
            <w:shd w:val="clear" w:color="auto" w:fill="auto"/>
            <w:vAlign w:val="center"/>
          </w:tcPr>
          <w:p w:rsidR="000C5659" w:rsidRDefault="000E33C4">
            <w:pPr>
              <w:jc w:val="right"/>
            </w:pPr>
            <w:r>
              <w:t>330,000</w:t>
            </w:r>
          </w:p>
        </w:tc>
      </w:tr>
      <w:tr w:rsidR="000C5659">
        <w:trPr>
          <w:cantSplit/>
        </w:trPr>
        <w:tc>
          <w:tcPr>
            <w:tcW w:w="0" w:type="auto"/>
            <w:gridSpan w:val="2"/>
            <w:shd w:val="clear" w:color="auto" w:fill="auto"/>
            <w:vAlign w:val="center"/>
          </w:tcPr>
          <w:p w:rsidR="000C5659" w:rsidRDefault="000E33C4">
            <w:pPr>
              <w:rPr>
                <w:color w:val="000000" w:themeColor="text1"/>
              </w:rPr>
            </w:pPr>
            <w:r>
              <w:rPr>
                <w:rFonts w:hint="eastAsia"/>
                <w:color w:val="000000" w:themeColor="text1"/>
              </w:rPr>
              <w:t>前十名股东中回购专户情况说明</w:t>
            </w:r>
          </w:p>
        </w:tc>
        <w:tc>
          <w:tcPr>
            <w:tcW w:w="0" w:type="auto"/>
            <w:gridSpan w:val="7"/>
            <w:shd w:val="clear" w:color="auto" w:fill="auto"/>
            <w:vAlign w:val="center"/>
          </w:tcPr>
          <w:p w:rsidR="000C5659" w:rsidRDefault="000E33C4">
            <w:pPr>
              <w:pStyle w:val="Style116"/>
            </w:pPr>
            <w:r>
              <w:rPr>
                <w:rFonts w:hint="eastAsia"/>
              </w:rPr>
              <w:t>不适用</w:t>
            </w:r>
          </w:p>
        </w:tc>
      </w:tr>
      <w:tr w:rsidR="000C5659">
        <w:trPr>
          <w:cantSplit/>
        </w:trPr>
        <w:tc>
          <w:tcPr>
            <w:tcW w:w="0" w:type="auto"/>
            <w:gridSpan w:val="2"/>
            <w:shd w:val="clear" w:color="auto" w:fill="auto"/>
            <w:vAlign w:val="center"/>
          </w:tcPr>
          <w:p w:rsidR="000C5659" w:rsidRDefault="000E33C4">
            <w:pPr>
              <w:rPr>
                <w:color w:val="000000" w:themeColor="text1"/>
              </w:rPr>
            </w:pPr>
            <w:r>
              <w:rPr>
                <w:color w:val="000000" w:themeColor="text1"/>
              </w:rPr>
              <w:t>上述股东</w:t>
            </w:r>
            <w:r>
              <w:rPr>
                <w:rFonts w:hint="eastAsia"/>
                <w:color w:val="000000" w:themeColor="text1"/>
              </w:rPr>
              <w:t>委托表决权、受托表决权、放弃表决权</w:t>
            </w:r>
            <w:r>
              <w:rPr>
                <w:color w:val="000000" w:themeColor="text1"/>
              </w:rPr>
              <w:t>的说明</w:t>
            </w:r>
          </w:p>
        </w:tc>
        <w:tc>
          <w:tcPr>
            <w:tcW w:w="0" w:type="auto"/>
            <w:gridSpan w:val="7"/>
            <w:shd w:val="clear" w:color="auto" w:fill="auto"/>
            <w:vAlign w:val="center"/>
          </w:tcPr>
          <w:p w:rsidR="000C5659" w:rsidRDefault="000E33C4">
            <w:pPr>
              <w:pStyle w:val="Style116"/>
            </w:pPr>
            <w:r>
              <w:rPr>
                <w:rFonts w:hint="eastAsia"/>
              </w:rPr>
              <w:t>不适用</w:t>
            </w:r>
          </w:p>
        </w:tc>
      </w:tr>
      <w:tr w:rsidR="000C5659">
        <w:trPr>
          <w:cantSplit/>
        </w:trPr>
        <w:tc>
          <w:tcPr>
            <w:tcW w:w="0" w:type="auto"/>
            <w:gridSpan w:val="2"/>
            <w:shd w:val="clear" w:color="auto" w:fill="auto"/>
            <w:vAlign w:val="center"/>
          </w:tcPr>
          <w:p w:rsidR="000C5659" w:rsidRDefault="000E33C4">
            <w:pPr>
              <w:rPr>
                <w:color w:val="000000" w:themeColor="text1"/>
              </w:rPr>
            </w:pPr>
            <w:r>
              <w:rPr>
                <w:color w:val="000000" w:themeColor="text1"/>
              </w:rPr>
              <w:t>上述股东关联关系或一致行动的说明</w:t>
            </w:r>
          </w:p>
        </w:tc>
        <w:tc>
          <w:tcPr>
            <w:tcW w:w="0" w:type="auto"/>
            <w:gridSpan w:val="7"/>
            <w:shd w:val="clear" w:color="auto" w:fill="auto"/>
            <w:vAlign w:val="center"/>
          </w:tcPr>
          <w:p w:rsidR="000C5659" w:rsidRDefault="000E33C4">
            <w:pPr>
              <w:pStyle w:val="Style116"/>
            </w:pPr>
            <w:r>
              <w:rPr>
                <w:rFonts w:hint="eastAsia"/>
              </w:rPr>
              <w:t>张文生担任扬州竟成企业管理咨询合伙企业（有限合伙）、扬州和成企业管理咨询合伙企业（有限合伙）执行事务合伙人。公司未知其他前十名无限售条件股东之间是否存在关联关系或一致行动的情况。</w:t>
            </w:r>
          </w:p>
        </w:tc>
      </w:tr>
      <w:tr w:rsidR="000C5659">
        <w:trPr>
          <w:cantSplit/>
        </w:trPr>
        <w:tc>
          <w:tcPr>
            <w:tcW w:w="0" w:type="auto"/>
            <w:gridSpan w:val="2"/>
            <w:shd w:val="clear" w:color="auto" w:fill="auto"/>
            <w:vAlign w:val="center"/>
          </w:tcPr>
          <w:p w:rsidR="000C5659" w:rsidRDefault="000E33C4">
            <w:pPr>
              <w:rPr>
                <w:color w:val="000000" w:themeColor="text1"/>
              </w:rPr>
            </w:pPr>
            <w:r>
              <w:rPr>
                <w:rFonts w:hint="eastAsia"/>
                <w:color w:val="000000" w:themeColor="text1"/>
              </w:rPr>
              <w:t>表决权恢复的优先股股东及持股数量的说明</w:t>
            </w:r>
          </w:p>
        </w:tc>
        <w:tc>
          <w:tcPr>
            <w:tcW w:w="0" w:type="auto"/>
            <w:gridSpan w:val="7"/>
            <w:shd w:val="clear" w:color="auto" w:fill="auto"/>
            <w:vAlign w:val="center"/>
          </w:tcPr>
          <w:p w:rsidR="000C5659" w:rsidRDefault="000E33C4">
            <w:pPr>
              <w:pStyle w:val="Style116"/>
            </w:pPr>
            <w:r>
              <w:rPr>
                <w:rFonts w:hint="eastAsia"/>
              </w:rPr>
              <w:t>不适用</w:t>
            </w:r>
          </w:p>
        </w:tc>
      </w:tr>
    </w:tbl>
    <w:p w:rsidR="000C5659" w:rsidRDefault="000C5659">
      <w:pPr>
        <w:rPr>
          <w:color w:val="000000" w:themeColor="text1"/>
        </w:rPr>
      </w:pPr>
    </w:p>
    <w:p w:rsidR="000C5659" w:rsidRDefault="000E33C4">
      <w:pPr>
        <w:rPr>
          <w:color w:val="000000" w:themeColor="text1"/>
        </w:rPr>
      </w:pPr>
      <w:bookmarkStart w:id="80" w:name="_Hlk155094173"/>
      <w:bookmarkStart w:id="81" w:name="_Hlk161321917"/>
      <w:bookmarkStart w:id="82" w:name="_Hlk161154245"/>
      <w:bookmarkStart w:id="83" w:name="_Hlk167799956"/>
      <w:bookmarkStart w:id="84" w:name="_Hlk169006123"/>
      <w:r>
        <w:rPr>
          <w:rFonts w:hint="eastAsia"/>
          <w:color w:val="000000" w:themeColor="text1"/>
        </w:rPr>
        <w:t>持股</w:t>
      </w:r>
      <w:r>
        <w:rPr>
          <w:color w:val="000000" w:themeColor="text1"/>
        </w:rPr>
        <w:t>5%以上股东、前</w:t>
      </w:r>
      <w:r>
        <w:rPr>
          <w:rFonts w:hint="eastAsia"/>
          <w:color w:val="000000" w:themeColor="text1"/>
        </w:rPr>
        <w:t>十</w:t>
      </w:r>
      <w:r>
        <w:rPr>
          <w:color w:val="000000" w:themeColor="text1"/>
        </w:rPr>
        <w:t>名股东及前</w:t>
      </w:r>
      <w:r>
        <w:rPr>
          <w:rFonts w:hint="eastAsia"/>
          <w:color w:val="000000" w:themeColor="text1"/>
        </w:rPr>
        <w:t>十</w:t>
      </w:r>
      <w:r>
        <w:rPr>
          <w:color w:val="000000" w:themeColor="text1"/>
        </w:rPr>
        <w:t>名无限售流通股股东参与转融通业务出借股份情况</w:t>
      </w:r>
    </w:p>
    <w:sdt>
      <w:sdtPr>
        <w:rPr>
          <w:bCs/>
          <w:color w:val="000000" w:themeColor="text1"/>
        </w:rPr>
        <w:alias w:val="是否适用：前十名股东参与转融通业务出借股份情况[双击切换]"/>
        <w:tag w:val="_GBC_781f403c98a6480ab0058d21456ae70f"/>
        <w:id w:val="511272851"/>
        <w:placeholder>
          <w:docPart w:val="GBC22222222222222222222222222222"/>
        </w:placeholder>
      </w:sdtPr>
      <w:sdtEndPr/>
      <w:sdtContent>
        <w:p w:rsidR="000C5659" w:rsidRDefault="000E33C4">
          <w:pPr>
            <w:rPr>
              <w:bCs/>
              <w:color w:val="000000" w:themeColor="text1"/>
            </w:rPr>
          </w:pPr>
          <w:r>
            <w:rPr>
              <w:bCs/>
              <w:color w:val="000000" w:themeColor="text1"/>
            </w:rPr>
            <w:fldChar w:fldCharType="begin"/>
          </w:r>
          <w:r>
            <w:rPr>
              <w:color w:val="000000" w:themeColor="text1"/>
            </w:rPr>
            <w:instrText xml:space="preserve"> MACROBUTTON  SnrToggleCheckbox □适用 </w:instrText>
          </w:r>
          <w:r>
            <w:rPr>
              <w:bCs/>
              <w:color w:val="000000" w:themeColor="text1"/>
            </w:rPr>
            <w:fldChar w:fldCharType="end"/>
          </w:r>
          <w:r>
            <w:rPr>
              <w:bCs/>
              <w:color w:val="000000" w:themeColor="text1"/>
            </w:rPr>
            <w:fldChar w:fldCharType="begin"/>
          </w:r>
          <w:r>
            <w:rPr>
              <w:color w:val="000000" w:themeColor="text1"/>
            </w:rPr>
            <w:instrText xml:space="preserve"> MACROBUTTON  SnrToggleCheckbox √不适用 </w:instrText>
          </w:r>
          <w:r>
            <w:rPr>
              <w:bCs/>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85" w:name="_Hlk155094189"/>
      <w:bookmarkEnd w:id="80"/>
      <w:r>
        <w:rPr>
          <w:rFonts w:hint="eastAsia"/>
          <w:color w:val="000000" w:themeColor="text1"/>
        </w:rPr>
        <w:t>前十</w:t>
      </w:r>
      <w:r>
        <w:rPr>
          <w:color w:val="000000" w:themeColor="text1"/>
        </w:rPr>
        <w:t>名股东及前</w:t>
      </w:r>
      <w:r>
        <w:rPr>
          <w:rFonts w:hint="eastAsia"/>
          <w:color w:val="000000" w:themeColor="text1"/>
        </w:rPr>
        <w:t>十</w:t>
      </w:r>
      <w:r>
        <w:rPr>
          <w:color w:val="000000" w:themeColor="text1"/>
        </w:rPr>
        <w:t>名无限售流通股股东因转融通出借/归还原因导致较上期发生变化</w:t>
      </w:r>
    </w:p>
    <w:sdt>
      <w:sdtPr>
        <w:rPr>
          <w:rFonts w:hint="eastAsia"/>
          <w:color w:val="000000" w:themeColor="text1"/>
        </w:rPr>
        <w:alias w:val="是否适用：前十名股东较上期发生变化[双击切换]"/>
        <w:tag w:val="_GBC_892ba31f016544c894d3e29851e8125d"/>
        <w:id w:val="-99911850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81"/>
    <w:bookmarkEnd w:id="82"/>
    <w:bookmarkEnd w:id="83"/>
    <w:bookmarkEnd w:id="84"/>
    <w:bookmarkEnd w:id="85"/>
    <w:p w:rsidR="000C5659" w:rsidRDefault="000E33C4">
      <w:pPr>
        <w:rPr>
          <w:color w:val="000000" w:themeColor="text1"/>
        </w:rPr>
      </w:pPr>
      <w:r>
        <w:rPr>
          <w:color w:val="000000" w:themeColor="text1"/>
        </w:rPr>
        <w:t>前十名有限售条件股东持股数量及限售条件</w:t>
      </w:r>
    </w:p>
    <w:sdt>
      <w:sdtPr>
        <w:rPr>
          <w:bCs/>
          <w:color w:val="000000" w:themeColor="text1"/>
        </w:rPr>
        <w:alias w:val="是否适用：前十名有限售条件股东持股数量及限售条件[双击切换]"/>
        <w:tag w:val="_GBC_681c25d581914cb19d4b007c00511b6a"/>
        <w:id w:val="-1178034421"/>
        <w:placeholder>
          <w:docPart w:val="GBC22222222222222222222222222222"/>
        </w:placeholder>
      </w:sdtPr>
      <w:sdtEndPr/>
      <w:sdtContent>
        <w:p w:rsidR="000C5659" w:rsidRDefault="000E33C4">
          <w:pPr>
            <w:rPr>
              <w:color w:val="000000" w:themeColor="text1"/>
            </w:rPr>
          </w:pPr>
          <w:r>
            <w:rPr>
              <w:bCs/>
              <w:color w:val="000000" w:themeColor="text1"/>
            </w:rPr>
            <w:fldChar w:fldCharType="begin"/>
          </w:r>
          <w:r>
            <w:rPr>
              <w:color w:val="000000" w:themeColor="text1"/>
            </w:rPr>
            <w:instrText xml:space="preserve"> MACROBUTTON  SnrToggleCheckbox □适用 </w:instrText>
          </w:r>
          <w:r>
            <w:rPr>
              <w:bCs/>
              <w:color w:val="000000" w:themeColor="text1"/>
            </w:rPr>
            <w:fldChar w:fldCharType="end"/>
          </w:r>
          <w:r>
            <w:rPr>
              <w:bCs/>
              <w:color w:val="000000" w:themeColor="text1"/>
            </w:rPr>
            <w:fldChar w:fldCharType="begin"/>
          </w:r>
          <w:r>
            <w:rPr>
              <w:color w:val="000000" w:themeColor="text1"/>
            </w:rPr>
            <w:instrText xml:space="preserve"> MACROBUTTON  SnrToggleCheckbox √不适用 </w:instrText>
          </w:r>
          <w:r>
            <w:rPr>
              <w:bCs/>
              <w:color w:val="000000" w:themeColor="text1"/>
            </w:rPr>
            <w:fldChar w:fldCharType="end"/>
          </w:r>
        </w:p>
      </w:sdtContent>
    </w:sdt>
    <w:p w:rsidR="000C5659" w:rsidRDefault="000C5659">
      <w:pPr>
        <w:rPr>
          <w:color w:val="000000" w:themeColor="text1"/>
        </w:rPr>
      </w:pPr>
      <w:bookmarkStart w:id="86" w:name="_Hlk167800260"/>
      <w:bookmarkEnd w:id="86"/>
    </w:p>
    <w:p w:rsidR="000C5659" w:rsidRDefault="000E33C4" w:rsidP="000743DD">
      <w:pPr>
        <w:pStyle w:val="3"/>
        <w:numPr>
          <w:ilvl w:val="1"/>
          <w:numId w:val="34"/>
        </w:numPr>
        <w:rPr>
          <w:rFonts w:ascii="宋体" w:hAnsi="宋体"/>
          <w:color w:val="000000" w:themeColor="text1"/>
        </w:rPr>
      </w:pPr>
      <w:bookmarkStart w:id="87" w:name="_Toc342059487"/>
      <w:bookmarkStart w:id="88" w:name="_Toc342566000"/>
      <w:r>
        <w:rPr>
          <w:rFonts w:ascii="宋体" w:hAnsi="宋体"/>
          <w:color w:val="000000" w:themeColor="text1"/>
        </w:rPr>
        <w:t>战略投资者或一般法人因配售新股成为前</w:t>
      </w:r>
      <w:r>
        <w:rPr>
          <w:rFonts w:ascii="宋体" w:hAnsi="宋体" w:hint="eastAsia"/>
          <w:color w:val="000000" w:themeColor="text1"/>
        </w:rPr>
        <w:t>十</w:t>
      </w:r>
      <w:r>
        <w:rPr>
          <w:rFonts w:ascii="宋体" w:hAnsi="宋体"/>
          <w:color w:val="000000" w:themeColor="text1"/>
        </w:rPr>
        <w:t>名股东</w:t>
      </w:r>
    </w:p>
    <w:sdt>
      <w:sdtPr>
        <w:rPr>
          <w:color w:val="000000" w:themeColor="text1"/>
        </w:rPr>
        <w:alias w:val="是否适用：战略投资者或一般法人因配售新股成为前10名股东[双击切换]"/>
        <w:tag w:val="_GBC_fe7bdc72bd78490fb48d0f3eaca6248e"/>
        <w:id w:val="-61946059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
        <w:numPr>
          <w:ilvl w:val="0"/>
          <w:numId w:val="31"/>
        </w:numPr>
        <w:spacing w:line="360" w:lineRule="auto"/>
        <w:ind w:left="422" w:hanging="422"/>
        <w:rPr>
          <w:rFonts w:ascii="宋体" w:hAnsi="宋体"/>
          <w:color w:val="000000" w:themeColor="text1"/>
        </w:rPr>
      </w:pPr>
      <w:bookmarkStart w:id="89" w:name="_Toc342566004"/>
      <w:bookmarkStart w:id="90" w:name="_Toc342057944"/>
      <w:r>
        <w:rPr>
          <w:rFonts w:ascii="宋体" w:hAnsi="宋体"/>
          <w:color w:val="000000" w:themeColor="text1"/>
        </w:rPr>
        <w:t>董事、监事和高级管理人员情况</w:t>
      </w:r>
    </w:p>
    <w:p w:rsidR="000C5659" w:rsidRDefault="000E33C4" w:rsidP="000743DD">
      <w:pPr>
        <w:pStyle w:val="3"/>
        <w:numPr>
          <w:ilvl w:val="2"/>
          <w:numId w:val="35"/>
        </w:numPr>
        <w:rPr>
          <w:rFonts w:ascii="宋体" w:hAnsi="宋体"/>
          <w:color w:val="000000" w:themeColor="text1"/>
        </w:rPr>
      </w:pPr>
      <w:r>
        <w:rPr>
          <w:rFonts w:ascii="宋体" w:hAnsi="宋体"/>
          <w:color w:val="000000" w:themeColor="text1"/>
        </w:rPr>
        <w:t>现任及报告期内离任董事、监事和高级管理人员持股变动情况</w:t>
      </w:r>
    </w:p>
    <w:sdt>
      <w:sdtPr>
        <w:rPr>
          <w:color w:val="000000" w:themeColor="text1"/>
        </w:rPr>
        <w:alias w:val="是否适用：董事、监事和高级管理人员持股变动[双击切换]"/>
        <w:tag w:val="_GBC_e4aa9f89c24b4cbb80c479762adcf568"/>
        <w:id w:val="91512759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color w:val="000000" w:themeColor="text1"/>
        </w:rPr>
        <w:t>其它情况说明</w:t>
      </w:r>
    </w:p>
    <w:sdt>
      <w:sdtPr>
        <w:rPr>
          <w:color w:val="000000" w:themeColor="text1"/>
        </w:rPr>
        <w:alias w:val="是否适用：董事、监事 和高级管理人员持股变动及报酬情况其他情况说明[双击切换]"/>
        <w:tag w:val="_GBC_6604d619d6f94a81b12f8155637bb211"/>
        <w:id w:val="19219912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
        <w:numPr>
          <w:ilvl w:val="2"/>
          <w:numId w:val="35"/>
        </w:numPr>
        <w:rPr>
          <w:rFonts w:ascii="宋体" w:hAnsi="宋体"/>
          <w:color w:val="000000" w:themeColor="text1"/>
        </w:rPr>
      </w:pPr>
      <w:bookmarkStart w:id="91" w:name="_Toc342566005"/>
      <w:bookmarkStart w:id="92" w:name="_Toc342057945"/>
      <w:bookmarkEnd w:id="89"/>
      <w:bookmarkEnd w:id="90"/>
      <w:r>
        <w:rPr>
          <w:rFonts w:ascii="宋体" w:hAnsi="宋体" w:hint="eastAsia"/>
          <w:color w:val="000000" w:themeColor="text1"/>
        </w:rPr>
        <w:t>董事、监事、高级管理人员报告期内被授予的股权激励情况</w:t>
      </w:r>
      <w:bookmarkEnd w:id="91"/>
      <w:bookmarkEnd w:id="92"/>
    </w:p>
    <w:p w:rsidR="000C5659" w:rsidRDefault="00220B84">
      <w:pPr>
        <w:kinsoku w:val="0"/>
        <w:overflowPunct w:val="0"/>
        <w:autoSpaceDE w:val="0"/>
        <w:autoSpaceDN w:val="0"/>
        <w:adjustRightInd w:val="0"/>
        <w:snapToGrid w:val="0"/>
        <w:rPr>
          <w:color w:val="000000" w:themeColor="text1"/>
        </w:rPr>
      </w:pPr>
      <w:sdt>
        <w:sdtPr>
          <w:rPr>
            <w:rFonts w:hint="eastAsia"/>
            <w:color w:val="000000" w:themeColor="text1"/>
          </w:rPr>
          <w:alias w:val="是否适用：董事、监事、高级管理人员报告期内被授予的股权激励情况[双击切换]"/>
          <w:tag w:val="_GBC_3c204ebee7cf4fc2a7c4a3ad63ffe1c4"/>
          <w:id w:val="-1621303338"/>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rPr>
      </w:pPr>
    </w:p>
    <w:p w:rsidR="000C5659" w:rsidRDefault="000E33C4" w:rsidP="000743DD">
      <w:pPr>
        <w:pStyle w:val="3"/>
        <w:numPr>
          <w:ilvl w:val="2"/>
          <w:numId w:val="35"/>
        </w:numPr>
        <w:rPr>
          <w:rFonts w:ascii="宋体" w:hAnsi="宋体"/>
          <w:color w:val="000000" w:themeColor="text1"/>
        </w:rPr>
      </w:pPr>
      <w:r>
        <w:rPr>
          <w:rFonts w:ascii="宋体" w:hAnsi="宋体" w:hint="eastAsia"/>
          <w:color w:val="000000" w:themeColor="text1"/>
        </w:rPr>
        <w:lastRenderedPageBreak/>
        <w:t>其他说明</w:t>
      </w:r>
    </w:p>
    <w:sdt>
      <w:sdtPr>
        <w:rPr>
          <w:color w:val="000000" w:themeColor="text1"/>
        </w:rPr>
        <w:alias w:val="是否适用：其他董事、监事、高级管理人员情况说明[双击切换]"/>
        <w:tag w:val="_GBC_8e7eb434c4c34c1b86cdb9f39b70c323"/>
        <w:id w:val="-208113194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87"/>
    <w:bookmarkEnd w:id="88"/>
    <w:p w:rsidR="000C5659" w:rsidRDefault="000E33C4" w:rsidP="000743DD">
      <w:pPr>
        <w:pStyle w:val="2"/>
        <w:numPr>
          <w:ilvl w:val="0"/>
          <w:numId w:val="31"/>
        </w:numPr>
        <w:spacing w:line="360" w:lineRule="auto"/>
        <w:ind w:left="422" w:hanging="422"/>
        <w:rPr>
          <w:rFonts w:ascii="宋体" w:hAnsi="宋体"/>
          <w:color w:val="000000" w:themeColor="text1"/>
        </w:rPr>
      </w:pPr>
      <w:r>
        <w:rPr>
          <w:rFonts w:ascii="宋体" w:hAnsi="宋体" w:hint="eastAsia"/>
          <w:color w:val="000000" w:themeColor="text1"/>
        </w:rPr>
        <w:t>控股股东或实际控制人变更情况</w:t>
      </w:r>
    </w:p>
    <w:sdt>
      <w:sdtPr>
        <w:rPr>
          <w:color w:val="000000" w:themeColor="text1"/>
        </w:rPr>
        <w:alias w:val="是否适用：控股股东及实际控制人变更情况[双击切换]"/>
        <w:tag w:val="_GBC_84ff369a3f714dbbbec5a13460906f4b"/>
        <w:id w:val="19294642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1"/>
        <w:numPr>
          <w:ilvl w:val="0"/>
          <w:numId w:val="3"/>
        </w:numPr>
        <w:rPr>
          <w:rFonts w:ascii="黑体" w:hAnsi="黑体"/>
          <w:color w:val="000000" w:themeColor="text1"/>
        </w:rPr>
      </w:pPr>
      <w:bookmarkStart w:id="93" w:name="_Toc76114279"/>
      <w:bookmarkStart w:id="94" w:name="_Toc392233017"/>
      <w:bookmarkStart w:id="95" w:name="_Toc142578262"/>
      <w:r>
        <w:rPr>
          <w:rFonts w:ascii="黑体" w:hAnsi="黑体" w:hint="eastAsia"/>
          <w:color w:val="000000" w:themeColor="text1"/>
        </w:rPr>
        <w:t>优先股相关情况</w:t>
      </w:r>
      <w:bookmarkEnd w:id="93"/>
      <w:bookmarkEnd w:id="94"/>
      <w:bookmarkEnd w:id="95"/>
    </w:p>
    <w:sdt>
      <w:sdtPr>
        <w:rPr>
          <w:color w:val="000000" w:themeColor="text1"/>
        </w:rPr>
        <w:alias w:val="是否适用：优先股相关情况[双击切换]"/>
        <w:tag w:val="_GBC_2113adbee8464e1c828b3d6d35c60abf"/>
        <w:id w:val="138005872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sectPr w:rsidR="000C5659">
          <w:pgSz w:w="11906" w:h="16838"/>
          <w:pgMar w:top="1525" w:right="1276" w:bottom="1440" w:left="1797" w:header="851" w:footer="992" w:gutter="0"/>
          <w:cols w:space="425"/>
          <w:docGrid w:linePitch="312"/>
        </w:sectPr>
      </w:pPr>
    </w:p>
    <w:p w:rsidR="000C5659" w:rsidRDefault="000E33C4">
      <w:pPr>
        <w:pStyle w:val="1"/>
        <w:numPr>
          <w:ilvl w:val="0"/>
          <w:numId w:val="3"/>
        </w:numPr>
        <w:rPr>
          <w:rFonts w:ascii="黑体" w:hAnsi="黑体"/>
          <w:bCs w:val="0"/>
          <w:color w:val="000000" w:themeColor="text1"/>
          <w:szCs w:val="28"/>
        </w:rPr>
      </w:pPr>
      <w:bookmarkStart w:id="96" w:name="_Toc437440717"/>
      <w:bookmarkStart w:id="97" w:name="_Toc76114280"/>
      <w:bookmarkStart w:id="98" w:name="_Toc142578263"/>
      <w:bookmarkStart w:id="99" w:name="_Toc438111012"/>
      <w:r>
        <w:rPr>
          <w:rFonts w:ascii="黑体" w:hAnsi="黑体" w:hint="eastAsia"/>
          <w:color w:val="000000" w:themeColor="text1"/>
          <w:szCs w:val="28"/>
        </w:rPr>
        <w:lastRenderedPageBreak/>
        <w:t>债券相关情况</w:t>
      </w:r>
      <w:bookmarkEnd w:id="96"/>
      <w:bookmarkEnd w:id="97"/>
      <w:bookmarkEnd w:id="98"/>
      <w:bookmarkEnd w:id="99"/>
    </w:p>
    <w:p w:rsidR="000C5659" w:rsidRDefault="000E33C4" w:rsidP="000743DD">
      <w:pPr>
        <w:pStyle w:val="2"/>
        <w:numPr>
          <w:ilvl w:val="0"/>
          <w:numId w:val="36"/>
        </w:numPr>
        <w:ind w:firstLineChars="0"/>
        <w:rPr>
          <w:rFonts w:ascii="宋体" w:hAnsi="宋体"/>
          <w:color w:val="000000" w:themeColor="text1"/>
        </w:rPr>
      </w:pPr>
      <w:r>
        <w:rPr>
          <w:rFonts w:ascii="宋体" w:hAnsi="宋体" w:hint="eastAsia"/>
          <w:color w:val="000000" w:themeColor="text1"/>
        </w:rPr>
        <w:t>公司债券（含企业债券）和非金融企业债务融资工具</w:t>
      </w:r>
    </w:p>
    <w:bookmarkStart w:id="100" w:name="_Hlk73352152" w:displacedByCustomXml="next"/>
    <w:sdt>
      <w:sdtPr>
        <w:rPr>
          <w:color w:val="000000" w:themeColor="text1"/>
        </w:rPr>
        <w:alias w:val="是否适用：债券相关情况[双击切换]"/>
        <w:tag w:val="_GBC_8e6b9cf2d8c24a6faf41199f98e408b3"/>
        <w:id w:val="-36620891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00"/>
    <w:p w:rsidR="000C5659" w:rsidRDefault="000C5659">
      <w:pPr>
        <w:rPr>
          <w:color w:val="000000" w:themeColor="text1"/>
        </w:rPr>
      </w:pPr>
    </w:p>
    <w:p w:rsidR="000C5659" w:rsidRDefault="000E33C4" w:rsidP="000743DD">
      <w:pPr>
        <w:pStyle w:val="2"/>
        <w:numPr>
          <w:ilvl w:val="0"/>
          <w:numId w:val="36"/>
        </w:numPr>
        <w:ind w:firstLineChars="0"/>
        <w:rPr>
          <w:rFonts w:ascii="宋体" w:hAnsi="宋体"/>
          <w:color w:val="000000" w:themeColor="text1"/>
        </w:rPr>
      </w:pPr>
      <w:r>
        <w:rPr>
          <w:rFonts w:ascii="宋体" w:hAnsi="宋体" w:hint="eastAsia"/>
          <w:color w:val="000000" w:themeColor="text1"/>
        </w:rPr>
        <w:t>可转换公司债券情况</w:t>
      </w:r>
    </w:p>
    <w:sdt>
      <w:sdtPr>
        <w:rPr>
          <w:color w:val="000000" w:themeColor="text1"/>
        </w:rPr>
        <w:alias w:val="是否适用：可转换公司债券情况[双击切换]"/>
        <w:tag w:val="_GBC_6a49e99841294af3b87ba6216b1997d9"/>
        <w:id w:val="-3906279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sectPr w:rsidR="000C5659">
          <w:pgSz w:w="11906" w:h="16838"/>
          <w:pgMar w:top="1525" w:right="1276" w:bottom="1440" w:left="1797" w:header="851" w:footer="992" w:gutter="0"/>
          <w:cols w:space="425"/>
          <w:docGrid w:linePitch="312"/>
        </w:sectPr>
      </w:pPr>
    </w:p>
    <w:p w:rsidR="000C5659" w:rsidRDefault="000E33C4">
      <w:pPr>
        <w:pStyle w:val="1"/>
        <w:numPr>
          <w:ilvl w:val="0"/>
          <w:numId w:val="3"/>
        </w:numPr>
        <w:rPr>
          <w:rFonts w:ascii="黑体" w:hAnsi="黑体"/>
          <w:color w:val="000000" w:themeColor="text1"/>
        </w:rPr>
      </w:pPr>
      <w:bookmarkStart w:id="101" w:name="_Toc142578264"/>
      <w:bookmarkStart w:id="102" w:name="_Toc76114281"/>
      <w:r>
        <w:rPr>
          <w:rFonts w:ascii="黑体" w:hAnsi="黑体" w:hint="eastAsia"/>
          <w:color w:val="000000" w:themeColor="text1"/>
        </w:rPr>
        <w:lastRenderedPageBreak/>
        <w:t>财务报告</w:t>
      </w:r>
      <w:bookmarkEnd w:id="101"/>
      <w:bookmarkEnd w:id="102"/>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审计报告</w:t>
      </w:r>
    </w:p>
    <w:sdt>
      <w:sdtPr>
        <w:rPr>
          <w:color w:val="000000" w:themeColor="text1"/>
        </w:rPr>
        <w:alias w:val="是否适用：审计报告[双击切换]"/>
        <w:tag w:val="_GBC_33dac3baf6634fba91e3026ebaaad280"/>
        <w:id w:val="9498285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财务报表</w:t>
      </w:r>
    </w:p>
    <w:p w:rsidR="000C5659" w:rsidRDefault="000E33C4">
      <w:pPr>
        <w:pStyle w:val="35"/>
        <w:jc w:val="center"/>
        <w:rPr>
          <w:rFonts w:ascii="宋体" w:hAnsi="宋体"/>
          <w:color w:val="000000" w:themeColor="text1"/>
        </w:rPr>
      </w:pPr>
      <w:bookmarkStart w:id="103" w:name="_Hlk10208794"/>
      <w:r>
        <w:rPr>
          <w:rFonts w:ascii="宋体" w:hAnsi="宋体" w:hint="eastAsia"/>
          <w:color w:val="000000" w:themeColor="text1"/>
        </w:rPr>
        <w:t>合并资产负债表</w:t>
      </w:r>
    </w:p>
    <w:p w:rsidR="000C5659" w:rsidRDefault="000E33C4">
      <w:pPr>
        <w:snapToGrid w:val="0"/>
        <w:spacing w:line="240" w:lineRule="atLeast"/>
        <w:jc w:val="center"/>
        <w:rPr>
          <w:b/>
          <w:color w:val="000000" w:themeColor="text1"/>
        </w:rPr>
      </w:pPr>
      <w:r>
        <w:rPr>
          <w:color w:val="000000" w:themeColor="text1"/>
        </w:rPr>
        <w:t>2024年6月30日</w:t>
      </w:r>
    </w:p>
    <w:p w:rsidR="000C5659" w:rsidRDefault="000E33C4">
      <w:pPr>
        <w:rPr>
          <w:color w:val="000000" w:themeColor="text1"/>
        </w:rPr>
      </w:pPr>
      <w:r>
        <w:rPr>
          <w:color w:val="000000" w:themeColor="text1"/>
        </w:rPr>
        <w:t xml:space="preserve">编制单位： </w:t>
      </w:r>
      <w:sdt>
        <w:sdtPr>
          <w:rPr>
            <w:color w:val="000000" w:themeColor="text1"/>
          </w:rPr>
          <w:alias w:val="公司法定中文名称"/>
          <w:tag w:val="_GBC_76dae7aa62d842859c05c05e750163c2"/>
          <w:id w:val="-1260210688"/>
          <w:placeholder>
            <w:docPart w:val="GBC22222222222222222222222222222"/>
          </w:placeholder>
          <w:dataBinding w:prefixMappings="xmlns:clcid-cgi='clcid-cgi'" w:xpath="/*/clcid-cgi:GongSiFaDingZhongWenMingCheng[not(@periodRef)]" w:storeItemID="{89EBAB94-44A0-46A2-B712-30D997D04A6D}"/>
          <w:text/>
        </w:sdtPr>
        <w:sdtEndPr/>
        <w:sdtContent>
          <w:r w:rsidR="00B708C8">
            <w:rPr>
              <w:rFonts w:hint="eastAsia"/>
              <w:color w:val="000000" w:themeColor="text1"/>
            </w:rPr>
            <w:t>倍加洁集团股份有限公司</w:t>
          </w:r>
        </w:sdtContent>
      </w:sdt>
    </w:p>
    <w:p w:rsidR="000C5659" w:rsidRDefault="000E33C4">
      <w:pPr>
        <w:jc w:val="right"/>
        <w:rPr>
          <w:color w:val="000000" w:themeColor="text1"/>
        </w:rPr>
      </w:pPr>
      <w:r>
        <w:rPr>
          <w:color w:val="000000" w:themeColor="text1"/>
        </w:rPr>
        <w:t>单位：</w:t>
      </w:r>
      <w:sdt>
        <w:sdtPr>
          <w:rPr>
            <w:color w:val="000000" w:themeColor="text1"/>
          </w:rPr>
          <w:alias w:val="单位：合并资产负债表"/>
          <w:tag w:val="_GBC_710dced47e5943589779e071c78c5512"/>
          <w:id w:val="-20875308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合并资产负债表"/>
          <w:tag w:val="_GBC_7e2679155b104d33ba04158c7414bcff"/>
          <w:id w:val="3722020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499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0C5659">
        <w:sdt>
          <w:sdtPr>
            <w:rPr>
              <w:b/>
              <w:color w:val="000000" w:themeColor="text1"/>
            </w:rPr>
            <w:tag w:val="_PLD_1d3f74748a444e6ea0d191e81e54edca"/>
            <w:id w:val="-161929050"/>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b/>
                    <w:color w:val="000000" w:themeColor="text1"/>
                  </w:rPr>
                  <w:t>项目</w:t>
                </w:r>
              </w:p>
            </w:tc>
          </w:sdtContent>
        </w:sdt>
        <w:sdt>
          <w:sdtPr>
            <w:rPr>
              <w:b/>
              <w:color w:val="000000" w:themeColor="text1"/>
            </w:rPr>
            <w:tag w:val="_PLD_da216b439a53487e85f12225916c5563"/>
            <w:id w:val="-1325507763"/>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rFonts w:hint="eastAsia"/>
                    <w:b/>
                    <w:color w:val="000000" w:themeColor="text1"/>
                  </w:rPr>
                  <w:t>附注</w:t>
                </w:r>
              </w:p>
            </w:tc>
          </w:sdtContent>
        </w:sdt>
        <w:sdt>
          <w:sdtPr>
            <w:rPr>
              <w:b/>
              <w:color w:val="000000" w:themeColor="text1"/>
            </w:rPr>
            <w:tag w:val="_PLD_21df1d74f3114abf83688ef31bc4d9a7"/>
            <w:id w:val="-319803835"/>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rFonts w:hint="eastAsia"/>
                    <w:b/>
                    <w:color w:val="000000" w:themeColor="text1"/>
                  </w:rPr>
                  <w:t>2024年6月</w:t>
                </w:r>
                <w:r>
                  <w:rPr>
                    <w:b/>
                    <w:color w:val="000000" w:themeColor="text1"/>
                  </w:rPr>
                  <w:t>3</w:t>
                </w:r>
                <w:r>
                  <w:rPr>
                    <w:rFonts w:hint="eastAsia"/>
                    <w:b/>
                    <w:color w:val="000000" w:themeColor="text1"/>
                  </w:rPr>
                  <w:t>0日</w:t>
                </w:r>
              </w:p>
            </w:tc>
          </w:sdtContent>
        </w:sdt>
        <w:sdt>
          <w:sdtPr>
            <w:rPr>
              <w:b/>
              <w:color w:val="000000" w:themeColor="text1"/>
            </w:rPr>
            <w:tag w:val="_PLD_d92c936206d34a64b4b2139999e7311b"/>
            <w:id w:val="1698420040"/>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b/>
                    <w:color w:val="000000" w:themeColor="text1"/>
                  </w:rPr>
                  <w:t>2023年12月31日</w:t>
                </w:r>
              </w:p>
            </w:tc>
          </w:sdtContent>
        </w:sdt>
      </w:tr>
      <w:tr w:rsidR="000C5659">
        <w:sdt>
          <w:sdtPr>
            <w:rPr>
              <w:color w:val="000000" w:themeColor="text1"/>
            </w:rPr>
            <w:tag w:val="_PLD_c47a329e79ad491ca413bdaf35b1f19b"/>
            <w:id w:val="-168304304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b/>
                    <w:color w:val="000000" w:themeColor="text1"/>
                  </w:rPr>
                </w:pPr>
                <w:r>
                  <w:rPr>
                    <w:rFonts w:hint="eastAsia"/>
                    <w:b/>
                    <w:color w:val="000000" w:themeColor="text1"/>
                  </w:rPr>
                  <w:t>流动资产：</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59,902,878.08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70,121,787.41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结算备付金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拆出资金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54,654,985.10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16,999,892.25</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230,117,775.61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192,792,107.86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1,036,675.50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6,494,371.77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20,729,954.86</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12,308,566.98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应收保费</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应收分保账款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应收分保合同准备金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6,971,476.01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5,219,383.26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买入返售金融资产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173,580,259.97</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159,812,889.90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color w:val="000000" w:themeColor="text1"/>
              </w:rPr>
              <w:t xml:space="preserve">  其中：数据资源</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6,399,328.04</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5,325,062.64</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553,393,333.17</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469,074,062.07</w:t>
            </w:r>
          </w:p>
        </w:tc>
      </w:tr>
      <w:tr w:rsidR="000C5659">
        <w:sdt>
          <w:sdtPr>
            <w:rPr>
              <w:color w:val="000000" w:themeColor="text1"/>
            </w:rPr>
            <w:tag w:val="_PLD_66ac6acc14e74939b5cc43190a3afd2b"/>
            <w:id w:val="36249456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非流动资产：</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发放贷款和垫款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120,396.00</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919,179,128.61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934,116,808.52</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56,411,382.64</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49,782,181.47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495,442,726.17</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455,866,031.40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24,081,956.10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2,303,703.65</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lastRenderedPageBreak/>
              <w:t>油气资产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3,725,409.34</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43,816,340.74</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28,683,590.31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89,831,309.22</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22,563,633.13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22,120,736.66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13,186,332.53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10,103,698.54</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41,299,008.32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42,985,807.56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2551" w:type="dxa"/>
            <w:tcBorders>
              <w:top w:val="outset" w:sz="6" w:space="0" w:color="auto"/>
              <w:left w:val="outset" w:sz="6" w:space="0" w:color="auto"/>
              <w:bottom w:val="outset" w:sz="6" w:space="0" w:color="auto"/>
              <w:right w:val="outset" w:sz="6" w:space="0" w:color="auto"/>
            </w:tcBorders>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1,709,657,622.80 </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1,545,962,558.11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2551" w:type="dxa"/>
            <w:tcBorders>
              <w:top w:val="outset" w:sz="6" w:space="0" w:color="auto"/>
              <w:left w:val="outset" w:sz="6" w:space="0" w:color="auto"/>
              <w:bottom w:val="outset" w:sz="6" w:space="0" w:color="auto"/>
              <w:right w:val="outset" w:sz="6" w:space="0" w:color="auto"/>
            </w:tcBorders>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2,263,050,955.97 </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2,015,036,620.18</w:t>
            </w:r>
          </w:p>
        </w:tc>
      </w:tr>
      <w:tr w:rsidR="000C5659">
        <w:sdt>
          <w:sdtPr>
            <w:rPr>
              <w:color w:val="000000" w:themeColor="text1"/>
            </w:rPr>
            <w:tag w:val="_PLD_9375d0f637964c329fb26d2b4f648745"/>
            <w:id w:val="-171657124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流动负债：</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387,839,148.26</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346,796,461.12</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向中央银行借款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拆入资金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82,203,494.89</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77,878,412.11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142,699,041.67</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150,352,984.50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9,564,448.21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11,688,899.19</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卖出回购金融资产款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吸收存款及同业存放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代理买卖证券款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代理承销证券款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29,143,970.66</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33,617,483.04</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12,299,315.59</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5,551,144.73</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43,538,820.80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13,485,414.26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20,089,740.00</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应付手续费及佣金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应付分保账款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1,376,900.04</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819,378.31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267,805.67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709,484,518.43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639,638,604.62</w:t>
            </w:r>
          </w:p>
        </w:tc>
      </w:tr>
      <w:tr w:rsidR="000C5659">
        <w:sdt>
          <w:sdtPr>
            <w:rPr>
              <w:color w:val="000000" w:themeColor="text1"/>
            </w:rPr>
            <w:tag w:val="_PLD_e92d79badc1945afbed8782cdacf599f"/>
            <w:id w:val="-158136529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非流动负债：</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保险合同准备金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162,454,623.22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86,074,861.11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2,878,910.53</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148,420,386.18</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6,239,470.54</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6,513,666.02</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lastRenderedPageBreak/>
              <w:t>递延所得税负债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39,439,109.85</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17,999,827.20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15,720,000.00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15,720,000.00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2551" w:type="dxa"/>
            <w:tcBorders>
              <w:top w:val="outset" w:sz="6" w:space="0" w:color="auto"/>
              <w:left w:val="outset" w:sz="6" w:space="0" w:color="auto"/>
              <w:bottom w:val="outset" w:sz="6" w:space="0" w:color="auto"/>
              <w:right w:val="outset" w:sz="6" w:space="0" w:color="auto"/>
            </w:tcBorders>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375,152,500.32 </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126,308,354.33</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2551" w:type="dxa"/>
            <w:tcBorders>
              <w:top w:val="outset" w:sz="6" w:space="0" w:color="auto"/>
              <w:left w:val="outset" w:sz="6" w:space="0" w:color="auto"/>
              <w:bottom w:val="outset" w:sz="6" w:space="0" w:color="auto"/>
              <w:right w:val="outset" w:sz="6" w:space="0" w:color="auto"/>
            </w:tcBorders>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1,084,637,018.75 </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765,946,958.95</w:t>
            </w:r>
          </w:p>
        </w:tc>
      </w:tr>
      <w:tr w:rsidR="000C5659">
        <w:sdt>
          <w:sdtPr>
            <w:rPr>
              <w:color w:val="000000" w:themeColor="text1"/>
            </w:rPr>
            <w:tag w:val="_PLD_4fe68479676b4c8c840de2211f0c67b8"/>
            <w:id w:val="-46751158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所有者权益（或股东权益）：</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100,448,700.00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100,448,700.00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368,898,110.48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522,887,707.68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1,291,493.78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380,350.48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46,282,190.67</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46,282,190.67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一般风险准备</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592,143,850.49</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579,090,712.40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1,109,064,345.42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1,249,089,661.23</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少数股东权益</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69,349,591.80</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2551" w:type="dxa"/>
            <w:tcBorders>
              <w:top w:val="outset" w:sz="6" w:space="0" w:color="auto"/>
              <w:left w:val="outset" w:sz="6" w:space="0" w:color="auto"/>
              <w:bottom w:val="outset" w:sz="6" w:space="0" w:color="auto"/>
              <w:right w:val="outset" w:sz="6" w:space="0" w:color="auto"/>
            </w:tcBorders>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1,178,413,937.22 </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1,249,089,661.23</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2551" w:type="dxa"/>
            <w:tcBorders>
              <w:top w:val="outset" w:sz="6" w:space="0" w:color="auto"/>
              <w:left w:val="outset" w:sz="6" w:space="0" w:color="auto"/>
              <w:bottom w:val="outset" w:sz="6" w:space="0" w:color="auto"/>
              <w:right w:val="outset" w:sz="6" w:space="0" w:color="auto"/>
            </w:tcBorders>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2,263,050,955.97 </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2,015,036,620.18</w:t>
            </w:r>
          </w:p>
        </w:tc>
      </w:tr>
    </w:tbl>
    <w:p w:rsidR="000C5659" w:rsidRDefault="000C5659">
      <w:pPr>
        <w:rPr>
          <w:color w:val="000000" w:themeColor="text1"/>
        </w:rPr>
      </w:pPr>
    </w:p>
    <w:p w:rsidR="00616E54" w:rsidRPr="00B820E0" w:rsidRDefault="000E33C4" w:rsidP="00B820E0">
      <w:pPr>
        <w:ind w:rightChars="-73" w:right="-153"/>
        <w:rPr>
          <w:color w:val="000000" w:themeColor="text1"/>
          <w:u w:val="single"/>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82350876809b4479afe9f3c55db147dd"/>
          <w:id w:val="-667949689"/>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616E54">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9caf2fff268b41a7b3fe74fc4a3d6533"/>
          <w:id w:val="-837220715"/>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B820E0">
        <w:rPr>
          <w:color w:val="000000" w:themeColor="text1"/>
        </w:rPr>
        <w:t xml:space="preserve">     </w:t>
      </w:r>
      <w:r w:rsidR="00616E54">
        <w:rPr>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8cacbe4a6fcc41699e67ce809516ec50"/>
          <w:id w:val="-782875609"/>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p>
    <w:p w:rsidR="000C5659" w:rsidRDefault="000E33C4">
      <w:pPr>
        <w:pStyle w:val="35"/>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资产负债表</w:t>
      </w:r>
    </w:p>
    <w:p w:rsidR="000C5659" w:rsidRDefault="000E33C4">
      <w:pPr>
        <w:snapToGrid w:val="0"/>
        <w:spacing w:line="240" w:lineRule="atLeast"/>
        <w:jc w:val="center"/>
        <w:rPr>
          <w:b/>
          <w:color w:val="000000" w:themeColor="text1"/>
        </w:rPr>
      </w:pPr>
      <w:r>
        <w:rPr>
          <w:color w:val="000000" w:themeColor="text1"/>
        </w:rPr>
        <w:t>2024年6月30日</w:t>
      </w:r>
    </w:p>
    <w:p w:rsidR="000C5659" w:rsidRDefault="000E33C4">
      <w:pPr>
        <w:rPr>
          <w:color w:val="000000" w:themeColor="text1"/>
        </w:rPr>
      </w:pPr>
      <w:r>
        <w:rPr>
          <w:color w:val="000000" w:themeColor="text1"/>
        </w:rPr>
        <w:t>编制单位：</w:t>
      </w:r>
      <w:sdt>
        <w:sdtPr>
          <w:rPr>
            <w:color w:val="000000" w:themeColor="text1"/>
          </w:rPr>
          <w:alias w:val="公司法定中文名称"/>
          <w:tag w:val="_GBC_824a3e7402834e78aa66a9ee77d287bc"/>
          <w:id w:val="-570422417"/>
          <w:placeholder>
            <w:docPart w:val="GBC22222222222222222222222222222"/>
          </w:placeholder>
          <w:dataBinding w:prefixMappings="xmlns:clcid-cgi='clcid-cgi'" w:xpath="/*/clcid-cgi:GongSiFaDingZhongWenMingCheng[not(@periodRef)]" w:storeItemID="{89EBAB94-44A0-46A2-B712-30D997D04A6D}"/>
          <w:text/>
        </w:sdtPr>
        <w:sdtEndPr/>
        <w:sdtContent>
          <w:r w:rsidR="00B708C8">
            <w:rPr>
              <w:rFonts w:hint="eastAsia"/>
              <w:color w:val="000000" w:themeColor="text1"/>
            </w:rPr>
            <w:t>倍加洁集团股份有限公司</w:t>
          </w:r>
        </w:sdtContent>
      </w:sdt>
      <w:r>
        <w:rPr>
          <w:color w:val="000000" w:themeColor="text1"/>
        </w:rPr>
        <w:t> </w:t>
      </w:r>
    </w:p>
    <w:p w:rsidR="000C5659" w:rsidRDefault="000E33C4">
      <w:pPr>
        <w:jc w:val="right"/>
        <w:rPr>
          <w:color w:val="000000" w:themeColor="text1"/>
        </w:rPr>
      </w:pPr>
      <w:r>
        <w:rPr>
          <w:color w:val="000000" w:themeColor="text1"/>
        </w:rPr>
        <w:t>单位：</w:t>
      </w:r>
      <w:sdt>
        <w:sdtPr>
          <w:rPr>
            <w:color w:val="000000" w:themeColor="text1"/>
          </w:rPr>
          <w:alias w:val="单位：母公司资产负债表"/>
          <w:tag w:val="_GBC_7be010b1a07f4048a3805d40208ccda4"/>
          <w:id w:val="-5163146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母公司资产负债表"/>
          <w:tag w:val="_GBC_ecd35f8ce6f84d6f8ad30e1e244c15ff"/>
          <w:id w:val="10192693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499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0C5659">
        <w:sdt>
          <w:sdtPr>
            <w:rPr>
              <w:b/>
              <w:color w:val="000000" w:themeColor="text1"/>
            </w:rPr>
            <w:tag w:val="_PLD_7b231a79acb54050b640bf23dd34ab8c"/>
            <w:id w:val="1766883301"/>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b/>
                    <w:color w:val="000000" w:themeColor="text1"/>
                  </w:rPr>
                  <w:t>项目</w:t>
                </w:r>
              </w:p>
            </w:tc>
          </w:sdtContent>
        </w:sdt>
        <w:sdt>
          <w:sdtPr>
            <w:rPr>
              <w:b/>
              <w:color w:val="000000" w:themeColor="text1"/>
            </w:rPr>
            <w:tag w:val="_PLD_5e370aa08a144a709185abd9b2f11c20"/>
            <w:id w:val="-859813183"/>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rFonts w:hint="eastAsia"/>
                    <w:b/>
                    <w:color w:val="000000" w:themeColor="text1"/>
                  </w:rPr>
                  <w:t>附注</w:t>
                </w:r>
              </w:p>
            </w:tc>
          </w:sdtContent>
        </w:sdt>
        <w:sdt>
          <w:sdtPr>
            <w:rPr>
              <w:b/>
              <w:color w:val="000000" w:themeColor="text1"/>
            </w:rPr>
            <w:tag w:val="_PLD_0aa0a7a0cd4c45afa7cfb1bcfbba36c3"/>
            <w:id w:val="669830939"/>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rFonts w:hint="eastAsia"/>
                    <w:b/>
                    <w:color w:val="000000" w:themeColor="text1"/>
                  </w:rPr>
                  <w:t>2024年6月</w:t>
                </w:r>
                <w:r>
                  <w:rPr>
                    <w:b/>
                    <w:color w:val="000000" w:themeColor="text1"/>
                  </w:rPr>
                  <w:t>3</w:t>
                </w:r>
                <w:r>
                  <w:rPr>
                    <w:rFonts w:hint="eastAsia"/>
                    <w:b/>
                    <w:color w:val="000000" w:themeColor="text1"/>
                  </w:rPr>
                  <w:t>0日</w:t>
                </w:r>
              </w:p>
            </w:tc>
          </w:sdtContent>
        </w:sdt>
        <w:sdt>
          <w:sdtPr>
            <w:rPr>
              <w:b/>
              <w:color w:val="000000" w:themeColor="text1"/>
            </w:rPr>
            <w:tag w:val="_PLD_e986dda0dbc74346a9296e5a4646b696"/>
            <w:id w:val="-1258516385"/>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0C5659" w:rsidRDefault="000E33C4">
                <w:pPr>
                  <w:jc w:val="center"/>
                  <w:rPr>
                    <w:b/>
                    <w:color w:val="000000" w:themeColor="text1"/>
                  </w:rPr>
                </w:pPr>
                <w:r>
                  <w:rPr>
                    <w:b/>
                    <w:color w:val="000000" w:themeColor="text1"/>
                  </w:rPr>
                  <w:t>2023年12月31日</w:t>
                </w:r>
              </w:p>
            </w:tc>
          </w:sdtContent>
        </w:sdt>
      </w:tr>
      <w:tr w:rsidR="000C5659">
        <w:sdt>
          <w:sdtPr>
            <w:rPr>
              <w:color w:val="000000" w:themeColor="text1"/>
            </w:rPr>
            <w:tag w:val="_PLD_64ae72669eea4837a1a220d585585bdf"/>
            <w:id w:val="-10165130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b/>
                    <w:color w:val="000000" w:themeColor="text1"/>
                  </w:rPr>
                </w:pPr>
                <w:r>
                  <w:rPr>
                    <w:rFonts w:hint="eastAsia"/>
                    <w:b/>
                    <w:color w:val="000000" w:themeColor="text1"/>
                  </w:rPr>
                  <w:t>流动资产：</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t>37,957,580.07</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38,331,938.95</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47,045,004.72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9,389,911.87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146,576,288.06</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127,475,369.20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790,000.00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1,200,000.00</w:t>
            </w:r>
          </w:p>
        </w:tc>
      </w:tr>
      <w:tr w:rsidR="000C5659">
        <w:trPr>
          <w:trHeight w:val="90"/>
        </w:trPr>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8,200,437.71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6,537,969.76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27,273,556.56</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11,328,746.68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75,588,124.93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72,787,308.54</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343,430,992.05</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267,051,245.00</w:t>
            </w:r>
          </w:p>
        </w:tc>
      </w:tr>
      <w:tr w:rsidR="000C5659">
        <w:sdt>
          <w:sdtPr>
            <w:rPr>
              <w:color w:val="000000" w:themeColor="text1"/>
            </w:rPr>
            <w:tag w:val="_PLD_71f45ac7535d4ffeaa6273d6527bae0d"/>
            <w:id w:val="81622686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非流动资产：</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493,859,375.00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468,459,375.00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859,488,153.70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668,529,408.11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45,789,359.88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39,037,148.67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8,336,647.32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8,703,574.68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120,141,557.11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127,468,468.26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121,388.03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24,700.65</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5,385,816.38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6,638,754.42</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18,453,921.19</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16,095,426.46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4,358,573.62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38,890,834.67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1,555,934,792.23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1,373,847,690.92</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1,899,365,784.28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1,640,898,935.92</w:t>
            </w:r>
          </w:p>
        </w:tc>
      </w:tr>
      <w:tr w:rsidR="000C5659">
        <w:sdt>
          <w:sdtPr>
            <w:rPr>
              <w:color w:val="000000" w:themeColor="text1"/>
            </w:rPr>
            <w:tag w:val="_PLD_380943e088034c15ad8af33927d58d1b"/>
            <w:id w:val="63082406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流动负债：</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202,056,953.80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192,842,844.45</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52,698,742.80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48,987,402.55</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126,446,112.04</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106,277,514.51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5,387,306.95</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4,847,868.60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14,795,608.66</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18,054,648.23</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3,451,117.14</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851,805.67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310,912,931.22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229,727,339.87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20,089,740.00</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477,631.90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161,190.29</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716,226,404.51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601,750,614.17</w:t>
            </w:r>
          </w:p>
        </w:tc>
      </w:tr>
      <w:tr w:rsidR="000C5659">
        <w:sdt>
          <w:sdtPr>
            <w:rPr>
              <w:color w:val="000000" w:themeColor="text1"/>
            </w:rPr>
            <w:tag w:val="_PLD_e62929b21cd4456494013c9cb0dc5b16"/>
            <w:id w:val="-133390972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非流动负债：</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119,013,734.33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38,033,972.22</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209,866,169.18</w:t>
            </w: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lastRenderedPageBreak/>
              <w:t>预计负债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2,837,531.78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3,111,727.26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22,781,400.52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6,545,287.56</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354,498,835.81</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47,690,987.04</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1,070,725,240.32</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649,441,601.21</w:t>
            </w:r>
          </w:p>
        </w:tc>
      </w:tr>
      <w:tr w:rsidR="000C5659">
        <w:sdt>
          <w:sdtPr>
            <w:rPr>
              <w:color w:val="000000" w:themeColor="text1"/>
            </w:rPr>
            <w:tag w:val="_PLD_b3c95ee428314f8b8091bd15dff2a83d"/>
            <w:id w:val="168686744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C5659" w:rsidRDefault="000E33C4">
                <w:pPr>
                  <w:rPr>
                    <w:color w:val="000000" w:themeColor="text1"/>
                  </w:rPr>
                </w:pPr>
                <w:r>
                  <w:rPr>
                    <w:rFonts w:hint="eastAsia"/>
                    <w:b/>
                    <w:color w:val="000000" w:themeColor="text1"/>
                  </w:rPr>
                  <w:t>所有者权益（或股东权益）：</w:t>
                </w:r>
              </w:p>
            </w:tc>
          </w:sdtContent>
        </w:sdt>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100,448,700.00</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100,448,700.00</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368,898,110.48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522,887,707.68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1,291,493.78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380,350.48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C5659">
            <w:pPr>
              <w:jc w:val="right"/>
            </w:pPr>
          </w:p>
        </w:tc>
        <w:tc>
          <w:tcPr>
            <w:tcW w:w="1333" w:type="pct"/>
            <w:tcBorders>
              <w:top w:val="outset" w:sz="6" w:space="0" w:color="auto"/>
              <w:left w:val="outset" w:sz="6" w:space="0" w:color="auto"/>
              <w:bottom w:val="outset" w:sz="6" w:space="0" w:color="auto"/>
              <w:right w:val="outset" w:sz="6" w:space="0" w:color="auto"/>
            </w:tcBorders>
          </w:tcPr>
          <w:p w:rsidR="000C5659" w:rsidRDefault="000C5659">
            <w:pPr>
              <w:jc w:val="right"/>
            </w:pP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46,282,190.67</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46,282,190.67</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311,720,049.03</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321,458,385.88</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828,640,543.96</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991,457,334.71</w:t>
            </w:r>
          </w:p>
        </w:tc>
      </w:tr>
      <w:tr w:rsidR="000C5659">
        <w:tc>
          <w:tcPr>
            <w:tcW w:w="1629" w:type="pct"/>
            <w:tcBorders>
              <w:top w:val="outset" w:sz="6" w:space="0" w:color="auto"/>
              <w:left w:val="outset" w:sz="6" w:space="0" w:color="auto"/>
              <w:bottom w:val="outset" w:sz="6" w:space="0" w:color="auto"/>
              <w:right w:val="outset" w:sz="6" w:space="0" w:color="auto"/>
            </w:tcBorders>
            <w:vAlign w:val="center"/>
          </w:tcPr>
          <w:p w:rsidR="000C5659" w:rsidRDefault="000E33C4">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0C5659" w:rsidRDefault="000C5659">
            <w:pPr>
              <w:pStyle w:val="Style325"/>
            </w:pPr>
          </w:p>
        </w:tc>
        <w:tc>
          <w:tcPr>
            <w:tcW w:w="1411" w:type="pct"/>
            <w:tcBorders>
              <w:top w:val="outset" w:sz="6" w:space="0" w:color="auto"/>
              <w:left w:val="outset" w:sz="6" w:space="0" w:color="auto"/>
              <w:bottom w:val="outset" w:sz="6" w:space="0" w:color="auto"/>
              <w:right w:val="outset" w:sz="6" w:space="0" w:color="auto"/>
            </w:tcBorders>
          </w:tcPr>
          <w:p w:rsidR="000C5659" w:rsidRDefault="000E33C4">
            <w:pPr>
              <w:jc w:val="right"/>
            </w:pPr>
            <w:r>
              <w:rPr>
                <w:rFonts w:hint="eastAsia"/>
              </w:rPr>
              <w:t>1,899,365,784.28</w:t>
            </w:r>
          </w:p>
        </w:tc>
        <w:tc>
          <w:tcPr>
            <w:tcW w:w="1333" w:type="pct"/>
            <w:tcBorders>
              <w:top w:val="outset" w:sz="6" w:space="0" w:color="auto"/>
              <w:left w:val="outset" w:sz="6" w:space="0" w:color="auto"/>
              <w:bottom w:val="outset" w:sz="6" w:space="0" w:color="auto"/>
              <w:right w:val="outset" w:sz="6" w:space="0" w:color="auto"/>
            </w:tcBorders>
          </w:tcPr>
          <w:p w:rsidR="000C5659" w:rsidRDefault="000E33C4">
            <w:pPr>
              <w:jc w:val="right"/>
            </w:pPr>
            <w:r>
              <w:t>1,640,898,935.92</w:t>
            </w:r>
          </w:p>
        </w:tc>
      </w:tr>
    </w:tbl>
    <w:p w:rsidR="000C5659" w:rsidRDefault="000C5659">
      <w:pPr>
        <w:pStyle w:val="Style325"/>
      </w:pPr>
    </w:p>
    <w:p w:rsidR="000C5659" w:rsidRPr="00B820E0" w:rsidRDefault="000E33C4" w:rsidP="00B820E0">
      <w:pPr>
        <w:ind w:rightChars="-73" w:right="-153"/>
        <w:rPr>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f43f422c96ec4e009c3976ce8e58b778"/>
          <w:id w:val="-1439982359"/>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616E54">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3ac751c8378d4424bbdf4c74057683d9"/>
          <w:id w:val="-182828632"/>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B820E0">
        <w:rPr>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182ff185180a4ea4b9c93bbd4b01de2c"/>
          <w:id w:val="355241651"/>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bookmarkStart w:id="104" w:name="_Hlk10210632"/>
      <w:bookmarkStart w:id="105" w:name="_Hlk10210822"/>
      <w:bookmarkEnd w:id="103"/>
      <w:bookmarkEnd w:id="104"/>
    </w:p>
    <w:p w:rsidR="000C5659" w:rsidRDefault="000E33C4">
      <w:pPr>
        <w:pStyle w:val="35"/>
        <w:jc w:val="center"/>
        <w:rPr>
          <w:rFonts w:ascii="宋体" w:hAnsi="宋体"/>
          <w:color w:val="000000" w:themeColor="text1"/>
        </w:rPr>
      </w:pPr>
      <w:r>
        <w:rPr>
          <w:rFonts w:ascii="宋体" w:hAnsi="宋体" w:hint="eastAsia"/>
          <w:color w:val="000000" w:themeColor="text1"/>
        </w:rPr>
        <w:t>合并</w:t>
      </w:r>
      <w:r>
        <w:rPr>
          <w:rFonts w:ascii="宋体" w:hAnsi="宋体"/>
          <w:color w:val="000000" w:themeColor="text1"/>
        </w:rPr>
        <w:t>利润表</w:t>
      </w:r>
    </w:p>
    <w:p w:rsidR="000C5659" w:rsidRDefault="000E33C4">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0C5659" w:rsidRDefault="000E33C4">
      <w:pPr>
        <w:jc w:val="right"/>
        <w:rPr>
          <w:color w:val="000000" w:themeColor="text1"/>
        </w:rPr>
      </w:pPr>
      <w:r>
        <w:rPr>
          <w:color w:val="000000" w:themeColor="text1"/>
        </w:rPr>
        <w:t>单位：</w:t>
      </w:r>
      <w:sdt>
        <w:sdtPr>
          <w:rPr>
            <w:color w:val="000000" w:themeColor="text1"/>
          </w:rPr>
          <w:alias w:val="单位：合并利润表"/>
          <w:tag w:val="_GBC_4fec24feb4834b768c484fe556046382"/>
          <w:id w:val="-9221032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合并利润表"/>
          <w:tag w:val="_GBC_ae5c0d79e5694eb28ba1b8160e27a464"/>
          <w:id w:val="-11135115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0C5659">
        <w:trPr>
          <w:cantSplit/>
        </w:trPr>
        <w:sdt>
          <w:sdtPr>
            <w:rPr>
              <w:color w:val="000000" w:themeColor="text1"/>
            </w:rPr>
            <w:tag w:val="_PLD_ea01e0b0c9224fe59426c375515c2359"/>
            <w:id w:val="147479648"/>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leftChars="-19" w:hangingChars="19" w:hanging="40"/>
                  <w:jc w:val="center"/>
                  <w:rPr>
                    <w:b/>
                    <w:color w:val="000000" w:themeColor="text1"/>
                  </w:rPr>
                </w:pPr>
                <w:r>
                  <w:rPr>
                    <w:b/>
                    <w:color w:val="000000" w:themeColor="text1"/>
                  </w:rPr>
                  <w:t>项目</w:t>
                </w:r>
              </w:p>
            </w:tc>
          </w:sdtContent>
        </w:sdt>
        <w:sdt>
          <w:sdtPr>
            <w:rPr>
              <w:color w:val="000000" w:themeColor="text1"/>
            </w:rPr>
            <w:tag w:val="_PLD_e4f45f42e79e4a4aba892e3a7a7b123d"/>
            <w:id w:val="147466700"/>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0C5659" w:rsidRDefault="000E33C4">
                <w:pPr>
                  <w:jc w:val="center"/>
                  <w:rPr>
                    <w:b/>
                    <w:color w:val="000000" w:themeColor="text1"/>
                  </w:rPr>
                </w:pPr>
                <w:r>
                  <w:rPr>
                    <w:rFonts w:hint="eastAsia"/>
                    <w:b/>
                    <w:color w:val="000000" w:themeColor="text1"/>
                  </w:rPr>
                  <w:t>附注</w:t>
                </w:r>
              </w:p>
            </w:tc>
          </w:sdtContent>
        </w:sdt>
        <w:sdt>
          <w:sdtPr>
            <w:rPr>
              <w:color w:val="000000" w:themeColor="text1"/>
            </w:rPr>
            <w:tag w:val="_PLD_41682cdf00e5450394986df99de953d1"/>
            <w:id w:val="147473350"/>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0C5659" w:rsidRDefault="000E33C4">
                <w:pPr>
                  <w:jc w:val="center"/>
                  <w:rPr>
                    <w:b/>
                    <w:color w:val="000000" w:themeColor="text1"/>
                  </w:rPr>
                </w:pPr>
                <w:r>
                  <w:rPr>
                    <w:rFonts w:hint="eastAsia"/>
                    <w:b/>
                    <w:color w:val="000000" w:themeColor="text1"/>
                  </w:rPr>
                  <w:t>2024年半年度</w:t>
                </w:r>
              </w:p>
            </w:tc>
          </w:sdtContent>
        </w:sdt>
        <w:sdt>
          <w:sdtPr>
            <w:rPr>
              <w:color w:val="000000" w:themeColor="text1"/>
            </w:rPr>
            <w:tag w:val="_PLD_f020215569a54a6db2bd3d5298280e01"/>
            <w:id w:val="147460332"/>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0C5659" w:rsidRDefault="000E33C4">
                <w:pPr>
                  <w:jc w:val="center"/>
                  <w:rPr>
                    <w:b/>
                    <w:color w:val="000000" w:themeColor="text1"/>
                  </w:rPr>
                </w:pPr>
                <w:r>
                  <w:rPr>
                    <w:rFonts w:hint="eastAsia"/>
                    <w:b/>
                    <w:color w:val="000000" w:themeColor="text1"/>
                  </w:rPr>
                  <w:t>2023年半年度</w:t>
                </w:r>
              </w:p>
            </w:tc>
          </w:sdtContent>
        </w:sdt>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一、营业总收入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620,160,522.82</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482,250,410.36</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其中：营业收入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620,160,522.82</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482,250,410.36</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利息收入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已赚保费</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手续费及佣金收入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二、营业总成本</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561,282,304.80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444,473,461.52</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其中：营业成本</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463,448,932.88</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372,733,091.96</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利息支出</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手续费及佣金支出</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退保金</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赔付支出净额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提取保险责任准备金净额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保单红利支出</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分保费用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税金及附加</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6,440,252.86</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4,114,053.14</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销售费用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44,104,877.71 </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31,031,777.51</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管理费用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25,906,967.51 </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24,660,931.26</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研发费用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20,729,096.00 </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13,974,699.93</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财务费用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652,177.84</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-2,041,092.28</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其中：利息费用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7,719,939.23</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3,101,401.74</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600" w:firstLine="1260"/>
              <w:rPr>
                <w:color w:val="000000" w:themeColor="text1"/>
              </w:rPr>
            </w:pPr>
            <w:r>
              <w:rPr>
                <w:rFonts w:hint="eastAsia"/>
                <w:color w:val="000000" w:themeColor="text1"/>
              </w:rPr>
              <w:t>利息收入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422,013.04</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837,689.82</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lastRenderedPageBreak/>
              <w:t>加：其他收益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2,500,743.66</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1,766,394.59</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投资收益（损失以“－”号填列）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w:t>
            </w:r>
            <w:r>
              <w:t>15,122,993.10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2,648,692.98</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-15,090,031.23</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7,381,633.14</w:t>
            </w:r>
          </w:p>
        </w:tc>
      </w:tr>
      <w:tr w:rsidR="000C5659">
        <w:tc>
          <w:tcPr>
            <w:tcW w:w="1938" w:type="pct"/>
            <w:tcBorders>
              <w:top w:val="outset" w:sz="4" w:space="0" w:color="auto"/>
              <w:left w:val="outset" w:sz="4" w:space="0" w:color="auto"/>
              <w:bottom w:val="outset" w:sz="4" w:space="0" w:color="auto"/>
              <w:right w:val="outset" w:sz="4" w:space="0" w:color="auto"/>
            </w:tcBorders>
          </w:tcPr>
          <w:p w:rsidR="000C5659" w:rsidRDefault="000E33C4">
            <w:pPr>
              <w:ind w:firstLineChars="550" w:firstLine="1155"/>
              <w:rPr>
                <w:color w:val="000000" w:themeColor="text1"/>
              </w:rPr>
            </w:pPr>
            <w:r>
              <w:rPr>
                <w:rFonts w:hint="eastAsia"/>
                <w:color w:val="000000" w:themeColor="text1"/>
              </w:rPr>
              <w:t>以摊余成本计量的金融资产终止确认收益（损失以“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汇兑收益（损失以“－”号填列）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净敞口套期收益（损失以“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-165,705.98</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3,220,437.00</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信用减值损失（损失以“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-1,705,028.17</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-403,021.20</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资产减值损失（损失以“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111,677.09</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467,205.16</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资产处置收益（损失以“－”号填列）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w:t>
            </w:r>
            <w:r>
              <w:t>94,544.03</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28,688.95</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三、营业利润（亏损以“－”号填列）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44,402,367.49</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45,505,346.32</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加：营业外收入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9,540.09</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31,928.86</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减：营业外支出</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96,111.68</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19,687.78</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四、利润总额（亏损总额以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44,315,795.90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45,517,587.40</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减：所得税费用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12,382,683.00 </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8,950,703.35</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五、净利润（净亏损以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vAlign w:val="center"/>
          </w:tcPr>
          <w:p w:rsidR="000C5659" w:rsidRDefault="000E33C4">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31,933,112.90 </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36,566,884.05</w:t>
            </w:r>
          </w:p>
        </w:tc>
      </w:tr>
      <w:tr w:rsidR="000C5659">
        <w:sdt>
          <w:sdtPr>
            <w:rPr>
              <w:color w:val="000000" w:themeColor="text1"/>
            </w:rPr>
            <w:tag w:val="_PLD_c576a2f5fbec4ba2b1cc36d0a215ba5c"/>
            <w:id w:val="147469001"/>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（一）</w:t>
                </w:r>
                <w:r>
                  <w:rPr>
                    <w:color w:val="000000" w:themeColor="text1"/>
                  </w:rPr>
                  <w:t>按经营持续性分类</w:t>
                </w:r>
              </w:p>
            </w:tc>
          </w:sdtContent>
        </w:sdt>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1.持续经营净利润（净亏损以“－”号填列）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asciiTheme="minorEastAsia" w:eastAsiaTheme="minorEastAsia" w:hAnsiTheme="minorEastAsia" w:cstheme="minorEastAsia" w:hint="eastAsia"/>
                <w:color w:val="000000"/>
                <w:lang w:bidi="ar"/>
              </w:rPr>
              <w:t xml:space="preserve"> 31,933,112.90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36,566,884.05</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2.终止经营净利润（净亏损以“－”号填列）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sdt>
          <w:sdtPr>
            <w:rPr>
              <w:color w:val="000000" w:themeColor="text1"/>
            </w:rPr>
            <w:tag w:val="_PLD_5da729560f54464cbcc9ce762078f9ba"/>
            <w:id w:val="14748097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（二）</w:t>
                </w:r>
                <w:r>
                  <w:rPr>
                    <w:color w:val="000000" w:themeColor="text1"/>
                  </w:rPr>
                  <w:t>按所有权归属分类</w:t>
                </w:r>
              </w:p>
            </w:tc>
          </w:sdtContent>
        </w:sdt>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1.</w:t>
            </w:r>
            <w:r>
              <w:rPr>
                <w:rFonts w:hint="eastAsia"/>
                <w:color w:val="000000" w:themeColor="text1"/>
              </w:rPr>
              <w:t>归属于母公司股东的净利润（净亏损以“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33,142,878.09</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36,566,884.05</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2.</w:t>
            </w:r>
            <w:r>
              <w:rPr>
                <w:rFonts w:hint="eastAsia"/>
                <w:color w:val="000000" w:themeColor="text1"/>
              </w:rPr>
              <w:t>少数股东损益（净亏损以“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-1,209,765.19</w:t>
            </w: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六、其他综合收益的税后净额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911,143.30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1,561,963.38</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（一）归属母公司所有者的其他综合收益的税后净额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911,143.30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1,561,963.38</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1.</w:t>
            </w:r>
            <w:r>
              <w:rPr>
                <w:rFonts w:hint="eastAsia"/>
                <w:color w:val="000000" w:themeColor="text1"/>
              </w:rPr>
              <w:t>不能重分类进损益的其他综合收益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（1）</w:t>
            </w:r>
            <w:r>
              <w:rPr>
                <w:color w:val="000000" w:themeColor="text1"/>
              </w:rPr>
              <w:t>重新计量设定受益计划变动额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w:t>
            </w:r>
            <w:r>
              <w:rPr>
                <w:color w:val="000000" w:themeColor="text1"/>
              </w:rPr>
              <w:t>2</w:t>
            </w:r>
            <w:r>
              <w:rPr>
                <w:rFonts w:hint="eastAsia"/>
                <w:color w:val="000000" w:themeColor="text1"/>
              </w:rPr>
              <w:t>）</w:t>
            </w:r>
            <w:r>
              <w:rPr>
                <w:color w:val="000000" w:themeColor="text1"/>
              </w:rPr>
              <w:t>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lastRenderedPageBreak/>
              <w:t>（3）</w:t>
            </w:r>
            <w:r>
              <w:rPr>
                <w:color w:val="000000" w:themeColor="text1"/>
              </w:rPr>
              <w:t>其他权益工具投资公允价值变动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（4）</w:t>
            </w:r>
            <w:r>
              <w:rPr>
                <w:color w:val="000000" w:themeColor="text1"/>
              </w:rPr>
              <w:t>企业自身信用风险公允价值变动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rPr>
          <w:trHeight w:val="90"/>
        </w:trPr>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2.</w:t>
            </w:r>
            <w:r>
              <w:rPr>
                <w:rFonts w:hint="eastAsia"/>
                <w:color w:val="000000" w:themeColor="text1"/>
              </w:rPr>
              <w:t>将重分类进损益的其他综合收益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911,143.30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1,561,963.38</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（1）</w:t>
            </w:r>
            <w:r>
              <w:rPr>
                <w:color w:val="000000" w:themeColor="text1"/>
              </w:rPr>
              <w:t>权益法下可转损益的其他综合收益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911,143.30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1,561,963.38</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w:t>
            </w:r>
            <w:r>
              <w:rPr>
                <w:color w:val="000000" w:themeColor="text1"/>
              </w:rPr>
              <w:t>2</w:t>
            </w:r>
            <w:r>
              <w:rPr>
                <w:rFonts w:hint="eastAsia"/>
                <w:color w:val="000000" w:themeColor="text1"/>
              </w:rPr>
              <w:t>）</w:t>
            </w:r>
            <w:r>
              <w:rPr>
                <w:color w:val="000000" w:themeColor="text1"/>
              </w:rPr>
              <w:t>其他债权投资公允价值变动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（3）</w:t>
            </w:r>
            <w:r>
              <w:rPr>
                <w:color w:val="000000" w:themeColor="text1"/>
              </w:rPr>
              <w:t>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（4）</w:t>
            </w:r>
            <w:r>
              <w:rPr>
                <w:color w:val="000000" w:themeColor="text1"/>
              </w:rPr>
              <w:t>其他债权投资信用减值准备</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（5）</w:t>
            </w:r>
            <w:r>
              <w:rPr>
                <w:color w:val="000000" w:themeColor="text1"/>
              </w:rPr>
              <w:t>现金流量套期储备</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（6）</w:t>
            </w:r>
            <w:r>
              <w:rPr>
                <w:color w:val="000000" w:themeColor="text1"/>
              </w:rPr>
              <w:t>外币财务报表折算差额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（7）</w:t>
            </w:r>
            <w:r>
              <w:rPr>
                <w:color w:val="000000" w:themeColor="text1"/>
              </w:rPr>
              <w:t>其他</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（二）归属于少数股东的其他综合收益的税后净额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七、综合收益总额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tcPr>
          <w:p w:rsidR="000C5659" w:rsidRDefault="000E33C4">
            <w:pPr>
              <w:jc w:val="right"/>
              <w:textAlignment w:val="top"/>
              <w:rPr>
                <w:rFonts w:asciiTheme="minorEastAsia" w:eastAsiaTheme="minorEastAsia" w:hAnsiTheme="minorEastAsia" w:cstheme="minorEastAsia"/>
              </w:rPr>
            </w:pPr>
            <w:r>
              <w:rPr>
                <w:rFonts w:hint="eastAsia"/>
                <w:color w:val="000000"/>
                <w:lang w:bidi="ar"/>
              </w:rPr>
              <w:t>32,844,256.20</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38,128,847.43</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color w:val="000000" w:themeColor="text1"/>
              </w:rPr>
              <w:t>（一）</w:t>
            </w:r>
            <w:r>
              <w:rPr>
                <w:rFonts w:hint="eastAsia"/>
                <w:color w:val="000000" w:themeColor="text1"/>
              </w:rPr>
              <w:t>归属于母公司所有者的综合收益总额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tcPr>
          <w:p w:rsidR="000C5659" w:rsidRDefault="000E33C4">
            <w:pPr>
              <w:jc w:val="right"/>
              <w:textAlignment w:val="top"/>
              <w:rPr>
                <w:rFonts w:asciiTheme="minorEastAsia" w:eastAsiaTheme="minorEastAsia" w:hAnsiTheme="minorEastAsia" w:cstheme="minorEastAsia"/>
              </w:rPr>
            </w:pPr>
            <w:r>
              <w:rPr>
                <w:rFonts w:hint="eastAsia"/>
                <w:color w:val="000000"/>
                <w:lang w:bidi="ar"/>
              </w:rPr>
              <w:t>34,054,021.39</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38,128,847.43</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color w:val="000000" w:themeColor="text1"/>
              </w:rPr>
              <w:t>（二）</w:t>
            </w:r>
            <w:r>
              <w:rPr>
                <w:rFonts w:hint="eastAsia"/>
                <w:color w:val="000000" w:themeColor="text1"/>
              </w:rPr>
              <w:t>归属于少数股东的综合收益总额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009" w:type="dxa"/>
            <w:tcBorders>
              <w:top w:val="outset" w:sz="4" w:space="0" w:color="auto"/>
              <w:left w:val="outset" w:sz="4" w:space="0" w:color="auto"/>
              <w:bottom w:val="outset" w:sz="4" w:space="0" w:color="auto"/>
              <w:right w:val="outset" w:sz="4" w:space="0" w:color="auto"/>
            </w:tcBorders>
          </w:tcPr>
          <w:p w:rsidR="000C5659" w:rsidRDefault="000E33C4">
            <w:pPr>
              <w:jc w:val="right"/>
              <w:textAlignment w:val="top"/>
              <w:rPr>
                <w:rFonts w:asciiTheme="minorEastAsia" w:eastAsiaTheme="minorEastAsia" w:hAnsiTheme="minorEastAsia" w:cstheme="minorEastAsia"/>
              </w:rPr>
            </w:pPr>
            <w:r>
              <w:rPr>
                <w:rFonts w:hint="eastAsia"/>
                <w:color w:val="000000"/>
                <w:lang w:bidi="ar"/>
              </w:rPr>
              <w:t>-1,209,765.19</w:t>
            </w:r>
          </w:p>
        </w:tc>
        <w:tc>
          <w:tcPr>
            <w:tcW w:w="111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sdt>
          <w:sdtPr>
            <w:rPr>
              <w:color w:val="000000" w:themeColor="text1"/>
            </w:rPr>
            <w:tag w:val="_PLD_2faba48500f741229b3467bfe3ce2495"/>
            <w:id w:val="14747421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八、每股收益：</w:t>
                </w:r>
              </w:p>
            </w:tc>
          </w:sdtContent>
        </w:sdt>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color w:val="000000" w:themeColor="text1"/>
              </w:rPr>
              <w:t>（一）基本每股收益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0.33</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0.37</w:t>
            </w:r>
          </w:p>
        </w:tc>
      </w:tr>
      <w:tr w:rsidR="000C5659">
        <w:tc>
          <w:tcPr>
            <w:tcW w:w="1938"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color w:val="000000" w:themeColor="text1"/>
              </w:rPr>
              <w:t>（二）稀释每股收益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0.33</w:t>
            </w:r>
          </w:p>
        </w:tc>
        <w:tc>
          <w:tcPr>
            <w:tcW w:w="1114" w:type="pct"/>
            <w:tcBorders>
              <w:top w:val="outset" w:sz="4" w:space="0" w:color="auto"/>
              <w:left w:val="outset" w:sz="4" w:space="0" w:color="auto"/>
              <w:bottom w:val="outset" w:sz="4" w:space="0" w:color="auto"/>
              <w:right w:val="outset" w:sz="4" w:space="0" w:color="auto"/>
            </w:tcBorders>
          </w:tcPr>
          <w:p w:rsidR="000C5659" w:rsidRDefault="000E33C4">
            <w:pPr>
              <w:jc w:val="right"/>
            </w:pPr>
            <w:r>
              <w:t>0.37</w:t>
            </w:r>
          </w:p>
        </w:tc>
      </w:tr>
    </w:tbl>
    <w:p w:rsidR="000C5659" w:rsidRDefault="000C5659">
      <w:pPr>
        <w:pStyle w:val="Style325"/>
      </w:pPr>
    </w:p>
    <w:p w:rsidR="000C5659" w:rsidRDefault="000E33C4">
      <w:pPr>
        <w:rPr>
          <w:b/>
          <w:color w:val="000000" w:themeColor="text1"/>
        </w:rPr>
      </w:pPr>
      <w:r>
        <w:rPr>
          <w:rFonts w:hint="eastAsia"/>
          <w:color w:val="000000" w:themeColor="text1"/>
        </w:rPr>
        <w:t>本期发生同一控制下企业合并的，被合并方在合并前实现的净利润为：</w:t>
      </w:r>
      <w:sdt>
        <w:sdtPr>
          <w:rPr>
            <w:rFonts w:hint="eastAsia"/>
            <w:color w:val="000000" w:themeColor="text1"/>
          </w:rPr>
          <w:alias w:val="同一控制下的企业合并中被合并方在合并前实现的净利润"/>
          <w:tag w:val="_GBC_0d3f3004d896427080339d4b0e2d499c"/>
          <w:id w:val="-161776492"/>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元, 上期被合并方实现的净利润为： </w:t>
      </w:r>
      <w:sdt>
        <w:sdtPr>
          <w:rPr>
            <w:rFonts w:hint="eastAsia"/>
            <w:color w:val="000000" w:themeColor="text1"/>
          </w:rPr>
          <w:alias w:val="同一控制下的企业合并中被合并方在合并前实现的净利润"/>
          <w:tag w:val="_GBC_7e8cf02e71b9434883c60dcb8fb33270"/>
          <w:id w:val="-1927880349"/>
          <w:placeholder>
            <w:docPart w:val="GBC22222222222222222222222222222"/>
          </w:placeholder>
        </w:sdtPr>
        <w:sdtEndPr>
          <w:rPr>
            <w:rFonts w:hint="default"/>
          </w:rPr>
        </w:sdtEndPr>
        <w:sdtContent>
          <w:r>
            <w:rPr>
              <w:rFonts w:hint="eastAsia"/>
              <w:color w:val="000000" w:themeColor="text1"/>
            </w:rPr>
            <w:t>0</w:t>
          </w:r>
        </w:sdtContent>
      </w:sdt>
      <w:r>
        <w:rPr>
          <w:rFonts w:hint="eastAsia"/>
          <w:color w:val="000000" w:themeColor="text1"/>
        </w:rPr>
        <w:t xml:space="preserve"> 元。</w:t>
      </w:r>
    </w:p>
    <w:p w:rsidR="00616E54" w:rsidRPr="00B820E0" w:rsidRDefault="000E33C4" w:rsidP="00616E54">
      <w:pPr>
        <w:rPr>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84d2ead02dbe49699dff5184a9cd1bd3"/>
          <w:id w:val="-240871275"/>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616E54">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e958f3d59232458da90c4799548d15ea"/>
          <w:id w:val="-490642837"/>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616E54">
        <w:rPr>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83eea96809554a8b86e8c53c6e3da040"/>
          <w:id w:val="226880484"/>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p>
    <w:p w:rsidR="000C5659" w:rsidRDefault="000E33C4">
      <w:pPr>
        <w:pStyle w:val="35"/>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利润表</w:t>
      </w:r>
    </w:p>
    <w:p w:rsidR="000C5659" w:rsidRDefault="000E33C4">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0C5659" w:rsidRDefault="000E33C4">
      <w:pPr>
        <w:snapToGrid w:val="0"/>
        <w:spacing w:line="240" w:lineRule="atLeast"/>
        <w:jc w:val="right"/>
        <w:rPr>
          <w:b/>
          <w:color w:val="000000" w:themeColor="text1"/>
        </w:rPr>
      </w:pPr>
      <w:r>
        <w:rPr>
          <w:color w:val="000000" w:themeColor="text1"/>
        </w:rPr>
        <w:t>单位：</w:t>
      </w:r>
      <w:sdt>
        <w:sdtPr>
          <w:rPr>
            <w:color w:val="000000" w:themeColor="text1"/>
          </w:rPr>
          <w:alias w:val="单位：母公司利润表"/>
          <w:tag w:val="_GBC_955732cd74ff4f1f9b098e70c1b85c60"/>
          <w:id w:val="-1189225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母公司利润表"/>
          <w:tag w:val="_GBC_125a2547934143ccb384434361f57d37"/>
          <w:id w:val="5986020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7"/>
        <w:gridCol w:w="1479"/>
        <w:gridCol w:w="1959"/>
        <w:gridCol w:w="1968"/>
      </w:tblGrid>
      <w:tr w:rsidR="000C5659">
        <w:trPr>
          <w:cantSplit/>
        </w:trPr>
        <w:tc>
          <w:tcPr>
            <w:tcW w:w="1937" w:type="pct"/>
            <w:tcBorders>
              <w:top w:val="outset" w:sz="4" w:space="0" w:color="auto"/>
              <w:left w:val="outset" w:sz="4" w:space="0" w:color="auto"/>
              <w:bottom w:val="outset" w:sz="4" w:space="0" w:color="auto"/>
              <w:right w:val="outset" w:sz="4" w:space="0" w:color="auto"/>
            </w:tcBorders>
            <w:vAlign w:val="center"/>
          </w:tcPr>
          <w:sdt>
            <w:sdtPr>
              <w:rPr>
                <w:rFonts w:hint="eastAsia"/>
                <w:b/>
                <w:color w:val="000000" w:themeColor="text1"/>
              </w:rPr>
              <w:tag w:val="_PLD_2746da9ce382479bbcc34de94cc91419"/>
              <w:id w:val="403655472"/>
            </w:sdtPr>
            <w:sdtEndPr/>
            <w:sdtContent>
              <w:p w:rsidR="000C5659" w:rsidRDefault="000E33C4">
                <w:pPr>
                  <w:ind w:leftChars="-19" w:hangingChars="19" w:hanging="40"/>
                  <w:jc w:val="center"/>
                  <w:rPr>
                    <w:b/>
                    <w:color w:val="000000" w:themeColor="text1"/>
                  </w:rPr>
                </w:pPr>
                <w:r>
                  <w:rPr>
                    <w:rFonts w:hint="eastAsia"/>
                    <w:b/>
                    <w:color w:val="000000" w:themeColor="text1"/>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color w:val="000000" w:themeColor="text1"/>
              </w:rPr>
              <w:tag w:val="_PLD_353d1b95815e4cb9bce619c23384aae7"/>
              <w:id w:val="-885636016"/>
            </w:sdtPr>
            <w:sdtEndPr/>
            <w:sdtContent>
              <w:p w:rsidR="000C5659" w:rsidRDefault="000E33C4">
                <w:pPr>
                  <w:jc w:val="center"/>
                  <w:rPr>
                    <w:b/>
                    <w:color w:val="000000" w:themeColor="text1"/>
                  </w:rPr>
                </w:pPr>
                <w:r>
                  <w:rPr>
                    <w:rFonts w:hint="eastAsia"/>
                    <w:b/>
                    <w:color w:val="000000" w:themeColor="text1"/>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color w:val="000000" w:themeColor="text1"/>
              </w:rPr>
              <w:tag w:val="_PLD_aa6da19e961f4f0aa9c1f47a5d8bdb21"/>
              <w:id w:val="-204024958"/>
            </w:sdtPr>
            <w:sdtEndPr/>
            <w:sdtContent>
              <w:p w:rsidR="000C5659" w:rsidRDefault="000E33C4">
                <w:pPr>
                  <w:jc w:val="center"/>
                  <w:rPr>
                    <w:b/>
                    <w:color w:val="000000" w:themeColor="text1"/>
                  </w:rPr>
                </w:pPr>
                <w:r>
                  <w:rPr>
                    <w:rFonts w:hint="eastAsia"/>
                    <w:b/>
                    <w:color w:val="000000" w:themeColor="text1"/>
                  </w:rPr>
                  <w:t>2024年半年度</w:t>
                </w:r>
              </w:p>
            </w:sdtContent>
          </w:sdt>
        </w:tc>
        <w:tc>
          <w:tcPr>
            <w:tcW w:w="1113" w:type="pct"/>
            <w:tcBorders>
              <w:top w:val="outset" w:sz="4" w:space="0" w:color="auto"/>
              <w:left w:val="outset" w:sz="4" w:space="0" w:color="auto"/>
              <w:bottom w:val="outset" w:sz="4" w:space="0" w:color="auto"/>
              <w:right w:val="outset" w:sz="4" w:space="0" w:color="auto"/>
            </w:tcBorders>
            <w:vAlign w:val="center"/>
          </w:tcPr>
          <w:sdt>
            <w:sdtPr>
              <w:rPr>
                <w:rFonts w:hint="eastAsia"/>
                <w:b/>
                <w:color w:val="000000" w:themeColor="text1"/>
              </w:rPr>
              <w:tag w:val="_PLD_fd6f3d63a7544a05b6f572cee64f39fb"/>
              <w:id w:val="-1681965742"/>
            </w:sdtPr>
            <w:sdtEndPr/>
            <w:sdtContent>
              <w:p w:rsidR="000C5659" w:rsidRDefault="000E33C4">
                <w:pPr>
                  <w:jc w:val="center"/>
                  <w:rPr>
                    <w:b/>
                    <w:color w:val="000000" w:themeColor="text1"/>
                  </w:rPr>
                </w:pPr>
                <w:r>
                  <w:rPr>
                    <w:rFonts w:hint="eastAsia"/>
                    <w:b/>
                    <w:color w:val="000000" w:themeColor="text1"/>
                  </w:rPr>
                  <w:t>2023年半年度</w:t>
                </w:r>
              </w:p>
            </w:sdtContent>
          </w:sdt>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rPr>
                <w:color w:val="000000" w:themeColor="text1"/>
              </w:rPr>
            </w:pPr>
            <w:r>
              <w:rPr>
                <w:rFonts w:hint="eastAsia"/>
                <w:color w:val="000000" w:themeColor="text1"/>
              </w:rPr>
              <w:t>一、营业收入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328,087,084.21</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278,108,927.55</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减：营业成本</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264,544,262.78</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231,998,233.83</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税金及附加</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1,877,764.76</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1,807,676.90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销售费用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30,541,414.75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20,384,595.52</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管理费用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17,396,247.44</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14,928,687.81</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研发费用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4,176,801.16</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3,329,302.86</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财务费用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2,828,807.43</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1,180,905.39</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其中：利息费用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4,345,168.25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1,561,282.16</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600" w:firstLine="1260"/>
              <w:rPr>
                <w:color w:val="000000" w:themeColor="text1"/>
              </w:rPr>
            </w:pPr>
            <w:r>
              <w:rPr>
                <w:rFonts w:hint="eastAsia"/>
                <w:color w:val="000000" w:themeColor="text1"/>
              </w:rPr>
              <w:t>利息收入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90,140.04</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135,117.30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加：其他收益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747,677.94</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757,807.01</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投资收益（损失以“－”号填列）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6,612,955.55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2,588,472.16</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6,655,939.82</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7,381,633.14</w:t>
            </w:r>
          </w:p>
        </w:tc>
      </w:tr>
      <w:tr w:rsidR="000C5659">
        <w:tc>
          <w:tcPr>
            <w:tcW w:w="1937" w:type="pct"/>
            <w:tcBorders>
              <w:top w:val="outset" w:sz="4" w:space="0" w:color="auto"/>
              <w:left w:val="outset" w:sz="4" w:space="0" w:color="auto"/>
              <w:bottom w:val="outset" w:sz="4" w:space="0" w:color="auto"/>
              <w:right w:val="outset" w:sz="4" w:space="0" w:color="auto"/>
            </w:tcBorders>
          </w:tcPr>
          <w:p w:rsidR="000C5659" w:rsidRDefault="000E33C4">
            <w:pPr>
              <w:ind w:firstLineChars="550" w:firstLine="1155"/>
              <w:rPr>
                <w:color w:val="000000" w:themeColor="text1"/>
              </w:rPr>
            </w:pPr>
            <w:r>
              <w:rPr>
                <w:rFonts w:hint="eastAsia"/>
                <w:color w:val="000000" w:themeColor="text1"/>
              </w:rPr>
              <w:lastRenderedPageBreak/>
              <w:t>以摊余成本计量的金融资产终止确认收益（损失以“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净敞口套期收益（损失以“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w:t>
            </w:r>
            <w:r>
              <w:t>42,695.94</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2,873,858.11</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信用减值损失（损失以“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w:t>
            </w:r>
            <w:r>
              <w:t>893,575.68</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117,680.40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资产减值损失（损失以“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w:t>
            </w:r>
            <w:r>
              <w:t>243,343.60</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92,940.54</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300" w:firstLine="630"/>
              <w:rPr>
                <w:color w:val="000000" w:themeColor="text1"/>
              </w:rPr>
            </w:pPr>
            <w:r>
              <w:rPr>
                <w:rFonts w:hint="eastAsia"/>
                <w:color w:val="000000" w:themeColor="text1"/>
              </w:rPr>
              <w:t>资产处置收益（损失以“－”号填列）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w:t>
            </w:r>
            <w:r>
              <w:t>83,574.82</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11,892.87</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rPr>
                <w:color w:val="000000" w:themeColor="text1"/>
              </w:rPr>
            </w:pPr>
            <w:r>
              <w:rPr>
                <w:rFonts w:hint="eastAsia"/>
                <w:color w:val="000000" w:themeColor="text1"/>
              </w:rPr>
              <w:t>二、营业利润（亏损以“－”号填列）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12,819,229.34</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10,922,176.33</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加：营业外收入</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1,873.55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3,218.10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减：营业外支出</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107,216.84</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17,204.00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rPr>
                <w:color w:val="000000" w:themeColor="text1"/>
              </w:rPr>
            </w:pPr>
            <w:r>
              <w:rPr>
                <w:rFonts w:hint="eastAsia"/>
                <w:color w:val="000000" w:themeColor="text1"/>
              </w:rPr>
              <w:t>三、利润总额（亏损总额以“－”号填列）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12,713,886.05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10,908,190.43</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firstLineChars="200" w:firstLine="420"/>
              <w:rPr>
                <w:color w:val="000000" w:themeColor="text1"/>
              </w:rPr>
            </w:pPr>
            <w:r>
              <w:rPr>
                <w:rFonts w:hint="eastAsia"/>
                <w:color w:val="000000" w:themeColor="text1"/>
              </w:rPr>
              <w:t>减：所得税费用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2,362,482.90</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824,187.13</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rPr>
                <w:color w:val="000000" w:themeColor="text1"/>
              </w:rPr>
            </w:pPr>
            <w:r>
              <w:rPr>
                <w:rFonts w:hint="eastAsia"/>
                <w:color w:val="000000" w:themeColor="text1"/>
              </w:rPr>
              <w:t>四、净利润（净亏损以“－”号填列）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10,351,403.15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10,084,003.30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8" w:firstLine="227"/>
              <w:rPr>
                <w:color w:val="000000" w:themeColor="text1"/>
              </w:rPr>
            </w:pPr>
            <w:r>
              <w:rPr>
                <w:rFonts w:hint="eastAsia"/>
                <w:color w:val="000000" w:themeColor="text1"/>
              </w:rPr>
              <w:t>（一）</w:t>
            </w:r>
            <w:r>
              <w:rPr>
                <w:color w:val="000000" w:themeColor="text1"/>
              </w:rPr>
              <w:t>持续经营净利润（净亏损以“－”号填列）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t>10,351,403.15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10,084,003.30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8" w:firstLine="227"/>
              <w:rPr>
                <w:color w:val="000000" w:themeColor="text1"/>
              </w:rPr>
            </w:pPr>
            <w:r>
              <w:rPr>
                <w:rFonts w:hint="eastAsia"/>
                <w:color w:val="000000" w:themeColor="text1"/>
              </w:rPr>
              <w:t>（二）终止经营净利润（净亏损以“－”号填列）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Chars="-19" w:hangingChars="19" w:hanging="40"/>
              <w:rPr>
                <w:color w:val="000000" w:themeColor="text1"/>
              </w:rPr>
            </w:pPr>
            <w:r>
              <w:rPr>
                <w:rFonts w:hint="eastAsia"/>
                <w:color w:val="000000" w:themeColor="text1"/>
              </w:rPr>
              <w:t>五、其他综合收益的税后净额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911,143.30</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1,561,963.38</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（一）不能重分类进损益的其他综合收益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1.重新计量设定受益计划变动额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2.权益法下不能转损益的其他综合收益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3.其他权益工具投资公允价值变动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4.企业自身信用风险公允价值变动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100" w:firstLine="210"/>
              <w:rPr>
                <w:color w:val="000000" w:themeColor="text1"/>
              </w:rPr>
            </w:pPr>
            <w:r>
              <w:rPr>
                <w:rFonts w:hint="eastAsia"/>
                <w:color w:val="000000" w:themeColor="text1"/>
              </w:rPr>
              <w:t>（二）将重分类进损益的其他综合收益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911,143.30</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1,561,963.38</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1.权益法下可转损益的其他综合收益</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911,143.30</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1,561,963.38</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2.其他债权投资公允价值变动</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3.金融资产重分类计入其他综合收益的金额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4.其他债权投资信用减值准备</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5.现金流量套期储备</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6.外币财务报表折算差额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firstLineChars="200" w:firstLine="420"/>
              <w:rPr>
                <w:color w:val="000000" w:themeColor="text1"/>
              </w:rPr>
            </w:pPr>
            <w:r>
              <w:rPr>
                <w:color w:val="000000" w:themeColor="text1"/>
              </w:rPr>
              <w:t>7.其他</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13"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rPr>
                <w:color w:val="000000" w:themeColor="text1"/>
              </w:rPr>
            </w:pPr>
            <w:r>
              <w:rPr>
                <w:rFonts w:hint="eastAsia"/>
                <w:color w:val="000000" w:themeColor="text1"/>
              </w:rPr>
              <w:t>六、综合收益总额</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11,262,546.45</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11,645,966.68</w:t>
            </w:r>
          </w:p>
        </w:tc>
      </w:tr>
      <w:tr w:rsidR="000C5659">
        <w:sdt>
          <w:sdtPr>
            <w:rPr>
              <w:color w:val="000000" w:themeColor="text1"/>
            </w:rPr>
            <w:tag w:val="_PLD_302a225367d84b88a766d8daaf22e468"/>
            <w:id w:val="-71797427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C5659" w:rsidRDefault="000E33C4">
                <w:pPr>
                  <w:rPr>
                    <w:color w:val="000000" w:themeColor="text1"/>
                  </w:rPr>
                </w:pPr>
                <w:r>
                  <w:rPr>
                    <w:rFonts w:hint="eastAsia"/>
                    <w:color w:val="000000" w:themeColor="text1"/>
                  </w:rPr>
                  <w:t>七</w:t>
                </w:r>
                <w:r>
                  <w:rPr>
                    <w:color w:val="000000" w:themeColor="text1"/>
                  </w:rPr>
                  <w:t>、每股收益：</w:t>
                </w:r>
              </w:p>
            </w:tc>
          </w:sdtContent>
        </w:sdt>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firstLineChars="200" w:firstLine="420"/>
              <w:rPr>
                <w:color w:val="000000" w:themeColor="text1"/>
              </w:rPr>
            </w:pPr>
            <w:r>
              <w:rPr>
                <w:color w:val="000000" w:themeColor="text1"/>
              </w:rPr>
              <w:t>（一）基本每股收益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0.10</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0.10</w:t>
            </w:r>
          </w:p>
        </w:tc>
      </w:tr>
      <w:tr w:rsidR="000C5659">
        <w:tc>
          <w:tcPr>
            <w:tcW w:w="1937" w:type="pct"/>
            <w:tcBorders>
              <w:top w:val="outset" w:sz="4" w:space="0" w:color="auto"/>
              <w:left w:val="outset" w:sz="4" w:space="0" w:color="auto"/>
              <w:bottom w:val="outset" w:sz="4" w:space="0" w:color="auto"/>
              <w:right w:val="outset" w:sz="4" w:space="0" w:color="auto"/>
            </w:tcBorders>
            <w:vAlign w:val="center"/>
          </w:tcPr>
          <w:p w:rsidR="000C5659" w:rsidRDefault="000E33C4">
            <w:pPr>
              <w:ind w:left="-19" w:firstLineChars="200" w:firstLine="420"/>
              <w:rPr>
                <w:color w:val="000000" w:themeColor="text1"/>
              </w:rPr>
            </w:pPr>
            <w:r>
              <w:rPr>
                <w:color w:val="000000" w:themeColor="text1"/>
              </w:rPr>
              <w:t>（二）稀释每股收益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10"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0.10</w:t>
            </w:r>
          </w:p>
        </w:tc>
        <w:tc>
          <w:tcPr>
            <w:tcW w:w="1113" w:type="pct"/>
            <w:tcBorders>
              <w:top w:val="outset" w:sz="4" w:space="0" w:color="auto"/>
              <w:left w:val="outset" w:sz="4" w:space="0" w:color="auto"/>
              <w:bottom w:val="outset" w:sz="4" w:space="0" w:color="auto"/>
              <w:right w:val="outset" w:sz="4" w:space="0" w:color="auto"/>
            </w:tcBorders>
          </w:tcPr>
          <w:p w:rsidR="000C5659" w:rsidRDefault="000E33C4">
            <w:pPr>
              <w:jc w:val="right"/>
            </w:pPr>
            <w:r>
              <w:t>0.10</w:t>
            </w:r>
          </w:p>
        </w:tc>
      </w:tr>
    </w:tbl>
    <w:p w:rsidR="000C5659" w:rsidRDefault="000C5659">
      <w:pPr>
        <w:rPr>
          <w:color w:val="000000" w:themeColor="text1"/>
        </w:rPr>
      </w:pPr>
    </w:p>
    <w:p w:rsidR="000C5659" w:rsidRPr="00616E54" w:rsidRDefault="000E33C4" w:rsidP="00616E54">
      <w:pPr>
        <w:snapToGrid w:val="0"/>
        <w:spacing w:line="240" w:lineRule="atLeast"/>
        <w:ind w:rightChars="-73" w:right="-153"/>
        <w:rPr>
          <w:rFonts w:cs="宋体-方正超大字符集"/>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6be9c51ef68a40f0b60486f4414f2413"/>
          <w:id w:val="1937550119"/>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616E54">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ac91a6c67f0a401ab312a449bd87b833"/>
          <w:id w:val="1415129158"/>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B820E0">
        <w:rPr>
          <w:color w:val="000000" w:themeColor="text1"/>
        </w:rPr>
        <w:t xml:space="preserve">       </w:t>
      </w:r>
      <w:r w:rsidR="00616E54">
        <w:rPr>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60f6b900783346cfad817de4d84acf5e"/>
          <w:id w:val="1511026334"/>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bookmarkEnd w:id="105"/>
    </w:p>
    <w:p w:rsidR="000C5659" w:rsidRDefault="000E33C4">
      <w:pPr>
        <w:pStyle w:val="35"/>
        <w:jc w:val="center"/>
        <w:rPr>
          <w:rFonts w:ascii="宋体" w:hAnsi="宋体"/>
          <w:color w:val="000000" w:themeColor="text1"/>
        </w:rPr>
      </w:pPr>
      <w:bookmarkStart w:id="106" w:name="_Hlk10211590"/>
      <w:r>
        <w:rPr>
          <w:rFonts w:ascii="宋体" w:hAnsi="宋体" w:hint="eastAsia"/>
          <w:color w:val="000000" w:themeColor="text1"/>
        </w:rPr>
        <w:t>合并</w:t>
      </w:r>
      <w:r>
        <w:rPr>
          <w:rFonts w:ascii="宋体" w:hAnsi="宋体"/>
          <w:color w:val="000000" w:themeColor="text1"/>
        </w:rPr>
        <w:t>现金流量表</w:t>
      </w:r>
    </w:p>
    <w:p w:rsidR="000C5659" w:rsidRDefault="000E33C4">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0C5659" w:rsidRDefault="000E33C4">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合并现金流量表"/>
          <w:tag w:val="_GBC_7049413ddb8f4e5eac9cb9fb4f802433"/>
          <w:id w:val="2389835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r>
        <w:rPr>
          <w:rFonts w:hint="eastAsia"/>
          <w:color w:val="000000" w:themeColor="text1"/>
        </w:rPr>
        <w:t>：</w:t>
      </w:r>
      <w:sdt>
        <w:sdtPr>
          <w:rPr>
            <w:rFonts w:hint="eastAsia"/>
            <w:color w:val="000000" w:themeColor="text1"/>
          </w:rPr>
          <w:alias w:val="币种：合并现金流量表"/>
          <w:tag w:val="_GBC_5ab1c6e244484b228b8cdc6ee3840fd6"/>
          <w:id w:val="-7977582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00"/>
        <w:gridCol w:w="678"/>
        <w:gridCol w:w="2119"/>
        <w:gridCol w:w="2126"/>
      </w:tblGrid>
      <w:tr w:rsidR="000C5659">
        <w:sdt>
          <w:sdtPr>
            <w:rPr>
              <w:color w:val="000000" w:themeColor="text1"/>
            </w:rPr>
            <w:tag w:val="_PLD_2a3b6af3ab824e2db1022630f7a58e18"/>
            <w:id w:val="147467582"/>
          </w:sdtPr>
          <w:sdtEndPr/>
          <w:sdtContent>
            <w:tc>
              <w:tcPr>
                <w:tcW w:w="2210" w:type="pct"/>
                <w:tcBorders>
                  <w:top w:val="outset" w:sz="4" w:space="0" w:color="auto"/>
                  <w:left w:val="outset" w:sz="4" w:space="0" w:color="auto"/>
                  <w:bottom w:val="outset" w:sz="4" w:space="0" w:color="auto"/>
                  <w:right w:val="outset" w:sz="4" w:space="0" w:color="auto"/>
                </w:tcBorders>
              </w:tcPr>
              <w:p w:rsidR="000C5659" w:rsidRDefault="000E33C4">
                <w:pPr>
                  <w:jc w:val="center"/>
                  <w:rPr>
                    <w:b/>
                    <w:color w:val="000000" w:themeColor="text1"/>
                  </w:rPr>
                </w:pPr>
                <w:r>
                  <w:rPr>
                    <w:b/>
                    <w:color w:val="000000" w:themeColor="text1"/>
                  </w:rPr>
                  <w:t>项目</w:t>
                </w:r>
              </w:p>
            </w:tc>
          </w:sdtContent>
        </w:sdt>
        <w:sdt>
          <w:sdtPr>
            <w:rPr>
              <w:color w:val="000000" w:themeColor="text1"/>
            </w:rPr>
            <w:tag w:val="_PLD_49df1a6f5a224085bdcd56671a898d47"/>
            <w:id w:val="147472088"/>
          </w:sdtPr>
          <w:sdtEndPr/>
          <w:sdtContent>
            <w:tc>
              <w:tcPr>
                <w:tcW w:w="384" w:type="pct"/>
                <w:tcBorders>
                  <w:top w:val="outset" w:sz="4" w:space="0" w:color="auto"/>
                  <w:left w:val="outset" w:sz="4" w:space="0" w:color="auto"/>
                  <w:bottom w:val="outset" w:sz="4" w:space="0" w:color="auto"/>
                  <w:right w:val="outset" w:sz="4" w:space="0" w:color="auto"/>
                </w:tcBorders>
              </w:tcPr>
              <w:p w:rsidR="000C5659" w:rsidRDefault="000E33C4">
                <w:pPr>
                  <w:jc w:val="center"/>
                  <w:rPr>
                    <w:b/>
                    <w:color w:val="000000" w:themeColor="text1"/>
                  </w:rPr>
                </w:pPr>
                <w:r>
                  <w:rPr>
                    <w:b/>
                    <w:color w:val="000000" w:themeColor="text1"/>
                  </w:rPr>
                  <w:t>附注</w:t>
                </w:r>
              </w:p>
            </w:tc>
          </w:sdtContent>
        </w:sdt>
        <w:sdt>
          <w:sdtPr>
            <w:rPr>
              <w:color w:val="000000" w:themeColor="text1"/>
            </w:rPr>
            <w:tag w:val="_PLD_aba5e14092764f689b78fdbe9892bc51"/>
            <w:id w:val="147466184"/>
          </w:sdtPr>
          <w:sdtEndPr/>
          <w:sdtContent>
            <w:tc>
              <w:tcPr>
                <w:tcW w:w="1201" w:type="pct"/>
                <w:tcBorders>
                  <w:top w:val="outset" w:sz="4" w:space="0" w:color="auto"/>
                  <w:left w:val="outset" w:sz="4" w:space="0" w:color="auto"/>
                  <w:bottom w:val="outset" w:sz="4" w:space="0" w:color="auto"/>
                  <w:right w:val="outset" w:sz="4" w:space="0" w:color="auto"/>
                </w:tcBorders>
              </w:tcPr>
              <w:p w:rsidR="000C5659" w:rsidRDefault="000E33C4">
                <w:pPr>
                  <w:autoSpaceDE w:val="0"/>
                  <w:autoSpaceDN w:val="0"/>
                  <w:adjustRightInd w:val="0"/>
                  <w:jc w:val="center"/>
                  <w:rPr>
                    <w:b/>
                    <w:color w:val="000000" w:themeColor="text1"/>
                  </w:rPr>
                </w:pPr>
                <w:r>
                  <w:rPr>
                    <w:rFonts w:hint="eastAsia"/>
                    <w:b/>
                    <w:color w:val="000000" w:themeColor="text1"/>
                  </w:rPr>
                  <w:t>2024年半年度</w:t>
                </w:r>
              </w:p>
            </w:tc>
          </w:sdtContent>
        </w:sdt>
        <w:sdt>
          <w:sdtPr>
            <w:rPr>
              <w:color w:val="000000" w:themeColor="text1"/>
            </w:rPr>
            <w:tag w:val="_PLD_8cac70c6f00c4266a9b8cff482cc71cc"/>
            <w:id w:val="147475726"/>
          </w:sdtPr>
          <w:sdtEndPr/>
          <w:sdtContent>
            <w:tc>
              <w:tcPr>
                <w:tcW w:w="1204" w:type="pct"/>
                <w:tcBorders>
                  <w:top w:val="outset" w:sz="4" w:space="0" w:color="auto"/>
                  <w:left w:val="outset" w:sz="4" w:space="0" w:color="auto"/>
                  <w:bottom w:val="outset" w:sz="4" w:space="0" w:color="auto"/>
                  <w:right w:val="outset" w:sz="4" w:space="0" w:color="auto"/>
                </w:tcBorders>
              </w:tcPr>
              <w:p w:rsidR="000C5659" w:rsidRDefault="000E33C4">
                <w:pPr>
                  <w:autoSpaceDE w:val="0"/>
                  <w:autoSpaceDN w:val="0"/>
                  <w:adjustRightInd w:val="0"/>
                  <w:jc w:val="center"/>
                  <w:rPr>
                    <w:b/>
                    <w:color w:val="000000" w:themeColor="text1"/>
                  </w:rPr>
                </w:pPr>
                <w:r>
                  <w:rPr>
                    <w:rFonts w:hint="eastAsia"/>
                    <w:b/>
                    <w:color w:val="000000" w:themeColor="text1"/>
                  </w:rPr>
                  <w:t>2023年半年度</w:t>
                </w:r>
              </w:p>
            </w:tc>
          </w:sdtContent>
        </w:sdt>
      </w:tr>
      <w:tr w:rsidR="000C5659">
        <w:sdt>
          <w:sdtPr>
            <w:rPr>
              <w:color w:val="000000" w:themeColor="text1"/>
            </w:rPr>
            <w:tag w:val="_PLD_ffd119a1ffa641c1a00397806a78ee23"/>
            <w:id w:val="147476747"/>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一、经营活动产生的现金流量：</w:t>
                </w:r>
              </w:p>
            </w:tc>
          </w:sdtContent>
        </w:sdt>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销售商品、提供劳务收到的现金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614,269,547.60</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488,160,487.23</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客户存款和同业存放款项净增加额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向中央银行借款净增加额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向其他金融机构拆入资金净增加额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收到原保险合同保费取得的现金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收到再保业务现金净额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保户储金及投资款净增加额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收取利息、手续费及佣金的现金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拆入资金净增加额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回购业务资金净增加额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代理买卖证券收到的现金净额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收到的税费返还</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25,251,542.05</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18,282,567.43</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收到其他与经营活动有关的现金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9,459,458.88</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8,909,377.77</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经营活动现金流入小计</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648,980,548.53</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515,352,432.43</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购买商品、接受劳务支付的现金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376,273,975.04</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289,368,468.45</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客户贷款及垫款净增加额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存放中央银行和同业款项净增加额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支付原保险合同赔付款项的现金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拆出资金净增加额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支付利息、手续费及佣金的现金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支付保单红利的现金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支付给职工及为职工支付的现金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139,301,274.46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115,588,292.45</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支付的各项税费</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18,287,719.63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19,724,092.06</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支付其他与经营活动有关的现金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49,707,466.43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38,271,356.19</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经营活动现金流出小计</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583,570,435.56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462,952,209.15</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300" w:firstLine="630"/>
              <w:rPr>
                <w:color w:val="000000" w:themeColor="text1"/>
              </w:rPr>
            </w:pPr>
            <w:r>
              <w:rPr>
                <w:rFonts w:hint="eastAsia"/>
                <w:color w:val="000000" w:themeColor="text1"/>
              </w:rPr>
              <w:t>经营活动产生的现金流量净额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65,410,112.97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52,400,223.28</w:t>
            </w:r>
          </w:p>
        </w:tc>
      </w:tr>
      <w:tr w:rsidR="000C5659">
        <w:sdt>
          <w:sdtPr>
            <w:rPr>
              <w:color w:val="000000" w:themeColor="text1"/>
            </w:rPr>
            <w:tag w:val="_PLD_95b1c638e8714129b03173a0758b863f"/>
            <w:id w:val="147451257"/>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二、投资活动产生的现金流量：</w:t>
                </w:r>
              </w:p>
            </w:tc>
          </w:sdtContent>
        </w:sdt>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收回投资收到的现金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293,982,240.61</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取得投资收益收到的现金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725,830.11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1,235,433.31</w:t>
            </w:r>
          </w:p>
        </w:tc>
      </w:tr>
      <w:tr w:rsidR="000C5659">
        <w:trPr>
          <w:trHeight w:val="90"/>
        </w:trPr>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处置固定资产、无形资产和其他长期资产收回的现金净额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22,108.38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64,988.27</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处置子公司及其他营业单位收到的现金净额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收到其他与投资活动有关的现金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投资活动现金流入小计</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747,938.49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295,282,662.19</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购建固定资产、无形资产和其他长期资产支付的现金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25,360,384.39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17,491,092.49</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投资支付的现金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31,564,730.00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342,528,241.06</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lastRenderedPageBreak/>
              <w:t>质押贷款净增加额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取得子公司及其他营业单位支付的现金净额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89,686,929.82 </w:t>
            </w: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支付其他与投资活动有关的现金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投资活动现金流出小计</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146,612,044.21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360,019,333.55</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300" w:firstLine="630"/>
              <w:rPr>
                <w:color w:val="000000" w:themeColor="text1"/>
              </w:rPr>
            </w:pPr>
            <w:r>
              <w:rPr>
                <w:rFonts w:hint="eastAsia"/>
                <w:color w:val="000000" w:themeColor="text1"/>
              </w:rPr>
              <w:t>投资活动产生的现金流量净额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 xml:space="preserve"> -145,864,105.72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textAlignment w:val="top"/>
              <w:rPr>
                <w:color w:val="000000"/>
                <w:lang w:bidi="ar"/>
              </w:rPr>
            </w:pPr>
            <w:r>
              <w:rPr>
                <w:rFonts w:hint="eastAsia"/>
                <w:color w:val="000000"/>
                <w:lang w:bidi="ar"/>
              </w:rPr>
              <w:t>-64,736,671.36</w:t>
            </w:r>
          </w:p>
        </w:tc>
      </w:tr>
      <w:tr w:rsidR="000C5659">
        <w:sdt>
          <w:sdtPr>
            <w:rPr>
              <w:color w:val="000000" w:themeColor="text1"/>
            </w:rPr>
            <w:tag w:val="_PLD_0ebd9a8b5d8e4227a6bc3b0738379ef1"/>
            <w:id w:val="147477393"/>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三、筹资活动产生的现金流量：</w:t>
                </w:r>
              </w:p>
            </w:tc>
          </w:sdtContent>
        </w:sdt>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吸收投资收到的现金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2,483,523.60</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其中：子公司吸收少数股东投资收到的现金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取得借款收到的现金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265,754,601.69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271,250,000.00</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收到其他与筹资活动有关的现金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筹资活动现金流入小计</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265,754,601.69</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273,733,523.60</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偿还债务支付的现金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lang w:bidi="ar"/>
              </w:rPr>
              <w:t>180,790,000.00</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104,500,000.00</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分配股利、利润或偿付利息支付的现金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rPr>
            </w:pPr>
            <w:r>
              <w:t>7,507,876.48</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9,706,570.55</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其中：子公司支付给少数股东的股利、利润</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textAlignment w:val="bottom"/>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支付其他与筹资活动有关的现金</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rPr>
              <w:t>120,396.00</w:t>
            </w: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筹资活动现金流出小计</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hint="eastAsia"/>
                <w:color w:val="000000"/>
              </w:rPr>
              <w:t xml:space="preserve">188,418,272.48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114,206,570.55</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300" w:firstLine="630"/>
              <w:rPr>
                <w:color w:val="000000" w:themeColor="text1"/>
              </w:rPr>
            </w:pPr>
            <w:r>
              <w:rPr>
                <w:rFonts w:hint="eastAsia"/>
                <w:color w:val="000000" w:themeColor="text1"/>
              </w:rPr>
              <w:t>筹资活动产生的现金流量净额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color w:val="000000"/>
              </w:rPr>
              <w:t>7</w:t>
            </w:r>
            <w:r>
              <w:rPr>
                <w:rFonts w:asciiTheme="minorEastAsia" w:eastAsiaTheme="minorEastAsia" w:hAnsiTheme="minorEastAsia" w:hint="eastAsia"/>
                <w:color w:val="000000"/>
              </w:rPr>
              <w:t xml:space="preserve">7,336,329.21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159,526,953.05</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四、汇率变动对现金及现金等价物的影响</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201" w:type="pct"/>
            <w:tcBorders>
              <w:top w:val="outset" w:sz="4" w:space="0" w:color="auto"/>
              <w:left w:val="outset" w:sz="4" w:space="0" w:color="auto"/>
              <w:bottom w:val="outset" w:sz="4" w:space="0" w:color="auto"/>
              <w:right w:val="outset" w:sz="4" w:space="0" w:color="auto"/>
            </w:tcBorders>
            <w:vAlign w:val="bottom"/>
          </w:tcPr>
          <w:p w:rsidR="000C5659" w:rsidRDefault="000C5659">
            <w:pPr>
              <w:jc w:val="right"/>
              <w:textAlignment w:val="bottom"/>
              <w:rPr>
                <w:rFonts w:asciiTheme="minorEastAsia" w:eastAsiaTheme="minorEastAsia" w:hAnsiTheme="minorEastAsia" w:cstheme="minorEastAsia"/>
              </w:rPr>
            </w:pPr>
          </w:p>
        </w:tc>
        <w:tc>
          <w:tcPr>
            <w:tcW w:w="1204"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五、现金及现金等价物净增加额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174" w:type="dxa"/>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-3,117,663.54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147,190,504.97</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加：期初现金及现金等价物余额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174" w:type="dxa"/>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46,468,830.57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113,433,633.46</w:t>
            </w:r>
          </w:p>
        </w:tc>
      </w:tr>
      <w:tr w:rsidR="000C5659">
        <w:tc>
          <w:tcPr>
            <w:tcW w:w="2210" w:type="pct"/>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六、期末现金及现金等价物余额</w:t>
            </w:r>
          </w:p>
        </w:tc>
        <w:tc>
          <w:tcPr>
            <w:tcW w:w="384"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2174" w:type="dxa"/>
            <w:tcBorders>
              <w:top w:val="outset" w:sz="4" w:space="0" w:color="auto"/>
              <w:left w:val="outset" w:sz="4" w:space="0" w:color="auto"/>
              <w:bottom w:val="outset" w:sz="4" w:space="0" w:color="auto"/>
              <w:right w:val="outset" w:sz="4" w:space="0" w:color="auto"/>
            </w:tcBorders>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43,351,167.03 </w:t>
            </w:r>
          </w:p>
        </w:tc>
        <w:tc>
          <w:tcPr>
            <w:tcW w:w="1204" w:type="pct"/>
            <w:tcBorders>
              <w:top w:val="outset" w:sz="4" w:space="0" w:color="auto"/>
              <w:left w:val="outset" w:sz="4" w:space="0" w:color="auto"/>
              <w:bottom w:val="outset" w:sz="4" w:space="0" w:color="auto"/>
              <w:right w:val="outset" w:sz="4" w:space="0" w:color="auto"/>
            </w:tcBorders>
          </w:tcPr>
          <w:p w:rsidR="000C5659" w:rsidRDefault="000E33C4">
            <w:pPr>
              <w:jc w:val="right"/>
            </w:pPr>
            <w:r>
              <w:t>260,624,138.43</w:t>
            </w:r>
          </w:p>
        </w:tc>
      </w:tr>
    </w:tbl>
    <w:p w:rsidR="000C5659" w:rsidRDefault="000C5659"/>
    <w:p w:rsidR="000C5659" w:rsidRDefault="000E33C4" w:rsidP="00B820E0">
      <w:pPr>
        <w:snapToGrid w:val="0"/>
        <w:spacing w:line="240" w:lineRule="atLeast"/>
        <w:ind w:rightChars="12" w:right="25"/>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d1f7cb193ab444ff8482a06aad12f0db"/>
          <w:id w:val="1603060886"/>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616E54">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45110b4746914613a7aad68cef7b1bed"/>
          <w:id w:val="248166273"/>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B820E0">
        <w:rPr>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e7d70223996e482d9871cfff87704452"/>
          <w:id w:val="784694351"/>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p>
    <w:p w:rsidR="000C5659" w:rsidRDefault="000E33C4">
      <w:pPr>
        <w:pStyle w:val="35"/>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现金流量表</w:t>
      </w:r>
    </w:p>
    <w:p w:rsidR="000C5659" w:rsidRDefault="000E33C4">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0C5659" w:rsidRDefault="000E33C4">
      <w:pPr>
        <w:jc w:val="right"/>
        <w:rPr>
          <w:color w:val="000000" w:themeColor="text1"/>
        </w:rPr>
      </w:pPr>
      <w:r>
        <w:rPr>
          <w:color w:val="000000" w:themeColor="text1"/>
        </w:rPr>
        <w:t>单位：</w:t>
      </w:r>
      <w:sdt>
        <w:sdtPr>
          <w:rPr>
            <w:color w:val="000000" w:themeColor="text1"/>
          </w:rPr>
          <w:alias w:val="单位：母公司现金流量表"/>
          <w:tag w:val="_GBC_993ead81b27a41dfaccaacfaec8b7c78"/>
          <w:id w:val="12204758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母公司现金流量表"/>
          <w:tag w:val="_GBC_2dd4b706d0a244a4b4c21166025356cc"/>
          <w:id w:val="10346203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91"/>
        <w:gridCol w:w="1756"/>
        <w:gridCol w:w="2043"/>
        <w:gridCol w:w="2033"/>
      </w:tblGrid>
      <w:tr w:rsidR="000C5659">
        <w:sdt>
          <w:sdtPr>
            <w:rPr>
              <w:color w:val="000000" w:themeColor="text1"/>
            </w:rPr>
            <w:tag w:val="_PLD_20ae0904ed714106892a5beddfe5846a"/>
            <w:id w:val="-311108870"/>
          </w:sdtPr>
          <w:sdtEndPr/>
          <w:sdtContent>
            <w:tc>
              <w:tcPr>
                <w:tcW w:w="1695" w:type="pct"/>
                <w:tcBorders>
                  <w:top w:val="outset" w:sz="4" w:space="0" w:color="auto"/>
                  <w:left w:val="outset" w:sz="4" w:space="0" w:color="auto"/>
                  <w:bottom w:val="outset" w:sz="4" w:space="0" w:color="auto"/>
                  <w:right w:val="outset" w:sz="4" w:space="0" w:color="auto"/>
                </w:tcBorders>
              </w:tcPr>
              <w:p w:rsidR="000C5659" w:rsidRDefault="000E33C4">
                <w:pPr>
                  <w:jc w:val="center"/>
                  <w:rPr>
                    <w:b/>
                    <w:color w:val="000000" w:themeColor="text1"/>
                  </w:rPr>
                </w:pPr>
                <w:r>
                  <w:rPr>
                    <w:b/>
                    <w:color w:val="000000" w:themeColor="text1"/>
                  </w:rPr>
                  <w:t>项目</w:t>
                </w:r>
              </w:p>
            </w:tc>
          </w:sdtContent>
        </w:sdt>
        <w:sdt>
          <w:sdtPr>
            <w:rPr>
              <w:color w:val="000000" w:themeColor="text1"/>
            </w:rPr>
            <w:tag w:val="_PLD_9cb87427e0de42d2b7e58a286ff58290"/>
            <w:id w:val="630976"/>
          </w:sdtPr>
          <w:sdtEndPr/>
          <w:sdtContent>
            <w:tc>
              <w:tcPr>
                <w:tcW w:w="995" w:type="pct"/>
                <w:tcBorders>
                  <w:top w:val="outset" w:sz="4" w:space="0" w:color="auto"/>
                  <w:left w:val="outset" w:sz="4" w:space="0" w:color="auto"/>
                  <w:bottom w:val="outset" w:sz="4" w:space="0" w:color="auto"/>
                  <w:right w:val="outset" w:sz="4" w:space="0" w:color="auto"/>
                </w:tcBorders>
              </w:tcPr>
              <w:p w:rsidR="000C5659" w:rsidRDefault="000E33C4">
                <w:pPr>
                  <w:autoSpaceDE w:val="0"/>
                  <w:autoSpaceDN w:val="0"/>
                  <w:adjustRightInd w:val="0"/>
                  <w:jc w:val="center"/>
                  <w:rPr>
                    <w:b/>
                    <w:color w:val="000000" w:themeColor="text1"/>
                  </w:rPr>
                </w:pPr>
                <w:r>
                  <w:rPr>
                    <w:b/>
                    <w:color w:val="000000" w:themeColor="text1"/>
                  </w:rPr>
                  <w:t>附注</w:t>
                </w:r>
              </w:p>
            </w:tc>
          </w:sdtContent>
        </w:sdt>
        <w:sdt>
          <w:sdtPr>
            <w:rPr>
              <w:color w:val="000000" w:themeColor="text1"/>
            </w:rPr>
            <w:tag w:val="_PLD_514bbce28b6040e393e59c5ec50c3820"/>
            <w:id w:val="1227964975"/>
          </w:sdtPr>
          <w:sdtEndPr/>
          <w:sdtContent>
            <w:tc>
              <w:tcPr>
                <w:tcW w:w="1158" w:type="pct"/>
                <w:tcBorders>
                  <w:top w:val="outset" w:sz="4" w:space="0" w:color="auto"/>
                  <w:left w:val="outset" w:sz="4" w:space="0" w:color="auto"/>
                  <w:bottom w:val="outset" w:sz="4" w:space="0" w:color="auto"/>
                  <w:right w:val="outset" w:sz="4" w:space="0" w:color="auto"/>
                </w:tcBorders>
              </w:tcPr>
              <w:p w:rsidR="000C5659" w:rsidRDefault="000E33C4">
                <w:pPr>
                  <w:autoSpaceDE w:val="0"/>
                  <w:autoSpaceDN w:val="0"/>
                  <w:adjustRightInd w:val="0"/>
                  <w:jc w:val="center"/>
                  <w:rPr>
                    <w:b/>
                    <w:color w:val="000000" w:themeColor="text1"/>
                  </w:rPr>
                </w:pPr>
                <w:r>
                  <w:rPr>
                    <w:rFonts w:hint="eastAsia"/>
                    <w:b/>
                    <w:color w:val="000000" w:themeColor="text1"/>
                  </w:rPr>
                  <w:t>2024年半年度</w:t>
                </w:r>
              </w:p>
            </w:tc>
          </w:sdtContent>
        </w:sdt>
        <w:sdt>
          <w:sdtPr>
            <w:rPr>
              <w:color w:val="000000" w:themeColor="text1"/>
            </w:rPr>
            <w:tag w:val="_PLD_de39c3f730c74ecca3c9a890bc08a2c1"/>
            <w:id w:val="1526438964"/>
          </w:sdtPr>
          <w:sdtEndPr/>
          <w:sdtContent>
            <w:tc>
              <w:tcPr>
                <w:tcW w:w="1152" w:type="pct"/>
                <w:tcBorders>
                  <w:top w:val="outset" w:sz="4" w:space="0" w:color="auto"/>
                  <w:left w:val="outset" w:sz="4" w:space="0" w:color="auto"/>
                  <w:bottom w:val="outset" w:sz="4" w:space="0" w:color="auto"/>
                  <w:right w:val="outset" w:sz="4" w:space="0" w:color="auto"/>
                </w:tcBorders>
              </w:tcPr>
              <w:p w:rsidR="000C5659" w:rsidRDefault="000E33C4">
                <w:pPr>
                  <w:autoSpaceDE w:val="0"/>
                  <w:autoSpaceDN w:val="0"/>
                  <w:adjustRightInd w:val="0"/>
                  <w:jc w:val="center"/>
                  <w:rPr>
                    <w:b/>
                    <w:color w:val="000000" w:themeColor="text1"/>
                  </w:rPr>
                </w:pPr>
                <w:r>
                  <w:rPr>
                    <w:rFonts w:hint="eastAsia"/>
                    <w:b/>
                    <w:color w:val="000000" w:themeColor="text1"/>
                  </w:rPr>
                  <w:t>2023年半年度</w:t>
                </w:r>
              </w:p>
            </w:tc>
          </w:sdtContent>
        </w:sdt>
      </w:tr>
      <w:tr w:rsidR="000C5659">
        <w:sdt>
          <w:sdtPr>
            <w:rPr>
              <w:color w:val="000000" w:themeColor="text1"/>
            </w:rPr>
            <w:tag w:val="_PLD_575fd724a7cb4261a6c80660162ce2fb"/>
            <w:id w:val="-980305509"/>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一、经营活动产生的现金流量：</w:t>
                </w:r>
              </w:p>
            </w:tc>
          </w:sdtContent>
        </w:sdt>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销售商品、提供劳务收到的现金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338,132,201.66</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325,000,133.22</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收到的税费返还</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970,365.73</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290,353.23</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收到其他与经营活动有关的现金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55,665,771.99</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122,934,721.64</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经营活动现金流入小计</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394,768,339.38</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448,225,208.09</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购买商品、接受劳务支付的现金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200,688,763.30</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179,152,430.39</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支付给职工及为职工支付的现金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74,700,087.77</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63,968,241.66</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支付的各项税费</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4,196,384.93</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4,770,946.48</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支付其他与经营活动有关的现金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53,539,564.36</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24,282,850.83</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经营活动现金流出小计</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333,124,800.36</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272,174,469.36</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经营活动产生的现金流量净额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61,643,539.02</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176,050,738.73</w:t>
            </w:r>
          </w:p>
        </w:tc>
      </w:tr>
      <w:tr w:rsidR="000C5659">
        <w:sdt>
          <w:sdtPr>
            <w:rPr>
              <w:color w:val="000000" w:themeColor="text1"/>
            </w:rPr>
            <w:tag w:val="_PLD_8f9190ce4227402ab02ac6431a00b46e"/>
            <w:id w:val="-569114172"/>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二、投资活动产生的现金流量：</w:t>
                </w:r>
              </w:p>
            </w:tc>
          </w:sdtContent>
        </w:sdt>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收回投资收到的现金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208,534,307.16</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取得投资收益收到的现金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763,791.98</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1,175,212.49</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处置固定资产、无形资产和其他长期资产收回的现金净额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21,163.38</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876,876.40</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处置子公司及其他营业单位收到的现金净额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收到其他与投资活动有关的现金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投资活动现金流入小计</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rPr>
                <w:rFonts w:hint="eastAsia"/>
              </w:rPr>
              <w:t>784,955.36</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210,586,396.05</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购建固定资产、无形资产和其他长期资产支付的现金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10,241,159.30</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4,950,780.04</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投资支付的现金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107,996,402.57</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340,728,241.06</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取得子公司及其他营业单位支付的现金净额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支付其他与投资活动有关的现金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25,400,000.00</w:t>
            </w:r>
          </w:p>
        </w:tc>
        <w:tc>
          <w:tcPr>
            <w:tcW w:w="1152"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投资活动现金流出小计</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143,637,561.87</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345,679,021.10</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300" w:firstLine="630"/>
              <w:rPr>
                <w:color w:val="000000" w:themeColor="text1"/>
              </w:rPr>
            </w:pPr>
            <w:r>
              <w:rPr>
                <w:rFonts w:hint="eastAsia"/>
                <w:color w:val="000000" w:themeColor="text1"/>
              </w:rPr>
              <w:t>投资活动产生的现金流量净额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-142,852,606.51</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-135,092,625.05</w:t>
            </w:r>
          </w:p>
        </w:tc>
      </w:tr>
      <w:tr w:rsidR="000C5659">
        <w:sdt>
          <w:sdtPr>
            <w:rPr>
              <w:color w:val="000000" w:themeColor="text1"/>
            </w:rPr>
            <w:tag w:val="_PLD_7d68e34216d04af0934267b3078d3c35"/>
            <w:id w:val="403570007"/>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三、筹资活动产生的现金流量：</w:t>
                </w:r>
              </w:p>
            </w:tc>
          </w:sdtContent>
        </w:sdt>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吸收投资收到的现金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2,483,523.60</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取得借款收到的现金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175,179,462.80</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144,250,000.00</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收到其他与筹资活动有关的现金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筹资活动现金流入小计</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175,179,462.80</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tabs>
                <w:tab w:val="center" w:pos="989"/>
                <w:tab w:val="right" w:pos="1979"/>
              </w:tabs>
              <w:jc w:val="right"/>
            </w:pPr>
            <w:r>
              <w:t>146,733,523.60</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偿还债务支付的现金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85,090,000.00</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67,500,000.00</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分配股利、利润或偿付利息支付的现金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4,240,759.59</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8,192,895.42</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支付其他与筹资活动有关的现金</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200" w:firstLine="420"/>
              <w:rPr>
                <w:color w:val="000000" w:themeColor="text1"/>
              </w:rPr>
            </w:pPr>
            <w:r>
              <w:rPr>
                <w:rFonts w:hint="eastAsia"/>
                <w:color w:val="000000" w:themeColor="text1"/>
              </w:rPr>
              <w:t>筹资活动现金流出小计</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89,330,759.59</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75,692,895.42</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300" w:firstLine="630"/>
              <w:rPr>
                <w:color w:val="000000" w:themeColor="text1"/>
              </w:rPr>
            </w:pPr>
            <w:r>
              <w:rPr>
                <w:rFonts w:hint="eastAsia"/>
                <w:color w:val="000000" w:themeColor="text1"/>
              </w:rPr>
              <w:t>筹资活动产生的现金流量净额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85,848,703.21</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71,040,628.18</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四、汇率变动对现金及现金等价物的影响</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C5659">
            <w:pPr>
              <w:jc w:val="right"/>
            </w:pPr>
          </w:p>
        </w:tc>
        <w:tc>
          <w:tcPr>
            <w:tcW w:w="1152" w:type="pct"/>
            <w:tcBorders>
              <w:top w:val="outset" w:sz="4" w:space="0" w:color="auto"/>
              <w:left w:val="outset" w:sz="4" w:space="0" w:color="auto"/>
              <w:bottom w:val="outset" w:sz="4" w:space="0" w:color="auto"/>
              <w:right w:val="outset" w:sz="4" w:space="0" w:color="auto"/>
            </w:tcBorders>
          </w:tcPr>
          <w:p w:rsidR="000C5659" w:rsidRDefault="000C5659">
            <w:pPr>
              <w:jc w:val="right"/>
            </w:pP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五、现金及现金等价物净增加额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4,639,635.72</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111,998,741.86</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ind w:firstLineChars="100" w:firstLine="210"/>
              <w:rPr>
                <w:color w:val="000000" w:themeColor="text1"/>
              </w:rPr>
            </w:pPr>
            <w:r>
              <w:rPr>
                <w:rFonts w:hint="eastAsia"/>
                <w:color w:val="000000" w:themeColor="text1"/>
              </w:rPr>
              <w:t>加：期初现金及现金等价物余额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22,667,250.22</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55,513,521.15</w:t>
            </w:r>
          </w:p>
        </w:tc>
      </w:tr>
      <w:tr w:rsidR="000C5659">
        <w:tc>
          <w:tcPr>
            <w:tcW w:w="1695" w:type="pct"/>
            <w:tcBorders>
              <w:top w:val="outset" w:sz="4" w:space="0" w:color="auto"/>
              <w:left w:val="outset" w:sz="4" w:space="0" w:color="auto"/>
              <w:bottom w:val="outset" w:sz="4" w:space="0" w:color="auto"/>
              <w:right w:val="outset" w:sz="4" w:space="0" w:color="auto"/>
            </w:tcBorders>
          </w:tcPr>
          <w:p w:rsidR="000C5659" w:rsidRDefault="000E33C4">
            <w:pPr>
              <w:rPr>
                <w:color w:val="000000" w:themeColor="text1"/>
              </w:rPr>
            </w:pPr>
            <w:r>
              <w:rPr>
                <w:rFonts w:hint="eastAsia"/>
                <w:b/>
                <w:color w:val="000000" w:themeColor="text1"/>
              </w:rPr>
              <w:t>六、期末现金及现金等价物余额</w:t>
            </w:r>
          </w:p>
        </w:tc>
        <w:tc>
          <w:tcPr>
            <w:tcW w:w="995" w:type="pct"/>
            <w:tcBorders>
              <w:top w:val="outset" w:sz="4" w:space="0" w:color="auto"/>
              <w:left w:val="outset" w:sz="4" w:space="0" w:color="auto"/>
              <w:bottom w:val="outset" w:sz="4" w:space="0" w:color="auto"/>
              <w:right w:val="outset" w:sz="4" w:space="0" w:color="auto"/>
            </w:tcBorders>
          </w:tcPr>
          <w:p w:rsidR="000C5659" w:rsidRDefault="000C5659">
            <w:pPr>
              <w:pStyle w:val="Style325"/>
            </w:pPr>
          </w:p>
        </w:tc>
        <w:tc>
          <w:tcPr>
            <w:tcW w:w="1158" w:type="pct"/>
            <w:tcBorders>
              <w:top w:val="outset" w:sz="4" w:space="0" w:color="auto"/>
              <w:left w:val="outset" w:sz="4" w:space="0" w:color="auto"/>
              <w:bottom w:val="outset" w:sz="4" w:space="0" w:color="auto"/>
              <w:right w:val="outset" w:sz="4" w:space="0" w:color="auto"/>
            </w:tcBorders>
          </w:tcPr>
          <w:p w:rsidR="000C5659" w:rsidRDefault="000E33C4">
            <w:pPr>
              <w:jc w:val="right"/>
            </w:pPr>
            <w:r>
              <w:t>27,306,885.94</w:t>
            </w:r>
          </w:p>
        </w:tc>
        <w:tc>
          <w:tcPr>
            <w:tcW w:w="1152" w:type="pct"/>
            <w:tcBorders>
              <w:top w:val="outset" w:sz="4" w:space="0" w:color="auto"/>
              <w:left w:val="outset" w:sz="4" w:space="0" w:color="auto"/>
              <w:bottom w:val="outset" w:sz="4" w:space="0" w:color="auto"/>
              <w:right w:val="outset" w:sz="4" w:space="0" w:color="auto"/>
            </w:tcBorders>
          </w:tcPr>
          <w:p w:rsidR="000C5659" w:rsidRDefault="000E33C4">
            <w:pPr>
              <w:jc w:val="right"/>
            </w:pPr>
            <w:r>
              <w:t>167,512,263.01</w:t>
            </w:r>
          </w:p>
        </w:tc>
      </w:tr>
    </w:tbl>
    <w:p w:rsidR="000C5659" w:rsidRDefault="000C5659">
      <w:pPr>
        <w:pStyle w:val="Style325"/>
      </w:pPr>
    </w:p>
    <w:p w:rsidR="000C5659" w:rsidRDefault="000E33C4">
      <w:pPr>
        <w:snapToGrid w:val="0"/>
        <w:spacing w:line="240" w:lineRule="atLeast"/>
        <w:ind w:rightChars="-73" w:right="-153"/>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b872f4b10a12453987b2d73dfe2a5ff9"/>
          <w:id w:val="1744829508"/>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616E54">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29443dd8858043c68f8217b05d1e3346"/>
          <w:id w:val="507179812"/>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B820E0">
        <w:rPr>
          <w:color w:val="000000" w:themeColor="text1"/>
        </w:rPr>
        <w:t xml:space="preserve">     会计</w:t>
      </w:r>
      <w:r w:rsidR="00B820E0">
        <w:rPr>
          <w:rFonts w:hint="eastAsia"/>
          <w:color w:val="000000" w:themeColor="text1"/>
        </w:rPr>
        <w:t>机构</w:t>
      </w:r>
      <w:r>
        <w:rPr>
          <w:color w:val="000000" w:themeColor="text1"/>
        </w:rPr>
        <w:t>负责人</w:t>
      </w:r>
      <w:r>
        <w:rPr>
          <w:rFonts w:hint="eastAsia"/>
          <w:color w:val="000000" w:themeColor="text1"/>
        </w:rPr>
        <w:t>：</w:t>
      </w:r>
      <w:sdt>
        <w:sdtPr>
          <w:rPr>
            <w:rFonts w:hint="eastAsia"/>
            <w:color w:val="000000" w:themeColor="text1"/>
          </w:rPr>
          <w:alias w:val="会计机构负责人姓名"/>
          <w:tag w:val="_GBC_952065710c0f41709539d877935c1903"/>
          <w:id w:val="209856036"/>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p>
    <w:p w:rsidR="000C5659" w:rsidRDefault="000C5659">
      <w:pPr>
        <w:rPr>
          <w:color w:val="000000" w:themeColor="text1"/>
        </w:rPr>
        <w:sectPr w:rsidR="000C5659">
          <w:pgSz w:w="11906" w:h="16838"/>
          <w:pgMar w:top="1525" w:right="1276" w:bottom="1440" w:left="1797" w:header="851" w:footer="992" w:gutter="0"/>
          <w:cols w:space="425"/>
          <w:docGrid w:linePitch="312"/>
        </w:sectPr>
      </w:pPr>
      <w:bookmarkStart w:id="107" w:name="_Hlk10211660"/>
      <w:bookmarkEnd w:id="106"/>
      <w:bookmarkEnd w:id="107"/>
    </w:p>
    <w:p w:rsidR="000C5659" w:rsidRDefault="000E33C4">
      <w:pPr>
        <w:pStyle w:val="35"/>
        <w:jc w:val="center"/>
        <w:rPr>
          <w:rFonts w:ascii="宋体" w:hAnsi="宋体"/>
          <w:color w:val="000000" w:themeColor="text1"/>
        </w:rPr>
      </w:pPr>
      <w:bookmarkStart w:id="108" w:name="_Hlk10211858"/>
      <w:r>
        <w:rPr>
          <w:rFonts w:ascii="宋体" w:hAnsi="宋体"/>
          <w:color w:val="000000" w:themeColor="text1"/>
        </w:rPr>
        <w:lastRenderedPageBreak/>
        <w:t>合并</w:t>
      </w:r>
      <w:r>
        <w:rPr>
          <w:rFonts w:ascii="宋体" w:hAnsi="宋体" w:hint="eastAsia"/>
          <w:color w:val="000000" w:themeColor="text1"/>
        </w:rPr>
        <w:t>所有者权益变动表</w:t>
      </w:r>
    </w:p>
    <w:p w:rsidR="000C5659" w:rsidRDefault="000E33C4">
      <w:pPr>
        <w:tabs>
          <w:tab w:val="left" w:pos="10080"/>
        </w:tabs>
        <w:snapToGrid w:val="0"/>
        <w:spacing w:line="240" w:lineRule="atLeast"/>
        <w:ind w:rightChars="12" w:right="25"/>
        <w:jc w:val="center"/>
        <w:rPr>
          <w:color w:val="000000" w:themeColor="text1"/>
        </w:rPr>
      </w:pPr>
      <w:r>
        <w:rPr>
          <w:color w:val="000000" w:themeColor="text1"/>
        </w:rPr>
        <w:t>2024年</w:t>
      </w:r>
      <w:r>
        <w:rPr>
          <w:rFonts w:hint="eastAsia"/>
          <w:color w:val="000000" w:themeColor="text1"/>
        </w:rPr>
        <w:t>1—6月</w:t>
      </w:r>
    </w:p>
    <w:p w:rsidR="000C5659" w:rsidRDefault="000E33C4">
      <w:pPr>
        <w:tabs>
          <w:tab w:val="left" w:pos="10080"/>
        </w:tabs>
        <w:snapToGrid w:val="0"/>
        <w:spacing w:line="240" w:lineRule="atLeast"/>
        <w:jc w:val="right"/>
        <w:rPr>
          <w:color w:val="000000" w:themeColor="text1"/>
        </w:rPr>
      </w:pPr>
      <w:r>
        <w:rPr>
          <w:color w:val="000000" w:themeColor="text1"/>
        </w:rPr>
        <w:t>单位：</w:t>
      </w:r>
      <w:sdt>
        <w:sdtPr>
          <w:rPr>
            <w:color w:val="000000" w:themeColor="text1"/>
          </w:rPr>
          <w:alias w:val="单位：合并股东权益调节表"/>
          <w:tag w:val="_GBC_57faea4e453e49ad93821b7dd6ce8bc4"/>
          <w:id w:val="20705287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合并股东权益调节表"/>
          <w:tag w:val="_GBC_cef77704267643d794145c73763360e5"/>
          <w:id w:val="-1882974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7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782"/>
        <w:gridCol w:w="1322"/>
        <w:gridCol w:w="284"/>
        <w:gridCol w:w="284"/>
        <w:gridCol w:w="287"/>
        <w:gridCol w:w="1448"/>
        <w:gridCol w:w="253"/>
        <w:gridCol w:w="1133"/>
        <w:gridCol w:w="284"/>
        <w:gridCol w:w="1277"/>
        <w:gridCol w:w="284"/>
        <w:gridCol w:w="1274"/>
        <w:gridCol w:w="284"/>
        <w:gridCol w:w="1420"/>
        <w:gridCol w:w="1274"/>
        <w:gridCol w:w="1553"/>
      </w:tblGrid>
      <w:tr w:rsidR="000C5659" w:rsidTr="00597E75">
        <w:trPr>
          <w:cantSplit/>
          <w:jc w:val="center"/>
        </w:trPr>
        <w:tc>
          <w:tcPr>
            <w:tcW w:w="220" w:type="pct"/>
            <w:vMerge w:val="restart"/>
            <w:vAlign w:val="center"/>
          </w:tcPr>
          <w:sdt>
            <w:sdtPr>
              <w:rPr>
                <w:rFonts w:asciiTheme="minorEastAsia" w:eastAsiaTheme="minorEastAsia" w:hAnsiTheme="minorEastAsia" w:hint="eastAsia"/>
                <w:color w:val="000000" w:themeColor="text1"/>
                <w:sz w:val="15"/>
                <w:szCs w:val="15"/>
              </w:rPr>
              <w:tag w:val="_PLD_5bd68ed5796041328d1a003c1362ceaf"/>
              <w:id w:val="-1887406516"/>
            </w:sdtPr>
            <w:sdtEndPr/>
            <w:sdtContent>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w:t>
                </w:r>
              </w:p>
            </w:sdtContent>
          </w:sdt>
        </w:tc>
        <w:tc>
          <w:tcPr>
            <w:tcW w:w="4780" w:type="pct"/>
            <w:gridSpan w:val="16"/>
            <w:vAlign w:val="center"/>
          </w:tcPr>
          <w:p w:rsidR="000C5659" w:rsidRDefault="00220B84">
            <w:pPr>
              <w:snapToGrid w:val="0"/>
              <w:spacing w:line="240" w:lineRule="atLeast"/>
              <w:ind w:rightChars="-759" w:right="-1594"/>
              <w:jc w:val="center"/>
              <w:rPr>
                <w:rFonts w:asciiTheme="minorEastAsia" w:eastAsiaTheme="minorEastAsia" w:hAnsiTheme="minorEastAsia"/>
                <w:color w:val="000000" w:themeColor="text1"/>
                <w:sz w:val="15"/>
                <w:szCs w:val="15"/>
              </w:rPr>
            </w:pPr>
            <w:sdt>
              <w:sdtPr>
                <w:rPr>
                  <w:rFonts w:asciiTheme="minorEastAsia" w:eastAsiaTheme="minorEastAsia" w:hAnsiTheme="minorEastAsia"/>
                  <w:color w:val="000000" w:themeColor="text1"/>
                  <w:sz w:val="15"/>
                  <w:szCs w:val="15"/>
                </w:rPr>
                <w:tag w:val="_PLD_70c71cd0427542b1b96a0fa943173d3d"/>
                <w:id w:val="-1426490790"/>
              </w:sdtPr>
              <w:sdtEndPr/>
              <w:sdtContent>
                <w:r w:rsidR="000E33C4">
                  <w:rPr>
                    <w:rFonts w:asciiTheme="minorEastAsia" w:eastAsiaTheme="minorEastAsia" w:hAnsiTheme="minorEastAsia" w:hint="eastAsia"/>
                    <w:color w:val="000000" w:themeColor="text1"/>
                    <w:sz w:val="15"/>
                    <w:szCs w:val="15"/>
                  </w:rPr>
                  <w:t>2024年半年度</w:t>
                </w:r>
              </w:sdtContent>
            </w:sdt>
          </w:p>
        </w:tc>
      </w:tr>
      <w:tr w:rsidR="000C5659" w:rsidTr="00597E75">
        <w:trPr>
          <w:cantSplit/>
          <w:trHeight w:val="540"/>
          <w:jc w:val="center"/>
        </w:trPr>
        <w:tc>
          <w:tcPr>
            <w:tcW w:w="220" w:type="pct"/>
            <w:vMerge/>
          </w:tcPr>
          <w:p w:rsidR="000C5659" w:rsidRDefault="000C5659">
            <w:pPr>
              <w:snapToGrid w:val="0"/>
              <w:spacing w:line="240" w:lineRule="atLeast"/>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e146ec74496c4c03a714dcef40faa972"/>
            <w:id w:val="884222182"/>
          </w:sdtPr>
          <w:sdtEndPr/>
          <w:sdtContent>
            <w:tc>
              <w:tcPr>
                <w:tcW w:w="3775" w:type="pct"/>
                <w:gridSpan w:val="14"/>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归属于母公司所有者权益</w:t>
                </w:r>
              </w:p>
            </w:tc>
          </w:sdtContent>
        </w:sdt>
        <w:sdt>
          <w:sdtPr>
            <w:rPr>
              <w:color w:val="000000" w:themeColor="text1"/>
            </w:rPr>
            <w:tag w:val="_PLD_b1ca85c50c1341e59b4b412e92d87f2f"/>
            <w:id w:val="1322395264"/>
          </w:sdtPr>
          <w:sdtEndPr/>
          <w:sdtContent>
            <w:tc>
              <w:tcPr>
                <w:tcW w:w="453" w:type="pct"/>
                <w:vMerge w:val="restart"/>
                <w:vAlign w:val="center"/>
              </w:tcPr>
              <w:p w:rsidR="000C5659" w:rsidRDefault="000E33C4">
                <w:pPr>
                  <w:jc w:val="center"/>
                  <w:rPr>
                    <w:color w:val="000000" w:themeColor="text1"/>
                    <w:sz w:val="18"/>
                    <w:szCs w:val="18"/>
                  </w:rPr>
                </w:pPr>
                <w:r>
                  <w:rPr>
                    <w:color w:val="000000" w:themeColor="text1"/>
                    <w:sz w:val="18"/>
                    <w:szCs w:val="18"/>
                  </w:rPr>
                  <w:t>少数股东权益</w:t>
                </w:r>
              </w:p>
            </w:tc>
          </w:sdtContent>
        </w:sdt>
        <w:sdt>
          <w:sdtPr>
            <w:rPr>
              <w:color w:val="000000" w:themeColor="text1"/>
            </w:rPr>
            <w:tag w:val="_PLD_0e252e0d00f04386b93d4e3064ba423d"/>
            <w:id w:val="1060837254"/>
          </w:sdtPr>
          <w:sdtEndPr/>
          <w:sdtContent>
            <w:tc>
              <w:tcPr>
                <w:tcW w:w="551" w:type="pct"/>
                <w:vMerge w:val="restart"/>
                <w:vAlign w:val="center"/>
              </w:tcPr>
              <w:p w:rsidR="000C5659" w:rsidRDefault="000E33C4">
                <w:pPr>
                  <w:jc w:val="center"/>
                  <w:rPr>
                    <w:color w:val="000000" w:themeColor="text1"/>
                    <w:sz w:val="18"/>
                    <w:szCs w:val="18"/>
                  </w:rPr>
                </w:pPr>
                <w:r>
                  <w:rPr>
                    <w:color w:val="000000" w:themeColor="text1"/>
                    <w:sz w:val="18"/>
                    <w:szCs w:val="18"/>
                  </w:rPr>
                  <w:t>所有者权益合计</w:t>
                </w:r>
              </w:p>
            </w:tc>
          </w:sdtContent>
        </w:sdt>
      </w:tr>
      <w:tr w:rsidR="00597E75" w:rsidTr="00597E75">
        <w:trPr>
          <w:cantSplit/>
          <w:trHeight w:val="352"/>
          <w:jc w:val="center"/>
        </w:trPr>
        <w:tc>
          <w:tcPr>
            <w:tcW w:w="220" w:type="pct"/>
            <w:vMerge/>
          </w:tcPr>
          <w:p w:rsidR="000C5659" w:rsidRDefault="000C5659">
            <w:pPr>
              <w:snapToGrid w:val="0"/>
              <w:spacing w:line="240" w:lineRule="atLeast"/>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1605afb5a60946a9ba86cca783d492d3"/>
            <w:id w:val="-1302005463"/>
          </w:sdtPr>
          <w:sdtEndPr/>
          <w:sdtContent>
            <w:tc>
              <w:tcPr>
                <w:tcW w:w="748" w:type="pct"/>
                <w:gridSpan w:val="2"/>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实收资本</w:t>
                </w:r>
                <w:r>
                  <w:rPr>
                    <w:rFonts w:asciiTheme="minorEastAsia" w:eastAsiaTheme="minorEastAsia" w:hAnsiTheme="minorEastAsia"/>
                    <w:color w:val="000000" w:themeColor="text1"/>
                    <w:sz w:val="15"/>
                    <w:szCs w:val="15"/>
                  </w:rPr>
                  <w:t xml:space="preserve"> (或股本)</w:t>
                </w:r>
              </w:p>
            </w:tc>
          </w:sdtContent>
        </w:sdt>
        <w:sdt>
          <w:sdtPr>
            <w:rPr>
              <w:rFonts w:asciiTheme="minorEastAsia" w:eastAsiaTheme="minorEastAsia" w:hAnsiTheme="minorEastAsia"/>
              <w:color w:val="000000" w:themeColor="text1"/>
              <w:sz w:val="15"/>
              <w:szCs w:val="15"/>
            </w:rPr>
            <w:tag w:val="_PLD_78f5e518a65d422c99d27d23e96afb9e"/>
            <w:id w:val="430329978"/>
          </w:sdtPr>
          <w:sdtEndPr/>
          <w:sdtContent>
            <w:tc>
              <w:tcPr>
                <w:tcW w:w="304" w:type="pct"/>
                <w:gridSpan w:val="3"/>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其他权益工具</w:t>
                </w:r>
              </w:p>
            </w:tc>
          </w:sdtContent>
        </w:sdt>
        <w:sdt>
          <w:sdtPr>
            <w:rPr>
              <w:rFonts w:asciiTheme="minorEastAsia" w:eastAsiaTheme="minorEastAsia" w:hAnsiTheme="minorEastAsia"/>
              <w:color w:val="000000" w:themeColor="text1"/>
              <w:sz w:val="15"/>
              <w:szCs w:val="15"/>
            </w:rPr>
            <w:tag w:val="_PLD_f67d05ac9f6f4daaafdf90084911dcee"/>
            <w:id w:val="-1315560970"/>
          </w:sdtPr>
          <w:sdtEndPr/>
          <w:sdtContent>
            <w:tc>
              <w:tcPr>
                <w:tcW w:w="515"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资本公积</w:t>
                </w:r>
              </w:p>
            </w:tc>
          </w:sdtContent>
        </w:sdt>
        <w:sdt>
          <w:sdtPr>
            <w:rPr>
              <w:rFonts w:asciiTheme="minorEastAsia" w:eastAsiaTheme="minorEastAsia" w:hAnsiTheme="minorEastAsia"/>
              <w:color w:val="000000" w:themeColor="text1"/>
              <w:sz w:val="15"/>
              <w:szCs w:val="15"/>
            </w:rPr>
            <w:tag w:val="_PLD_21df11f52b3443acacf7dd8421b5cc67"/>
            <w:id w:val="552822144"/>
          </w:sdtPr>
          <w:sdtEndPr/>
          <w:sdtContent>
            <w:tc>
              <w:tcPr>
                <w:tcW w:w="90"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减：库存股</w:t>
                </w:r>
              </w:p>
            </w:tc>
          </w:sdtContent>
        </w:sdt>
        <w:sdt>
          <w:sdtPr>
            <w:rPr>
              <w:rFonts w:asciiTheme="minorEastAsia" w:eastAsiaTheme="minorEastAsia" w:hAnsiTheme="minorEastAsia"/>
              <w:color w:val="000000" w:themeColor="text1"/>
              <w:sz w:val="15"/>
              <w:szCs w:val="15"/>
            </w:rPr>
            <w:tag w:val="_PLD_bdc12fd277ea4fbe9c90f9480d9ecddb"/>
            <w:id w:val="1219173557"/>
          </w:sdtPr>
          <w:sdtEndPr/>
          <w:sdtContent>
            <w:tc>
              <w:tcPr>
                <w:tcW w:w="403"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其他综合收益</w:t>
                </w:r>
              </w:p>
            </w:tc>
          </w:sdtContent>
        </w:sdt>
        <w:sdt>
          <w:sdtPr>
            <w:rPr>
              <w:rFonts w:asciiTheme="minorEastAsia" w:eastAsiaTheme="minorEastAsia" w:hAnsiTheme="minorEastAsia"/>
              <w:color w:val="000000" w:themeColor="text1"/>
              <w:sz w:val="15"/>
              <w:szCs w:val="15"/>
            </w:rPr>
            <w:tag w:val="_PLD_b4aa95f4be904a02958b77b5542bb78d"/>
            <w:id w:val="-2008588441"/>
          </w:sdtPr>
          <w:sdtEndPr/>
          <w:sdtContent>
            <w:tc>
              <w:tcPr>
                <w:tcW w:w="101"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专项储备</w:t>
                </w:r>
              </w:p>
            </w:tc>
          </w:sdtContent>
        </w:sdt>
        <w:sdt>
          <w:sdtPr>
            <w:rPr>
              <w:rFonts w:asciiTheme="minorEastAsia" w:eastAsiaTheme="minorEastAsia" w:hAnsiTheme="minorEastAsia"/>
              <w:color w:val="000000" w:themeColor="text1"/>
              <w:sz w:val="15"/>
              <w:szCs w:val="15"/>
            </w:rPr>
            <w:tag w:val="_PLD_1ee8f47ee38e4000af64e781a1a0e729"/>
            <w:id w:val="1395315718"/>
          </w:sdtPr>
          <w:sdtEndPr/>
          <w:sdtContent>
            <w:tc>
              <w:tcPr>
                <w:tcW w:w="454"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盈余公积</w:t>
                </w:r>
              </w:p>
            </w:tc>
          </w:sdtContent>
        </w:sdt>
        <w:sdt>
          <w:sdtPr>
            <w:rPr>
              <w:rFonts w:asciiTheme="minorEastAsia" w:eastAsiaTheme="minorEastAsia" w:hAnsiTheme="minorEastAsia"/>
              <w:color w:val="000000" w:themeColor="text1"/>
              <w:sz w:val="15"/>
              <w:szCs w:val="15"/>
            </w:rPr>
            <w:tag w:val="_PLD_b09258af0aa4494b8e88e711ca2dd7b8"/>
            <w:id w:val="1713069973"/>
          </w:sdtPr>
          <w:sdtEndPr/>
          <w:sdtContent>
            <w:tc>
              <w:tcPr>
                <w:tcW w:w="101"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一般风险准备</w:t>
                </w:r>
              </w:p>
            </w:tc>
          </w:sdtContent>
        </w:sdt>
        <w:sdt>
          <w:sdtPr>
            <w:rPr>
              <w:rFonts w:asciiTheme="minorEastAsia" w:eastAsiaTheme="minorEastAsia" w:hAnsiTheme="minorEastAsia"/>
              <w:color w:val="000000" w:themeColor="text1"/>
              <w:sz w:val="15"/>
              <w:szCs w:val="15"/>
            </w:rPr>
            <w:tag w:val="_PLD_f20054bead0a491aafe7bb5a5952f48f"/>
            <w:id w:val="932702718"/>
          </w:sdtPr>
          <w:sdtEndPr/>
          <w:sdtContent>
            <w:tc>
              <w:tcPr>
                <w:tcW w:w="453"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未分配利润</w:t>
                </w:r>
              </w:p>
            </w:tc>
          </w:sdtContent>
        </w:sdt>
        <w:tc>
          <w:tcPr>
            <w:tcW w:w="101" w:type="pct"/>
            <w:vMerge w:val="restart"/>
            <w:vAlign w:val="center"/>
          </w:tcPr>
          <w:sdt>
            <w:sdtPr>
              <w:rPr>
                <w:rFonts w:asciiTheme="minorEastAsia" w:eastAsiaTheme="minorEastAsia" w:hAnsiTheme="minorEastAsia" w:hint="eastAsia"/>
                <w:color w:val="000000" w:themeColor="text1"/>
                <w:sz w:val="15"/>
                <w:szCs w:val="15"/>
              </w:rPr>
              <w:tag w:val="_PLD_ee763dfa69fd4fa3bec927cefa83eadc"/>
              <w:id w:val="748701861"/>
            </w:sdtPr>
            <w:sdtEndPr/>
            <w:sdtContent>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sdtContent>
          </w:sdt>
        </w:tc>
        <w:tc>
          <w:tcPr>
            <w:tcW w:w="505" w:type="pct"/>
            <w:vMerge w:val="restart"/>
            <w:vAlign w:val="center"/>
          </w:tcPr>
          <w:sdt>
            <w:sdtPr>
              <w:rPr>
                <w:rFonts w:asciiTheme="minorEastAsia" w:eastAsiaTheme="minorEastAsia" w:hAnsiTheme="minorEastAsia" w:hint="eastAsia"/>
                <w:color w:val="000000" w:themeColor="text1"/>
                <w:sz w:val="15"/>
                <w:szCs w:val="15"/>
              </w:rPr>
              <w:tag w:val="_PLD_97c92cf2be1e4f36880a16a2c16704b4"/>
              <w:id w:val="835495555"/>
            </w:sdtPr>
            <w:sdtEndPr/>
            <w:sdtContent>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小计</w:t>
                </w:r>
              </w:p>
            </w:sdtContent>
          </w:sdt>
        </w:tc>
        <w:tc>
          <w:tcPr>
            <w:tcW w:w="453" w:type="pct"/>
            <w:vMerge/>
          </w:tcPr>
          <w:p w:rsidR="000C5659" w:rsidRDefault="000C5659">
            <w:pPr>
              <w:jc w:val="center"/>
              <w:rPr>
                <w:color w:val="000000" w:themeColor="text1"/>
                <w:sz w:val="18"/>
                <w:szCs w:val="18"/>
              </w:rPr>
            </w:pPr>
          </w:p>
        </w:tc>
        <w:tc>
          <w:tcPr>
            <w:tcW w:w="551" w:type="pct"/>
            <w:vMerge/>
          </w:tcPr>
          <w:p w:rsidR="000C5659" w:rsidRDefault="000C5659">
            <w:pPr>
              <w:jc w:val="center"/>
              <w:rPr>
                <w:color w:val="000000" w:themeColor="text1"/>
                <w:sz w:val="18"/>
                <w:szCs w:val="18"/>
              </w:rPr>
            </w:pPr>
          </w:p>
        </w:tc>
      </w:tr>
      <w:tr w:rsidR="00597E75" w:rsidTr="00597E75">
        <w:trPr>
          <w:cantSplit/>
          <w:trHeight w:val="345"/>
          <w:jc w:val="center"/>
        </w:trPr>
        <w:tc>
          <w:tcPr>
            <w:tcW w:w="220" w:type="pct"/>
            <w:vMerge/>
          </w:tcPr>
          <w:p w:rsidR="000C5659" w:rsidRDefault="000C5659">
            <w:pPr>
              <w:snapToGrid w:val="0"/>
              <w:spacing w:line="240" w:lineRule="atLeast"/>
              <w:ind w:rightChars="-759" w:right="-1594"/>
              <w:rPr>
                <w:rFonts w:asciiTheme="minorEastAsia" w:eastAsiaTheme="minorEastAsia" w:hAnsiTheme="minorEastAsia"/>
                <w:color w:val="000000" w:themeColor="text1"/>
                <w:sz w:val="15"/>
                <w:szCs w:val="15"/>
              </w:rPr>
            </w:pPr>
          </w:p>
        </w:tc>
        <w:tc>
          <w:tcPr>
            <w:tcW w:w="748" w:type="pct"/>
            <w:gridSpan w:val="2"/>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7b6493af25ff4e3986120f711cb3be4e"/>
            <w:id w:val="1411127925"/>
          </w:sdtPr>
          <w:sdtEndPr/>
          <w:sdtContent>
            <w:tc>
              <w:tcPr>
                <w:tcW w:w="101" w:type="pc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优先股</w:t>
                </w:r>
              </w:p>
            </w:tc>
          </w:sdtContent>
        </w:sdt>
        <w:sdt>
          <w:sdtPr>
            <w:rPr>
              <w:rFonts w:asciiTheme="minorEastAsia" w:eastAsiaTheme="minorEastAsia" w:hAnsiTheme="minorEastAsia"/>
              <w:color w:val="000000" w:themeColor="text1"/>
              <w:sz w:val="15"/>
              <w:szCs w:val="15"/>
            </w:rPr>
            <w:tag w:val="_PLD_446c35c8857c4ad0bb648db82e104141"/>
            <w:id w:val="1391771703"/>
          </w:sdtPr>
          <w:sdtEndPr/>
          <w:sdtContent>
            <w:tc>
              <w:tcPr>
                <w:tcW w:w="101" w:type="pc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永续债</w:t>
                </w:r>
              </w:p>
            </w:tc>
          </w:sdtContent>
        </w:sdt>
        <w:sdt>
          <w:sdtPr>
            <w:rPr>
              <w:rFonts w:asciiTheme="minorEastAsia" w:eastAsiaTheme="minorEastAsia" w:hAnsiTheme="minorEastAsia"/>
              <w:color w:val="000000" w:themeColor="text1"/>
              <w:sz w:val="15"/>
              <w:szCs w:val="15"/>
            </w:rPr>
            <w:tag w:val="_PLD_e8048d05ab294ec8a2a849ca1f70a7c9"/>
            <w:id w:val="1944029217"/>
          </w:sdtPr>
          <w:sdtEndPr/>
          <w:sdtContent>
            <w:tc>
              <w:tcPr>
                <w:tcW w:w="102" w:type="pc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515"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90"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403"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101"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454"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101"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453"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101" w:type="pct"/>
            <w:vMerge/>
          </w:tcPr>
          <w:p w:rsidR="000C5659" w:rsidRDefault="000C5659">
            <w:pPr>
              <w:jc w:val="center"/>
              <w:rPr>
                <w:rFonts w:asciiTheme="minorEastAsia" w:eastAsiaTheme="minorEastAsia" w:hAnsiTheme="minorEastAsia"/>
                <w:color w:val="000000" w:themeColor="text1"/>
                <w:sz w:val="15"/>
                <w:szCs w:val="15"/>
              </w:rPr>
            </w:pPr>
          </w:p>
        </w:tc>
        <w:tc>
          <w:tcPr>
            <w:tcW w:w="505" w:type="pct"/>
            <w:vMerge/>
          </w:tcPr>
          <w:p w:rsidR="000C5659" w:rsidRDefault="000C5659">
            <w:pPr>
              <w:jc w:val="center"/>
              <w:rPr>
                <w:rFonts w:asciiTheme="minorEastAsia" w:eastAsiaTheme="minorEastAsia" w:hAnsiTheme="minorEastAsia"/>
                <w:color w:val="000000" w:themeColor="text1"/>
                <w:sz w:val="15"/>
                <w:szCs w:val="15"/>
              </w:rPr>
            </w:pPr>
          </w:p>
        </w:tc>
        <w:tc>
          <w:tcPr>
            <w:tcW w:w="453" w:type="pct"/>
            <w:vMerge/>
          </w:tcPr>
          <w:p w:rsidR="000C5659" w:rsidRDefault="000C5659">
            <w:pPr>
              <w:jc w:val="center"/>
              <w:rPr>
                <w:color w:val="000000" w:themeColor="text1"/>
                <w:sz w:val="18"/>
                <w:szCs w:val="18"/>
              </w:rPr>
            </w:pPr>
          </w:p>
        </w:tc>
        <w:tc>
          <w:tcPr>
            <w:tcW w:w="551" w:type="pct"/>
            <w:vMerge/>
            <w:tcBorders>
              <w:bottom w:val="nil"/>
            </w:tcBorders>
          </w:tcPr>
          <w:p w:rsidR="000C5659" w:rsidRDefault="000C5659">
            <w:pPr>
              <w:jc w:val="center"/>
              <w:rPr>
                <w:color w:val="000000" w:themeColor="text1"/>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1f22f69e67ea4292afb08dec65f863c7"/>
            <w:id w:val="-1213573014"/>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一、上年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末余额</w:t>
                </w:r>
              </w:p>
            </w:tc>
          </w:sdtContent>
        </w:sdt>
        <w:tc>
          <w:tcPr>
            <w:tcW w:w="470"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100,448,700.00</w:t>
            </w: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522,887,707.68</w:t>
            </w: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380,350.48</w:t>
            </w: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46,282,190.67</w:t>
            </w: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579,090,712.40</w:t>
            </w: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1,249,089,661.23</w:t>
            </w:r>
          </w:p>
        </w:tc>
        <w:tc>
          <w:tcPr>
            <w:tcW w:w="453" w:type="pct"/>
          </w:tcPr>
          <w:p w:rsidR="000C5659" w:rsidRDefault="000C5659">
            <w:pPr>
              <w:jc w:val="right"/>
              <w:rPr>
                <w:sz w:val="18"/>
                <w:szCs w:val="18"/>
              </w:rPr>
            </w:pPr>
          </w:p>
        </w:tc>
        <w:tc>
          <w:tcPr>
            <w:tcW w:w="551" w:type="pct"/>
          </w:tcPr>
          <w:p w:rsidR="000C5659" w:rsidRDefault="000E33C4">
            <w:pPr>
              <w:jc w:val="right"/>
              <w:textAlignment w:val="top"/>
              <w:rPr>
                <w:sz w:val="18"/>
                <w:szCs w:val="18"/>
              </w:rPr>
            </w:pPr>
            <w:r>
              <w:rPr>
                <w:rFonts w:hint="eastAsia"/>
                <w:color w:val="000000"/>
                <w:sz w:val="15"/>
                <w:szCs w:val="15"/>
                <w:lang w:bidi="ar"/>
              </w:rPr>
              <w:t>1,249,089,661.23</w:t>
            </w:r>
          </w:p>
        </w:tc>
      </w:tr>
      <w:tr w:rsidR="00597E75" w:rsidTr="00597E75">
        <w:trPr>
          <w:jc w:val="center"/>
        </w:trPr>
        <w:sdt>
          <w:sdtPr>
            <w:rPr>
              <w:rFonts w:asciiTheme="minorEastAsia" w:eastAsiaTheme="minorEastAsia" w:hAnsiTheme="minorEastAsia"/>
              <w:color w:val="000000" w:themeColor="text1"/>
              <w:sz w:val="15"/>
              <w:szCs w:val="15"/>
            </w:rPr>
            <w:tag w:val="_PLD_8753148a28244d68bf92b2fbad32f9b8"/>
            <w:id w:val="515274418"/>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加：</w:t>
                </w:r>
                <w:r>
                  <w:rPr>
                    <w:rFonts w:asciiTheme="minorEastAsia" w:eastAsiaTheme="minorEastAsia" w:hAnsiTheme="minorEastAsia"/>
                    <w:color w:val="000000" w:themeColor="text1"/>
                    <w:sz w:val="15"/>
                    <w:szCs w:val="15"/>
                  </w:rPr>
                  <w:t>会计政策变更</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291ece6b974e4962be6cec3c398fd5be"/>
            <w:id w:val="-281349510"/>
          </w:sdtPr>
          <w:sdtEndPr/>
          <w:sdtContent>
            <w:tc>
              <w:tcPr>
                <w:tcW w:w="498" w:type="pct"/>
                <w:gridSpan w:val="2"/>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前期差错更正</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7953fd87201b462ab8c42a4716d6cb65"/>
            <w:id w:val="-1928959067"/>
          </w:sdtPr>
          <w:sdtEndPr/>
          <w:sdtContent>
            <w:tc>
              <w:tcPr>
                <w:tcW w:w="498" w:type="pct"/>
                <w:gridSpan w:val="2"/>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16d601e73dc14990b60ca53acf1371ba"/>
            <w:id w:val="-85156705"/>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二、本年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初余额</w:t>
                </w:r>
              </w:p>
            </w:tc>
          </w:sdtContent>
        </w:sdt>
        <w:tc>
          <w:tcPr>
            <w:tcW w:w="470"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100,448,700.00</w:t>
            </w: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522,887,707.68</w:t>
            </w: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380,350.48</w:t>
            </w: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46,282,190.67</w:t>
            </w: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579,090,712.40</w:t>
            </w: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1,249,089,661.23</w:t>
            </w:r>
          </w:p>
        </w:tc>
        <w:tc>
          <w:tcPr>
            <w:tcW w:w="453" w:type="pct"/>
          </w:tcPr>
          <w:p w:rsidR="000C5659" w:rsidRDefault="000C5659">
            <w:pPr>
              <w:jc w:val="right"/>
              <w:rPr>
                <w:sz w:val="18"/>
                <w:szCs w:val="18"/>
              </w:rPr>
            </w:pPr>
          </w:p>
        </w:tc>
        <w:tc>
          <w:tcPr>
            <w:tcW w:w="551" w:type="pct"/>
          </w:tcPr>
          <w:p w:rsidR="000C5659" w:rsidRDefault="000E33C4">
            <w:pPr>
              <w:jc w:val="right"/>
              <w:textAlignment w:val="top"/>
              <w:rPr>
                <w:sz w:val="18"/>
                <w:szCs w:val="18"/>
              </w:rPr>
            </w:pPr>
            <w:r>
              <w:rPr>
                <w:rFonts w:hint="eastAsia"/>
                <w:color w:val="000000"/>
                <w:sz w:val="15"/>
                <w:szCs w:val="15"/>
                <w:lang w:bidi="ar"/>
              </w:rPr>
              <w:t>1,249,089,661.23</w:t>
            </w:r>
          </w:p>
        </w:tc>
      </w:tr>
      <w:tr w:rsidR="00597E75" w:rsidTr="00597E75">
        <w:trPr>
          <w:jc w:val="center"/>
        </w:trPr>
        <w:sdt>
          <w:sdtPr>
            <w:rPr>
              <w:rFonts w:asciiTheme="minorEastAsia" w:eastAsiaTheme="minorEastAsia" w:hAnsiTheme="minorEastAsia"/>
              <w:color w:val="000000" w:themeColor="text1"/>
              <w:sz w:val="15"/>
              <w:szCs w:val="15"/>
            </w:rPr>
            <w:tag w:val="_PLD_60156dcb8ac241a7929015e75c8eef16"/>
            <w:id w:val="-339387260"/>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三、本</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增减变动金额（减少以“－”号填列）</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-153,989,597.20</w:t>
            </w: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911,143.30</w:t>
            </w: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13,053,138.09</w:t>
            </w: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-140,025,315.81</w:t>
            </w:r>
          </w:p>
        </w:tc>
        <w:tc>
          <w:tcPr>
            <w:tcW w:w="453" w:type="pct"/>
          </w:tcPr>
          <w:p w:rsidR="000C5659" w:rsidRDefault="000E33C4">
            <w:pPr>
              <w:jc w:val="right"/>
              <w:textAlignment w:val="top"/>
              <w:rPr>
                <w:sz w:val="18"/>
                <w:szCs w:val="18"/>
              </w:rPr>
            </w:pPr>
            <w:r>
              <w:rPr>
                <w:rFonts w:hint="eastAsia"/>
                <w:color w:val="000000"/>
                <w:sz w:val="15"/>
                <w:szCs w:val="15"/>
                <w:lang w:bidi="ar"/>
              </w:rPr>
              <w:t>69,349,591.80</w:t>
            </w:r>
          </w:p>
        </w:tc>
        <w:tc>
          <w:tcPr>
            <w:tcW w:w="551" w:type="pct"/>
          </w:tcPr>
          <w:p w:rsidR="000C5659" w:rsidRDefault="000E33C4">
            <w:pPr>
              <w:jc w:val="right"/>
              <w:textAlignment w:val="top"/>
              <w:rPr>
                <w:sz w:val="18"/>
                <w:szCs w:val="18"/>
              </w:rPr>
            </w:pPr>
            <w:r>
              <w:rPr>
                <w:rFonts w:hint="eastAsia"/>
                <w:color w:val="000000"/>
                <w:sz w:val="15"/>
                <w:szCs w:val="15"/>
                <w:lang w:bidi="ar"/>
              </w:rPr>
              <w:t>-70,675,724.01</w:t>
            </w:r>
          </w:p>
        </w:tc>
      </w:tr>
      <w:tr w:rsidR="00597E75" w:rsidTr="00597E75">
        <w:trPr>
          <w:jc w:val="center"/>
        </w:trPr>
        <w:sdt>
          <w:sdtPr>
            <w:rPr>
              <w:rFonts w:asciiTheme="minorEastAsia" w:eastAsiaTheme="minorEastAsia" w:hAnsiTheme="minorEastAsia"/>
              <w:color w:val="000000" w:themeColor="text1"/>
              <w:sz w:val="15"/>
              <w:szCs w:val="15"/>
            </w:rPr>
            <w:tag w:val="_PLD_b05dacde51ff43abaf7ec73bf9668d99"/>
            <w:id w:val="2118948820"/>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（一）综合收益总额</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911,143.30</w:t>
            </w: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33,142,878.09</w:t>
            </w: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34,054,021.39</w:t>
            </w:r>
          </w:p>
        </w:tc>
        <w:tc>
          <w:tcPr>
            <w:tcW w:w="453" w:type="pct"/>
          </w:tcPr>
          <w:p w:rsidR="000C5659" w:rsidRDefault="000E33C4">
            <w:pPr>
              <w:jc w:val="right"/>
              <w:textAlignment w:val="top"/>
              <w:rPr>
                <w:sz w:val="18"/>
                <w:szCs w:val="18"/>
              </w:rPr>
            </w:pPr>
            <w:r>
              <w:rPr>
                <w:rFonts w:hint="eastAsia"/>
                <w:color w:val="000000"/>
                <w:sz w:val="15"/>
                <w:szCs w:val="15"/>
                <w:lang w:bidi="ar"/>
              </w:rPr>
              <w:t>-1,209,765.19</w:t>
            </w:r>
          </w:p>
        </w:tc>
        <w:tc>
          <w:tcPr>
            <w:tcW w:w="551" w:type="pct"/>
          </w:tcPr>
          <w:p w:rsidR="000C5659" w:rsidRDefault="000E33C4">
            <w:pPr>
              <w:jc w:val="right"/>
              <w:textAlignment w:val="top"/>
              <w:rPr>
                <w:sz w:val="18"/>
                <w:szCs w:val="18"/>
              </w:rPr>
            </w:pPr>
            <w:r>
              <w:rPr>
                <w:rFonts w:hint="eastAsia"/>
                <w:color w:val="000000"/>
                <w:sz w:val="15"/>
                <w:szCs w:val="15"/>
                <w:lang w:bidi="ar"/>
              </w:rPr>
              <w:t>32,844,256.20</w:t>
            </w:r>
          </w:p>
        </w:tc>
      </w:tr>
      <w:tr w:rsidR="00597E75" w:rsidTr="00597E75">
        <w:trPr>
          <w:jc w:val="center"/>
        </w:trPr>
        <w:sdt>
          <w:sdtPr>
            <w:rPr>
              <w:rFonts w:asciiTheme="minorEastAsia" w:eastAsiaTheme="minorEastAsia" w:hAnsiTheme="minorEastAsia"/>
              <w:color w:val="000000" w:themeColor="text1"/>
              <w:sz w:val="15"/>
              <w:szCs w:val="15"/>
            </w:rPr>
            <w:tag w:val="_PLD_f17921fb207340239c73a056e615d773"/>
            <w:id w:val="322697089"/>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二</w:t>
                </w:r>
                <w:r>
                  <w:rPr>
                    <w:rFonts w:asciiTheme="minorEastAsia" w:eastAsiaTheme="minorEastAsia" w:hAnsiTheme="minorEastAsia"/>
                    <w:color w:val="000000" w:themeColor="text1"/>
                    <w:sz w:val="15"/>
                    <w:szCs w:val="15"/>
                  </w:rPr>
                  <w:t>）所有者投入和减少资本</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599,440.50</w:t>
            </w: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599,440.50</w:t>
            </w:r>
          </w:p>
        </w:tc>
        <w:tc>
          <w:tcPr>
            <w:tcW w:w="453" w:type="pct"/>
          </w:tcPr>
          <w:p w:rsidR="000C5659" w:rsidRDefault="000E33C4">
            <w:pPr>
              <w:jc w:val="right"/>
              <w:textAlignment w:val="top"/>
              <w:rPr>
                <w:sz w:val="18"/>
                <w:szCs w:val="18"/>
              </w:rPr>
            </w:pPr>
            <w:r>
              <w:rPr>
                <w:rFonts w:hint="eastAsia"/>
                <w:color w:val="000000"/>
                <w:sz w:val="15"/>
                <w:szCs w:val="15"/>
                <w:lang w:bidi="ar"/>
              </w:rPr>
              <w:t>20,344,902.63</w:t>
            </w:r>
          </w:p>
        </w:tc>
        <w:tc>
          <w:tcPr>
            <w:tcW w:w="551" w:type="pct"/>
          </w:tcPr>
          <w:p w:rsidR="000C5659" w:rsidRDefault="000E33C4">
            <w:pPr>
              <w:jc w:val="right"/>
              <w:textAlignment w:val="top"/>
              <w:rPr>
                <w:sz w:val="18"/>
                <w:szCs w:val="18"/>
              </w:rPr>
            </w:pPr>
            <w:r>
              <w:rPr>
                <w:rFonts w:hint="eastAsia"/>
                <w:color w:val="000000"/>
                <w:sz w:val="15"/>
                <w:szCs w:val="15"/>
                <w:lang w:bidi="ar"/>
              </w:rPr>
              <w:t>20,944,343.13</w:t>
            </w:r>
          </w:p>
        </w:tc>
      </w:tr>
      <w:tr w:rsidR="00597E75" w:rsidTr="00597E75">
        <w:trPr>
          <w:jc w:val="center"/>
        </w:trPr>
        <w:sdt>
          <w:sdtPr>
            <w:rPr>
              <w:rFonts w:asciiTheme="minorEastAsia" w:eastAsiaTheme="minorEastAsia" w:hAnsiTheme="minorEastAsia"/>
              <w:color w:val="000000" w:themeColor="text1"/>
              <w:sz w:val="15"/>
              <w:szCs w:val="15"/>
            </w:rPr>
            <w:tag w:val="_PLD_a4e5a1909d05445a88f8a664e237ae02"/>
            <w:id w:val="2071838624"/>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1．所有者投入的普通股</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00983bc5e4cc404f92b2fab2c532ec5f"/>
            <w:id w:val="-1027860659"/>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2．其他权益工具持有者投入资本</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b945685508384f75ad9507566dd406a5"/>
            <w:id w:val="628371112"/>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3</w:t>
                </w:r>
                <w:r>
                  <w:rPr>
                    <w:rFonts w:asciiTheme="minorEastAsia" w:eastAsiaTheme="minorEastAsia" w:hAnsiTheme="minorEastAsia"/>
                    <w:color w:val="000000" w:themeColor="text1"/>
                    <w:sz w:val="15"/>
                    <w:szCs w:val="15"/>
                  </w:rPr>
                  <w:t>．股份支付计入所有者权益的金额</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599,440.50</w:t>
            </w: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599,440.50</w:t>
            </w:r>
          </w:p>
        </w:tc>
        <w:tc>
          <w:tcPr>
            <w:tcW w:w="453" w:type="pct"/>
          </w:tcPr>
          <w:p w:rsidR="000C5659" w:rsidRDefault="000C5659">
            <w:pPr>
              <w:jc w:val="right"/>
              <w:rPr>
                <w:sz w:val="18"/>
                <w:szCs w:val="18"/>
              </w:rPr>
            </w:pPr>
          </w:p>
        </w:tc>
        <w:tc>
          <w:tcPr>
            <w:tcW w:w="551" w:type="pct"/>
          </w:tcPr>
          <w:p w:rsidR="000C5659" w:rsidRDefault="000E33C4">
            <w:pPr>
              <w:jc w:val="right"/>
              <w:textAlignment w:val="top"/>
              <w:rPr>
                <w:sz w:val="18"/>
                <w:szCs w:val="18"/>
              </w:rPr>
            </w:pPr>
            <w:r>
              <w:rPr>
                <w:rFonts w:hint="eastAsia"/>
                <w:color w:val="000000"/>
                <w:sz w:val="15"/>
                <w:szCs w:val="15"/>
                <w:lang w:bidi="ar"/>
              </w:rPr>
              <w:t>599,440.50</w:t>
            </w:r>
          </w:p>
        </w:tc>
      </w:tr>
      <w:tr w:rsidR="00597E75" w:rsidTr="00597E75">
        <w:trPr>
          <w:jc w:val="center"/>
        </w:trPr>
        <w:sdt>
          <w:sdtPr>
            <w:rPr>
              <w:rFonts w:asciiTheme="minorEastAsia" w:eastAsiaTheme="minorEastAsia" w:hAnsiTheme="minorEastAsia"/>
              <w:color w:val="000000" w:themeColor="text1"/>
              <w:sz w:val="15"/>
              <w:szCs w:val="15"/>
            </w:rPr>
            <w:tag w:val="_PLD_86538f5d06744ca9be65b0b439b17643"/>
            <w:id w:val="629446832"/>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4</w:t>
                </w:r>
                <w:r>
                  <w:rPr>
                    <w:rFonts w:asciiTheme="minorEastAsia" w:eastAsiaTheme="minorEastAsia" w:hAnsiTheme="minorEastAsia"/>
                    <w:color w:val="000000" w:themeColor="text1"/>
                    <w:sz w:val="15"/>
                    <w:szCs w:val="15"/>
                  </w:rPr>
                  <w:t>．其他</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sz w:val="18"/>
                <w:szCs w:val="18"/>
              </w:rPr>
            </w:pPr>
            <w:r>
              <w:rPr>
                <w:rFonts w:hint="eastAsia"/>
                <w:color w:val="000000"/>
                <w:sz w:val="15"/>
                <w:szCs w:val="15"/>
                <w:lang w:bidi="ar"/>
              </w:rPr>
              <w:t>20,344,902.63</w:t>
            </w:r>
          </w:p>
        </w:tc>
        <w:tc>
          <w:tcPr>
            <w:tcW w:w="551" w:type="pct"/>
          </w:tcPr>
          <w:p w:rsidR="000C5659" w:rsidRDefault="000E33C4">
            <w:pPr>
              <w:jc w:val="right"/>
              <w:textAlignment w:val="top"/>
              <w:rPr>
                <w:sz w:val="18"/>
                <w:szCs w:val="18"/>
              </w:rPr>
            </w:pPr>
            <w:r>
              <w:rPr>
                <w:rFonts w:hint="eastAsia"/>
                <w:color w:val="000000"/>
                <w:sz w:val="15"/>
                <w:szCs w:val="15"/>
                <w:lang w:bidi="ar"/>
              </w:rPr>
              <w:t>20,344,902.63</w:t>
            </w:r>
          </w:p>
        </w:tc>
      </w:tr>
      <w:tr w:rsidR="00597E75" w:rsidTr="00597E75">
        <w:trPr>
          <w:jc w:val="center"/>
        </w:trPr>
        <w:sdt>
          <w:sdtPr>
            <w:rPr>
              <w:rFonts w:asciiTheme="minorEastAsia" w:eastAsiaTheme="minorEastAsia" w:hAnsiTheme="minorEastAsia"/>
              <w:color w:val="000000" w:themeColor="text1"/>
              <w:sz w:val="15"/>
              <w:szCs w:val="15"/>
            </w:rPr>
            <w:tag w:val="_PLD_8fb1d678e8ca4e3ba31e34bed05e6c58"/>
            <w:id w:val="-67586663"/>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三</w:t>
                </w:r>
                <w:r>
                  <w:rPr>
                    <w:rFonts w:asciiTheme="minorEastAsia" w:eastAsiaTheme="minorEastAsia" w:hAnsiTheme="minorEastAsia"/>
                    <w:color w:val="000000" w:themeColor="text1"/>
                    <w:sz w:val="15"/>
                    <w:szCs w:val="15"/>
                  </w:rPr>
                  <w:t>）利润分配</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-20,089,740.00</w:t>
            </w: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-20,089,740.00</w:t>
            </w:r>
          </w:p>
        </w:tc>
        <w:tc>
          <w:tcPr>
            <w:tcW w:w="453" w:type="pct"/>
          </w:tcPr>
          <w:p w:rsidR="000C5659" w:rsidRDefault="000C5659">
            <w:pPr>
              <w:jc w:val="right"/>
              <w:rPr>
                <w:sz w:val="18"/>
                <w:szCs w:val="18"/>
              </w:rPr>
            </w:pPr>
          </w:p>
        </w:tc>
        <w:tc>
          <w:tcPr>
            <w:tcW w:w="551" w:type="pct"/>
          </w:tcPr>
          <w:p w:rsidR="000C5659" w:rsidRDefault="000E33C4">
            <w:pPr>
              <w:jc w:val="right"/>
              <w:textAlignment w:val="top"/>
              <w:rPr>
                <w:sz w:val="18"/>
                <w:szCs w:val="18"/>
              </w:rPr>
            </w:pPr>
            <w:r>
              <w:rPr>
                <w:rFonts w:hint="eastAsia"/>
                <w:color w:val="000000"/>
                <w:sz w:val="15"/>
                <w:szCs w:val="15"/>
                <w:lang w:bidi="ar"/>
              </w:rPr>
              <w:t>-20,089,740.00</w:t>
            </w:r>
          </w:p>
        </w:tc>
      </w:tr>
      <w:tr w:rsidR="00597E75" w:rsidTr="00597E75">
        <w:trPr>
          <w:trHeight w:val="90"/>
          <w:jc w:val="center"/>
        </w:trPr>
        <w:sdt>
          <w:sdtPr>
            <w:rPr>
              <w:rFonts w:asciiTheme="minorEastAsia" w:eastAsiaTheme="minorEastAsia" w:hAnsiTheme="minorEastAsia"/>
              <w:color w:val="000000" w:themeColor="text1"/>
              <w:sz w:val="15"/>
              <w:szCs w:val="15"/>
            </w:rPr>
            <w:tag w:val="_PLD_5badbc22860d48e29f8d8d9a4a633d8c"/>
            <w:id w:val="182095066"/>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1．提取盈余公积</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2c8b649d670044a9b5fda521dd40705d"/>
            <w:id w:val="-414086760"/>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2．提取一般风险准备</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254428ff3bee49c2acd11ef634901543"/>
            <w:id w:val="-335530426"/>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3．对所有者（或股东）的分配</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-20,089,740.00</w:t>
            </w: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-20,089,740.00</w:t>
            </w:r>
          </w:p>
        </w:tc>
        <w:tc>
          <w:tcPr>
            <w:tcW w:w="453" w:type="pct"/>
          </w:tcPr>
          <w:p w:rsidR="000C5659" w:rsidRDefault="000C5659">
            <w:pPr>
              <w:jc w:val="right"/>
              <w:rPr>
                <w:sz w:val="18"/>
                <w:szCs w:val="18"/>
              </w:rPr>
            </w:pPr>
          </w:p>
        </w:tc>
        <w:tc>
          <w:tcPr>
            <w:tcW w:w="551" w:type="pct"/>
          </w:tcPr>
          <w:p w:rsidR="000C5659" w:rsidRDefault="000E33C4">
            <w:pPr>
              <w:jc w:val="right"/>
              <w:textAlignment w:val="top"/>
              <w:rPr>
                <w:sz w:val="18"/>
                <w:szCs w:val="18"/>
              </w:rPr>
            </w:pPr>
            <w:r>
              <w:rPr>
                <w:rFonts w:hint="eastAsia"/>
                <w:color w:val="000000"/>
                <w:sz w:val="15"/>
                <w:szCs w:val="15"/>
                <w:lang w:bidi="ar"/>
              </w:rPr>
              <w:t>-20,089,740.00</w:t>
            </w:r>
          </w:p>
        </w:tc>
      </w:tr>
      <w:tr w:rsidR="00597E75" w:rsidTr="00597E75">
        <w:trPr>
          <w:jc w:val="center"/>
        </w:trPr>
        <w:sdt>
          <w:sdtPr>
            <w:rPr>
              <w:rFonts w:asciiTheme="minorEastAsia" w:eastAsiaTheme="minorEastAsia" w:hAnsiTheme="minorEastAsia"/>
              <w:color w:val="000000" w:themeColor="text1"/>
              <w:sz w:val="15"/>
              <w:szCs w:val="15"/>
            </w:rPr>
            <w:tag w:val="_PLD_b3d350728a6c49ccaa6dbb4adf16c691"/>
            <w:id w:val="1875346306"/>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4．其他</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03ab84b7536c4ddcaaad4c99a2dd5fd3"/>
            <w:id w:val="1882214051"/>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四</w:t>
                </w:r>
                <w:r>
                  <w:rPr>
                    <w:rFonts w:asciiTheme="minorEastAsia" w:eastAsiaTheme="minorEastAsia" w:hAnsiTheme="minorEastAsia"/>
                    <w:color w:val="000000" w:themeColor="text1"/>
                    <w:sz w:val="15"/>
                    <w:szCs w:val="15"/>
                  </w:rPr>
                  <w:t>）所有者权益内部结转</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88233f88b9ea4ceb82a1cc6cd7a5030d"/>
            <w:id w:val="654107824"/>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1．资本公积转增资本（或股本）</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4a9492c5a232434296cfdef5eeded778"/>
            <w:id w:val="-1674248138"/>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2．盈余公积转增资本（或股本）</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25911664beff496799fc3193be7c3182"/>
            <w:id w:val="1786775119"/>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3．盈余公积弥补亏损</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tc>
          <w:tcPr>
            <w:tcW w:w="498" w:type="pct"/>
            <w:gridSpan w:val="2"/>
          </w:tcPr>
          <w:sdt>
            <w:sdtPr>
              <w:rPr>
                <w:rFonts w:asciiTheme="minorEastAsia" w:eastAsiaTheme="minorEastAsia" w:hAnsiTheme="minorEastAsia"/>
                <w:color w:val="000000" w:themeColor="text1"/>
                <w:sz w:val="15"/>
                <w:szCs w:val="15"/>
              </w:rPr>
              <w:tag w:val="_PLD_c2918ada9b53437193e4f9cfffa064e3"/>
              <w:id w:val="1254085370"/>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4．设定受益计划变动额结转留存收益</w:t>
                </w:r>
              </w:p>
            </w:sdtContent>
          </w:sdt>
        </w:tc>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tc>
          <w:tcPr>
            <w:tcW w:w="498" w:type="pct"/>
            <w:gridSpan w:val="2"/>
          </w:tcPr>
          <w:sdt>
            <w:sdtPr>
              <w:rPr>
                <w:rFonts w:asciiTheme="minorEastAsia" w:eastAsiaTheme="minorEastAsia" w:hAnsiTheme="minorEastAsia"/>
                <w:color w:val="000000" w:themeColor="text1"/>
                <w:sz w:val="15"/>
                <w:szCs w:val="15"/>
              </w:rPr>
              <w:tag w:val="_PLD_ea153cdd99f74bf1b50bc1743d25f429"/>
              <w:id w:val="958465842"/>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5．其他综合收益结转留存收益</w:t>
                </w:r>
              </w:p>
            </w:sdtContent>
          </w:sdt>
        </w:tc>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tc>
          <w:tcPr>
            <w:tcW w:w="498" w:type="pct"/>
            <w:gridSpan w:val="2"/>
          </w:tcPr>
          <w:sdt>
            <w:sdtPr>
              <w:rPr>
                <w:rFonts w:asciiTheme="minorEastAsia" w:eastAsiaTheme="minorEastAsia" w:hAnsiTheme="minorEastAsia"/>
                <w:color w:val="000000" w:themeColor="text1"/>
                <w:sz w:val="15"/>
                <w:szCs w:val="15"/>
              </w:rPr>
              <w:tag w:val="_PLD_de42fced9d0547ecb946b8443ac4ea20"/>
              <w:id w:val="1342443084"/>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6．其他</w:t>
                </w:r>
              </w:p>
            </w:sdtContent>
          </w:sdt>
        </w:tc>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14d25c6e75074c52a0f884581cc84dba"/>
            <w:id w:val="-990013578"/>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（五）专项储备</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672c666008dd4adfa2ab5933e9cd1671"/>
            <w:id w:val="-627309844"/>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1．本期提取</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810ec2533aac40f59079e8e8d20e52c3"/>
            <w:id w:val="1834497141"/>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2．本期使用</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C5659">
            <w:pPr>
              <w:jc w:val="right"/>
              <w:rPr>
                <w:rFonts w:asciiTheme="minorEastAsia" w:eastAsiaTheme="minorEastAsia" w:hAnsiTheme="minorEastAsia"/>
                <w:sz w:val="15"/>
                <w:szCs w:val="15"/>
              </w:rPr>
            </w:pP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sz w:val="18"/>
                <w:szCs w:val="18"/>
              </w:rPr>
            </w:pPr>
          </w:p>
        </w:tc>
        <w:tc>
          <w:tcPr>
            <w:tcW w:w="551" w:type="pct"/>
          </w:tcPr>
          <w:p w:rsidR="000C5659" w:rsidRDefault="000C5659">
            <w:pPr>
              <w:jc w:val="right"/>
              <w:textAlignment w:val="top"/>
              <w:rPr>
                <w:sz w:val="18"/>
                <w:szCs w:val="18"/>
              </w:rPr>
            </w:pPr>
          </w:p>
        </w:tc>
      </w:tr>
      <w:tr w:rsidR="00597E75" w:rsidTr="00597E75">
        <w:trPr>
          <w:jc w:val="center"/>
        </w:trPr>
        <w:sdt>
          <w:sdtPr>
            <w:rPr>
              <w:rFonts w:asciiTheme="minorEastAsia" w:eastAsiaTheme="minorEastAsia" w:hAnsiTheme="minorEastAsia"/>
              <w:color w:val="000000" w:themeColor="text1"/>
              <w:sz w:val="15"/>
              <w:szCs w:val="15"/>
            </w:rPr>
            <w:tag w:val="_PLD_f4bc69f9c7d34151a4b7a0d89088f0ee"/>
            <w:id w:val="-958410124"/>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（六）其他</w:t>
                </w:r>
              </w:p>
            </w:tc>
          </w:sdtContent>
        </w:sdt>
        <w:tc>
          <w:tcPr>
            <w:tcW w:w="470"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-154,589,037.70</w:t>
            </w: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-154,589,037.70</w:t>
            </w:r>
          </w:p>
        </w:tc>
        <w:tc>
          <w:tcPr>
            <w:tcW w:w="453" w:type="pct"/>
            <w:vAlign w:val="bottom"/>
          </w:tcPr>
          <w:p w:rsidR="000C5659" w:rsidRDefault="000E33C4">
            <w:pPr>
              <w:jc w:val="right"/>
              <w:textAlignment w:val="bottom"/>
              <w:rPr>
                <w:sz w:val="18"/>
                <w:szCs w:val="18"/>
              </w:rPr>
            </w:pPr>
            <w:r>
              <w:rPr>
                <w:rFonts w:hint="eastAsia"/>
                <w:color w:val="000000"/>
                <w:sz w:val="15"/>
                <w:szCs w:val="15"/>
                <w:lang w:bidi="ar"/>
              </w:rPr>
              <w:t>50,214,454.36</w:t>
            </w:r>
          </w:p>
        </w:tc>
        <w:tc>
          <w:tcPr>
            <w:tcW w:w="551" w:type="pct"/>
          </w:tcPr>
          <w:p w:rsidR="000C5659" w:rsidRDefault="000E33C4">
            <w:pPr>
              <w:jc w:val="right"/>
              <w:textAlignment w:val="top"/>
              <w:rPr>
                <w:sz w:val="18"/>
                <w:szCs w:val="18"/>
              </w:rPr>
            </w:pPr>
            <w:r>
              <w:rPr>
                <w:rFonts w:hint="eastAsia"/>
                <w:color w:val="000000"/>
                <w:sz w:val="15"/>
                <w:szCs w:val="15"/>
                <w:lang w:bidi="ar"/>
              </w:rPr>
              <w:t>-104,374,583.34</w:t>
            </w:r>
          </w:p>
        </w:tc>
      </w:tr>
      <w:tr w:rsidR="00597E75" w:rsidTr="00597E75">
        <w:trPr>
          <w:jc w:val="center"/>
        </w:trPr>
        <w:sdt>
          <w:sdtPr>
            <w:rPr>
              <w:rFonts w:asciiTheme="minorEastAsia" w:eastAsiaTheme="minorEastAsia" w:hAnsiTheme="minorEastAsia"/>
              <w:color w:val="000000" w:themeColor="text1"/>
              <w:sz w:val="15"/>
              <w:szCs w:val="15"/>
            </w:rPr>
            <w:tag w:val="_PLD_033ca7ec3c1d4c1b905d0af57ca8a614"/>
            <w:id w:val="340903270"/>
          </w:sdtPr>
          <w:sdtEndPr/>
          <w:sdtContent>
            <w:tc>
              <w:tcPr>
                <w:tcW w:w="498" w:type="pct"/>
                <w:gridSpan w:val="2"/>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四、本期期末余额</w:t>
                </w:r>
              </w:p>
            </w:tc>
          </w:sdtContent>
        </w:sdt>
        <w:tc>
          <w:tcPr>
            <w:tcW w:w="470"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100,448,700.00</w:t>
            </w:r>
          </w:p>
        </w:tc>
        <w:tc>
          <w:tcPr>
            <w:tcW w:w="101" w:type="pct"/>
          </w:tcPr>
          <w:p w:rsidR="000C5659" w:rsidRDefault="000C5659">
            <w:pPr>
              <w:jc w:val="right"/>
              <w:rPr>
                <w:rFonts w:asciiTheme="minorEastAsia" w:eastAsiaTheme="minorEastAsia" w:hAnsiTheme="minorEastAsia"/>
                <w:sz w:val="15"/>
                <w:szCs w:val="15"/>
              </w:rPr>
            </w:pPr>
          </w:p>
        </w:tc>
        <w:tc>
          <w:tcPr>
            <w:tcW w:w="101" w:type="pct"/>
          </w:tcPr>
          <w:p w:rsidR="000C5659" w:rsidRDefault="000C5659">
            <w:pPr>
              <w:jc w:val="right"/>
              <w:rPr>
                <w:rFonts w:asciiTheme="minorEastAsia" w:eastAsiaTheme="minorEastAsia" w:hAnsiTheme="minorEastAsia"/>
                <w:sz w:val="15"/>
                <w:szCs w:val="15"/>
              </w:rPr>
            </w:pPr>
          </w:p>
        </w:tc>
        <w:tc>
          <w:tcPr>
            <w:tcW w:w="102" w:type="pct"/>
          </w:tcPr>
          <w:p w:rsidR="000C5659" w:rsidRDefault="000C5659">
            <w:pPr>
              <w:jc w:val="right"/>
              <w:rPr>
                <w:rFonts w:asciiTheme="minorEastAsia" w:eastAsiaTheme="minorEastAsia" w:hAnsiTheme="minorEastAsia"/>
                <w:sz w:val="15"/>
                <w:szCs w:val="15"/>
              </w:rPr>
            </w:pPr>
          </w:p>
        </w:tc>
        <w:tc>
          <w:tcPr>
            <w:tcW w:w="51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368,898,110.48</w:t>
            </w:r>
          </w:p>
        </w:tc>
        <w:tc>
          <w:tcPr>
            <w:tcW w:w="90" w:type="pct"/>
          </w:tcPr>
          <w:p w:rsidR="000C5659" w:rsidRDefault="000C5659">
            <w:pPr>
              <w:jc w:val="right"/>
              <w:rPr>
                <w:rFonts w:asciiTheme="minorEastAsia" w:eastAsiaTheme="minorEastAsia" w:hAnsiTheme="minorEastAsia"/>
                <w:sz w:val="15"/>
                <w:szCs w:val="15"/>
              </w:rPr>
            </w:pPr>
          </w:p>
        </w:tc>
        <w:tc>
          <w:tcPr>
            <w:tcW w:w="40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1,291,493.78</w:t>
            </w:r>
          </w:p>
        </w:tc>
        <w:tc>
          <w:tcPr>
            <w:tcW w:w="101" w:type="pct"/>
          </w:tcPr>
          <w:p w:rsidR="000C5659" w:rsidRDefault="000C5659">
            <w:pPr>
              <w:jc w:val="right"/>
              <w:rPr>
                <w:rFonts w:asciiTheme="minorEastAsia" w:eastAsiaTheme="minorEastAsia" w:hAnsiTheme="minorEastAsia"/>
                <w:sz w:val="15"/>
                <w:szCs w:val="15"/>
              </w:rPr>
            </w:pPr>
          </w:p>
        </w:tc>
        <w:tc>
          <w:tcPr>
            <w:tcW w:w="454"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46,282,190.67</w:t>
            </w:r>
          </w:p>
        </w:tc>
        <w:tc>
          <w:tcPr>
            <w:tcW w:w="101" w:type="pct"/>
          </w:tcPr>
          <w:p w:rsidR="000C5659" w:rsidRDefault="000C5659">
            <w:pPr>
              <w:jc w:val="right"/>
              <w:rPr>
                <w:rFonts w:asciiTheme="minorEastAsia" w:eastAsiaTheme="minorEastAsia" w:hAnsiTheme="minorEastAsia"/>
                <w:sz w:val="15"/>
                <w:szCs w:val="15"/>
              </w:rPr>
            </w:pPr>
          </w:p>
        </w:tc>
        <w:tc>
          <w:tcPr>
            <w:tcW w:w="453"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592,143,850.49</w:t>
            </w:r>
          </w:p>
        </w:tc>
        <w:tc>
          <w:tcPr>
            <w:tcW w:w="101" w:type="pct"/>
          </w:tcPr>
          <w:p w:rsidR="000C5659" w:rsidRDefault="000C5659">
            <w:pPr>
              <w:jc w:val="right"/>
              <w:rPr>
                <w:rFonts w:asciiTheme="minorEastAsia" w:eastAsiaTheme="minorEastAsia" w:hAnsiTheme="minorEastAsia"/>
                <w:sz w:val="15"/>
                <w:szCs w:val="15"/>
              </w:rPr>
            </w:pPr>
          </w:p>
        </w:tc>
        <w:tc>
          <w:tcPr>
            <w:tcW w:w="505" w:type="pct"/>
          </w:tcPr>
          <w:p w:rsidR="000C5659" w:rsidRDefault="000E33C4">
            <w:pPr>
              <w:jc w:val="right"/>
              <w:textAlignment w:val="top"/>
              <w:rPr>
                <w:rFonts w:asciiTheme="minorEastAsia" w:eastAsiaTheme="minorEastAsia" w:hAnsiTheme="minorEastAsia"/>
                <w:sz w:val="15"/>
                <w:szCs w:val="15"/>
              </w:rPr>
            </w:pPr>
            <w:r>
              <w:rPr>
                <w:rFonts w:hint="eastAsia"/>
                <w:color w:val="000000"/>
                <w:sz w:val="15"/>
                <w:szCs w:val="15"/>
                <w:lang w:bidi="ar"/>
              </w:rPr>
              <w:t>1,109,064,345.42</w:t>
            </w:r>
          </w:p>
        </w:tc>
        <w:tc>
          <w:tcPr>
            <w:tcW w:w="453" w:type="pct"/>
          </w:tcPr>
          <w:p w:rsidR="000C5659" w:rsidRDefault="000E33C4">
            <w:pPr>
              <w:jc w:val="right"/>
              <w:textAlignment w:val="top"/>
              <w:rPr>
                <w:sz w:val="18"/>
                <w:szCs w:val="18"/>
              </w:rPr>
            </w:pPr>
            <w:r>
              <w:rPr>
                <w:rFonts w:hint="eastAsia"/>
                <w:color w:val="000000"/>
                <w:sz w:val="15"/>
                <w:szCs w:val="15"/>
                <w:lang w:bidi="ar"/>
              </w:rPr>
              <w:t>69,349,591.80</w:t>
            </w:r>
          </w:p>
        </w:tc>
        <w:tc>
          <w:tcPr>
            <w:tcW w:w="551" w:type="pct"/>
          </w:tcPr>
          <w:p w:rsidR="000C5659" w:rsidRDefault="000E33C4">
            <w:pPr>
              <w:jc w:val="right"/>
              <w:textAlignment w:val="top"/>
              <w:rPr>
                <w:sz w:val="18"/>
                <w:szCs w:val="18"/>
              </w:rPr>
            </w:pPr>
            <w:r>
              <w:rPr>
                <w:rFonts w:hint="eastAsia"/>
                <w:color w:val="000000"/>
                <w:sz w:val="15"/>
                <w:szCs w:val="15"/>
                <w:lang w:bidi="ar"/>
              </w:rPr>
              <w:t>1,178,413,937.22</w:t>
            </w:r>
          </w:p>
        </w:tc>
      </w:tr>
    </w:tbl>
    <w:p w:rsidR="000C5659" w:rsidRDefault="000C5659">
      <w:pPr>
        <w:pStyle w:val="Style325"/>
      </w:pPr>
    </w:p>
    <w:p w:rsidR="000C5659" w:rsidRDefault="000C5659">
      <w:pPr>
        <w:snapToGrid w:val="0"/>
        <w:spacing w:line="240" w:lineRule="atLeast"/>
        <w:ind w:rightChars="-759" w:right="-1594"/>
        <w:rPr>
          <w:color w:val="000000" w:themeColor="text1"/>
        </w:rPr>
      </w:pPr>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266"/>
        <w:gridCol w:w="387"/>
        <w:gridCol w:w="390"/>
        <w:gridCol w:w="390"/>
        <w:gridCol w:w="1266"/>
        <w:gridCol w:w="516"/>
        <w:gridCol w:w="1116"/>
        <w:gridCol w:w="366"/>
        <w:gridCol w:w="1191"/>
        <w:gridCol w:w="366"/>
        <w:gridCol w:w="1266"/>
        <w:gridCol w:w="423"/>
        <w:gridCol w:w="1416"/>
        <w:gridCol w:w="617"/>
        <w:gridCol w:w="1416"/>
      </w:tblGrid>
      <w:tr w:rsidR="000C5659">
        <w:trPr>
          <w:cantSplit/>
        </w:trPr>
        <w:tc>
          <w:tcPr>
            <w:tcW w:w="659" w:type="pct"/>
            <w:vMerge w:val="restart"/>
            <w:vAlign w:val="center"/>
          </w:tcPr>
          <w:sdt>
            <w:sdtPr>
              <w:rPr>
                <w:rFonts w:asciiTheme="minorEastAsia" w:eastAsiaTheme="minorEastAsia" w:hAnsiTheme="minorEastAsia" w:hint="eastAsia"/>
                <w:color w:val="000000" w:themeColor="text1"/>
                <w:sz w:val="15"/>
                <w:szCs w:val="15"/>
              </w:rPr>
              <w:tag w:val="_PLD_20eb9c9dd1e14fb0a0790f87b63a489d"/>
              <w:id w:val="1331496170"/>
            </w:sdtPr>
            <w:sdtEndPr/>
            <w:sdtContent>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w:t>
                </w:r>
              </w:p>
            </w:sdtContent>
          </w:sdt>
        </w:tc>
        <w:tc>
          <w:tcPr>
            <w:tcW w:w="4341" w:type="pct"/>
            <w:gridSpan w:val="15"/>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 xml:space="preserve"> </w:t>
            </w:r>
            <w:sdt>
              <w:sdtPr>
                <w:rPr>
                  <w:rFonts w:asciiTheme="minorEastAsia" w:eastAsiaTheme="minorEastAsia" w:hAnsiTheme="minorEastAsia" w:hint="eastAsia"/>
                  <w:color w:val="000000" w:themeColor="text1"/>
                  <w:sz w:val="15"/>
                  <w:szCs w:val="15"/>
                </w:rPr>
                <w:tag w:val="_PLD_95c0e6e5f75a49daa1b601f67b7dd704"/>
                <w:id w:val="-1049836186"/>
              </w:sdtPr>
              <w:sdtEndPr/>
              <w:sdtContent>
                <w:r>
                  <w:rPr>
                    <w:rFonts w:asciiTheme="minorEastAsia" w:eastAsiaTheme="minorEastAsia" w:hAnsiTheme="minorEastAsia" w:hint="eastAsia"/>
                    <w:color w:val="000000" w:themeColor="text1"/>
                    <w:sz w:val="15"/>
                    <w:szCs w:val="15"/>
                  </w:rPr>
                  <w:t>2023年半年度</w:t>
                </w:r>
              </w:sdtContent>
            </w:sdt>
          </w:p>
        </w:tc>
      </w:tr>
      <w:tr w:rsidR="000C5659">
        <w:trPr>
          <w:cantSplit/>
          <w:trHeight w:val="471"/>
        </w:trPr>
        <w:tc>
          <w:tcPr>
            <w:tcW w:w="659" w:type="pct"/>
            <w:vMerge/>
          </w:tcPr>
          <w:p w:rsidR="000C5659" w:rsidRDefault="000C5659">
            <w:pPr>
              <w:snapToGrid w:val="0"/>
              <w:spacing w:line="240" w:lineRule="atLeast"/>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3c5d65171933469ea16eac46afc03a54"/>
            <w:id w:val="1397317814"/>
          </w:sdtPr>
          <w:sdtEndPr/>
          <w:sdtContent>
            <w:tc>
              <w:tcPr>
                <w:tcW w:w="3605" w:type="pct"/>
                <w:gridSpan w:val="13"/>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归属于母公司所有者权益</w:t>
                </w:r>
              </w:p>
            </w:tc>
          </w:sdtContent>
        </w:sdt>
        <w:sdt>
          <w:sdtPr>
            <w:rPr>
              <w:rFonts w:asciiTheme="minorEastAsia" w:eastAsiaTheme="minorEastAsia" w:hAnsiTheme="minorEastAsia"/>
              <w:color w:val="000000" w:themeColor="text1"/>
              <w:sz w:val="15"/>
              <w:szCs w:val="15"/>
            </w:rPr>
            <w:tag w:val="_PLD_ba7b1c99b1634f48939c500d6c46ce09"/>
            <w:id w:val="1957361610"/>
          </w:sdtPr>
          <w:sdtEndPr/>
          <w:sdtContent>
            <w:tc>
              <w:tcPr>
                <w:tcW w:w="351" w:type="pct"/>
                <w:vMerge w:val="restart"/>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少数股东权益</w:t>
                </w:r>
              </w:p>
            </w:tc>
          </w:sdtContent>
        </w:sdt>
        <w:sdt>
          <w:sdtPr>
            <w:rPr>
              <w:rFonts w:asciiTheme="minorEastAsia" w:eastAsiaTheme="minorEastAsia" w:hAnsiTheme="minorEastAsia"/>
              <w:color w:val="000000" w:themeColor="text1"/>
              <w:sz w:val="15"/>
              <w:szCs w:val="15"/>
            </w:rPr>
            <w:tag w:val="_PLD_fb367567c5f141a5863649df07435b71"/>
            <w:id w:val="1770347424"/>
          </w:sdtPr>
          <w:sdtEndPr/>
          <w:sdtContent>
            <w:tc>
              <w:tcPr>
                <w:tcW w:w="385" w:type="pct"/>
                <w:vMerge w:val="restart"/>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所有者权益合计</w:t>
                </w:r>
              </w:p>
            </w:tc>
          </w:sdtContent>
        </w:sdt>
      </w:tr>
      <w:tr w:rsidR="000C5659">
        <w:trPr>
          <w:cantSplit/>
          <w:trHeight w:val="383"/>
        </w:trPr>
        <w:tc>
          <w:tcPr>
            <w:tcW w:w="659" w:type="pct"/>
            <w:vMerge/>
          </w:tcPr>
          <w:p w:rsidR="000C5659" w:rsidRDefault="000C5659">
            <w:pPr>
              <w:snapToGrid w:val="0"/>
              <w:spacing w:line="240" w:lineRule="atLeast"/>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36b3a5c009c04b53b0bd25afc2596e7e"/>
            <w:id w:val="1561671837"/>
          </w:sdtPr>
          <w:sdtEndPr/>
          <w:sdtContent>
            <w:tc>
              <w:tcPr>
                <w:tcW w:w="268"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实收资本</w:t>
                </w:r>
                <w:r>
                  <w:rPr>
                    <w:rFonts w:asciiTheme="minorEastAsia" w:eastAsiaTheme="minorEastAsia" w:hAnsiTheme="minorEastAsia"/>
                    <w:color w:val="000000" w:themeColor="text1"/>
                    <w:sz w:val="15"/>
                    <w:szCs w:val="15"/>
                  </w:rPr>
                  <w:t>(或股本)</w:t>
                </w:r>
              </w:p>
            </w:tc>
          </w:sdtContent>
        </w:sdt>
        <w:sdt>
          <w:sdtPr>
            <w:rPr>
              <w:rFonts w:asciiTheme="minorEastAsia" w:eastAsiaTheme="minorEastAsia" w:hAnsiTheme="minorEastAsia"/>
              <w:color w:val="000000" w:themeColor="text1"/>
              <w:sz w:val="15"/>
              <w:szCs w:val="15"/>
            </w:rPr>
            <w:tag w:val="_PLD_c0579a9940424a129a85d26955bb30bc"/>
            <w:id w:val="547037058"/>
          </w:sdtPr>
          <w:sdtEndPr/>
          <w:sdtContent>
            <w:tc>
              <w:tcPr>
                <w:tcW w:w="806" w:type="pct"/>
                <w:gridSpan w:val="3"/>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其他权益工具</w:t>
                </w:r>
              </w:p>
            </w:tc>
          </w:sdtContent>
        </w:sdt>
        <w:sdt>
          <w:sdtPr>
            <w:rPr>
              <w:rFonts w:asciiTheme="minorEastAsia" w:eastAsiaTheme="minorEastAsia" w:hAnsiTheme="minorEastAsia"/>
              <w:color w:val="000000" w:themeColor="text1"/>
              <w:sz w:val="15"/>
              <w:szCs w:val="15"/>
            </w:rPr>
            <w:tag w:val="_PLD_f728bf12d1d64c4fa04dfc828a7a0411"/>
            <w:id w:val="-19395662"/>
          </w:sdtPr>
          <w:sdtEndPr/>
          <w:sdtContent>
            <w:tc>
              <w:tcPr>
                <w:tcW w:w="269"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资本公积</w:t>
                </w:r>
              </w:p>
            </w:tc>
          </w:sdtContent>
        </w:sdt>
        <w:sdt>
          <w:sdtPr>
            <w:rPr>
              <w:rFonts w:asciiTheme="minorEastAsia" w:eastAsiaTheme="minorEastAsia" w:hAnsiTheme="minorEastAsia"/>
              <w:color w:val="000000" w:themeColor="text1"/>
              <w:sz w:val="15"/>
              <w:szCs w:val="15"/>
            </w:rPr>
            <w:tag w:val="_PLD_8c191e0685ac4367b113504c484a11e9"/>
            <w:id w:val="-258759463"/>
          </w:sdtPr>
          <w:sdtEndPr/>
          <w:sdtContent>
            <w:tc>
              <w:tcPr>
                <w:tcW w:w="269"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减：库存股</w:t>
                </w:r>
              </w:p>
            </w:tc>
          </w:sdtContent>
        </w:sdt>
        <w:sdt>
          <w:sdtPr>
            <w:rPr>
              <w:rFonts w:asciiTheme="minorEastAsia" w:eastAsiaTheme="minorEastAsia" w:hAnsiTheme="minorEastAsia"/>
              <w:color w:val="000000" w:themeColor="text1"/>
              <w:sz w:val="15"/>
              <w:szCs w:val="15"/>
            </w:rPr>
            <w:tag w:val="_PLD_68ae3206209542ea8491f40d49bafeb7"/>
            <w:id w:val="-2013441616"/>
          </w:sdtPr>
          <w:sdtEndPr/>
          <w:sdtContent>
            <w:tc>
              <w:tcPr>
                <w:tcW w:w="269"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其他综合收益</w:t>
                </w:r>
              </w:p>
            </w:tc>
          </w:sdtContent>
        </w:sdt>
        <w:sdt>
          <w:sdtPr>
            <w:rPr>
              <w:rFonts w:asciiTheme="minorEastAsia" w:eastAsiaTheme="minorEastAsia" w:hAnsiTheme="minorEastAsia"/>
              <w:color w:val="000000" w:themeColor="text1"/>
              <w:sz w:val="15"/>
              <w:szCs w:val="15"/>
            </w:rPr>
            <w:tag w:val="_PLD_6402f064d7a041d58973d8b8205096d0"/>
            <w:id w:val="435942974"/>
          </w:sdtPr>
          <w:sdtEndPr/>
          <w:sdtContent>
            <w:tc>
              <w:tcPr>
                <w:tcW w:w="269"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专项储备</w:t>
                </w:r>
              </w:p>
            </w:tc>
          </w:sdtContent>
        </w:sdt>
        <w:sdt>
          <w:sdtPr>
            <w:rPr>
              <w:rFonts w:asciiTheme="minorEastAsia" w:eastAsiaTheme="minorEastAsia" w:hAnsiTheme="minorEastAsia"/>
              <w:color w:val="000000" w:themeColor="text1"/>
              <w:sz w:val="15"/>
              <w:szCs w:val="15"/>
            </w:rPr>
            <w:tag w:val="_PLD_b1d22d8686164205bfa14ef647cebfcd"/>
            <w:id w:val="294192608"/>
          </w:sdtPr>
          <w:sdtEndPr/>
          <w:sdtContent>
            <w:tc>
              <w:tcPr>
                <w:tcW w:w="269"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盈余公积</w:t>
                </w:r>
              </w:p>
            </w:tc>
          </w:sdtContent>
        </w:sdt>
        <w:sdt>
          <w:sdtPr>
            <w:rPr>
              <w:rFonts w:asciiTheme="minorEastAsia" w:eastAsiaTheme="minorEastAsia" w:hAnsiTheme="minorEastAsia"/>
              <w:color w:val="000000" w:themeColor="text1"/>
              <w:sz w:val="15"/>
              <w:szCs w:val="15"/>
            </w:rPr>
            <w:tag w:val="_PLD_c5c57d0195b14864b413898a9c76e89d"/>
            <w:id w:val="-1663226039"/>
          </w:sdtPr>
          <w:sdtEndPr/>
          <w:sdtContent>
            <w:tc>
              <w:tcPr>
                <w:tcW w:w="269"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一般风险准备</w:t>
                </w:r>
              </w:p>
            </w:tc>
          </w:sdtContent>
        </w:sdt>
        <w:sdt>
          <w:sdtPr>
            <w:rPr>
              <w:rFonts w:asciiTheme="minorEastAsia" w:eastAsiaTheme="minorEastAsia" w:hAnsiTheme="minorEastAsia"/>
              <w:color w:val="000000" w:themeColor="text1"/>
              <w:sz w:val="15"/>
              <w:szCs w:val="15"/>
            </w:rPr>
            <w:tag w:val="_PLD_c9bffd2027d24ca1955db036ad79f5ea"/>
            <w:id w:val="1657257809"/>
          </w:sdtPr>
          <w:sdtEndPr/>
          <w:sdtContent>
            <w:tc>
              <w:tcPr>
                <w:tcW w:w="313" w:type="pct"/>
                <w:vMerge w:val="restart"/>
                <w:vAlign w:val="center"/>
              </w:tcPr>
              <w:p w:rsidR="000C5659" w:rsidRDefault="000E33C4">
                <w:pPr>
                  <w:snapToGrid w:val="0"/>
                  <w:spacing w:line="240" w:lineRule="atLeast"/>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未分配利润</w:t>
                </w:r>
              </w:p>
            </w:tc>
          </w:sdtContent>
        </w:sdt>
        <w:tc>
          <w:tcPr>
            <w:tcW w:w="309" w:type="pct"/>
            <w:vMerge w:val="restart"/>
            <w:vAlign w:val="center"/>
          </w:tcPr>
          <w:sdt>
            <w:sdtPr>
              <w:rPr>
                <w:rFonts w:asciiTheme="minorEastAsia" w:eastAsiaTheme="minorEastAsia" w:hAnsiTheme="minorEastAsia" w:hint="eastAsia"/>
                <w:color w:val="000000" w:themeColor="text1"/>
                <w:sz w:val="15"/>
                <w:szCs w:val="15"/>
              </w:rPr>
              <w:tag w:val="_PLD_de6da1e2128f48e49564e44af75ff7ab"/>
              <w:id w:val="-1225905772"/>
            </w:sdtPr>
            <w:sdtEndPr/>
            <w:sdtContent>
              <w:sdt>
                <w:sdtPr>
                  <w:rPr>
                    <w:rFonts w:asciiTheme="minorEastAsia" w:eastAsiaTheme="minorEastAsia" w:hAnsiTheme="minorEastAsia" w:hint="eastAsia"/>
                    <w:color w:val="000000" w:themeColor="text1"/>
                    <w:sz w:val="15"/>
                    <w:szCs w:val="15"/>
                  </w:rPr>
                  <w:tag w:val="_PLD_ff5e808cf3794086a9aee4c489a9f6eb"/>
                  <w:id w:val="-592856825"/>
                </w:sdtPr>
                <w:sdtEndPr/>
                <w:sdtContent>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sdtContent>
              </w:sdt>
            </w:sdtContent>
          </w:sdt>
        </w:tc>
        <w:tc>
          <w:tcPr>
            <w:tcW w:w="295" w:type="pct"/>
            <w:vMerge w:val="restart"/>
            <w:vAlign w:val="center"/>
          </w:tcPr>
          <w:sdt>
            <w:sdtPr>
              <w:rPr>
                <w:rFonts w:asciiTheme="minorEastAsia" w:eastAsiaTheme="minorEastAsia" w:hAnsiTheme="minorEastAsia" w:hint="eastAsia"/>
                <w:color w:val="000000" w:themeColor="text1"/>
                <w:sz w:val="15"/>
                <w:szCs w:val="15"/>
              </w:rPr>
              <w:tag w:val="_PLD_e6df9793a438430a8df9730b2cdd8a99"/>
              <w:id w:val="1505861555"/>
            </w:sdtPr>
            <w:sdtEndPr/>
            <w:sdtContent>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小计</w:t>
                </w:r>
              </w:p>
            </w:sdtContent>
          </w:sdt>
        </w:tc>
        <w:tc>
          <w:tcPr>
            <w:tcW w:w="351" w:type="pct"/>
            <w:vMerge/>
          </w:tcPr>
          <w:p w:rsidR="000C5659" w:rsidRDefault="000C5659">
            <w:pPr>
              <w:jc w:val="center"/>
              <w:rPr>
                <w:rFonts w:asciiTheme="minorEastAsia" w:eastAsiaTheme="minorEastAsia" w:hAnsiTheme="minorEastAsia"/>
                <w:color w:val="000000" w:themeColor="text1"/>
                <w:sz w:val="15"/>
                <w:szCs w:val="15"/>
              </w:rPr>
            </w:pPr>
          </w:p>
        </w:tc>
        <w:tc>
          <w:tcPr>
            <w:tcW w:w="385" w:type="pct"/>
            <w:vMerge/>
          </w:tcPr>
          <w:p w:rsidR="000C5659" w:rsidRDefault="000C5659">
            <w:pPr>
              <w:jc w:val="center"/>
              <w:rPr>
                <w:rFonts w:asciiTheme="minorEastAsia" w:eastAsiaTheme="minorEastAsia" w:hAnsiTheme="minorEastAsia"/>
                <w:color w:val="000000" w:themeColor="text1"/>
                <w:sz w:val="15"/>
                <w:szCs w:val="15"/>
              </w:rPr>
            </w:pPr>
          </w:p>
        </w:tc>
      </w:tr>
      <w:tr w:rsidR="000C5659">
        <w:trPr>
          <w:cantSplit/>
          <w:trHeight w:val="303"/>
        </w:trPr>
        <w:tc>
          <w:tcPr>
            <w:tcW w:w="659" w:type="pct"/>
            <w:vMerge/>
          </w:tcPr>
          <w:p w:rsidR="000C5659" w:rsidRDefault="000C5659">
            <w:pPr>
              <w:snapToGrid w:val="0"/>
              <w:spacing w:line="240" w:lineRule="atLeast"/>
              <w:ind w:rightChars="-759" w:right="-1594"/>
              <w:rPr>
                <w:rFonts w:asciiTheme="minorEastAsia" w:eastAsiaTheme="minorEastAsia" w:hAnsiTheme="minorEastAsia"/>
                <w:color w:val="000000" w:themeColor="text1"/>
                <w:sz w:val="15"/>
                <w:szCs w:val="15"/>
              </w:rPr>
            </w:pPr>
          </w:p>
        </w:tc>
        <w:tc>
          <w:tcPr>
            <w:tcW w:w="268"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052ae87eff474159aaedec0c5ce4bb50"/>
            <w:id w:val="47808609"/>
          </w:sdtPr>
          <w:sdtEndPr/>
          <w:sdtContent>
            <w:tc>
              <w:tcPr>
                <w:tcW w:w="268" w:type="pct"/>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优先股</w:t>
                </w:r>
              </w:p>
            </w:tc>
          </w:sdtContent>
        </w:sdt>
        <w:sdt>
          <w:sdtPr>
            <w:rPr>
              <w:rFonts w:asciiTheme="minorEastAsia" w:eastAsiaTheme="minorEastAsia" w:hAnsiTheme="minorEastAsia"/>
              <w:color w:val="000000" w:themeColor="text1"/>
              <w:sz w:val="15"/>
              <w:szCs w:val="15"/>
            </w:rPr>
            <w:tag w:val="_PLD_f40d311f528a48d8a47457e11ad5ccd5"/>
            <w:id w:val="1685862306"/>
          </w:sdtPr>
          <w:sdtEndPr/>
          <w:sdtContent>
            <w:tc>
              <w:tcPr>
                <w:tcW w:w="269" w:type="pct"/>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永续债</w:t>
                </w:r>
              </w:p>
            </w:tc>
          </w:sdtContent>
        </w:sdt>
        <w:sdt>
          <w:sdtPr>
            <w:rPr>
              <w:rFonts w:asciiTheme="minorEastAsia" w:eastAsiaTheme="minorEastAsia" w:hAnsiTheme="minorEastAsia"/>
              <w:color w:val="000000" w:themeColor="text1"/>
              <w:sz w:val="15"/>
              <w:szCs w:val="15"/>
            </w:rPr>
            <w:tag w:val="_PLD_90f98adf8eaf44078005d57f570c4291"/>
            <w:id w:val="-2138170272"/>
          </w:sdtPr>
          <w:sdtEndPr/>
          <w:sdtContent>
            <w:tc>
              <w:tcPr>
                <w:tcW w:w="269" w:type="pct"/>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269"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269"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269"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269"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269"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269"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313" w:type="pct"/>
            <w:vMerge/>
          </w:tcPr>
          <w:p w:rsidR="000C5659" w:rsidRDefault="000C5659">
            <w:pPr>
              <w:snapToGrid w:val="0"/>
              <w:spacing w:line="240" w:lineRule="atLeast"/>
              <w:jc w:val="center"/>
              <w:rPr>
                <w:rFonts w:asciiTheme="minorEastAsia" w:eastAsiaTheme="minorEastAsia" w:hAnsiTheme="minorEastAsia"/>
                <w:color w:val="000000" w:themeColor="text1"/>
                <w:sz w:val="15"/>
                <w:szCs w:val="15"/>
              </w:rPr>
            </w:pPr>
          </w:p>
        </w:tc>
        <w:tc>
          <w:tcPr>
            <w:tcW w:w="309" w:type="pct"/>
            <w:vMerge/>
          </w:tcPr>
          <w:p w:rsidR="000C5659" w:rsidRDefault="000C5659">
            <w:pPr>
              <w:jc w:val="center"/>
              <w:rPr>
                <w:rFonts w:asciiTheme="minorEastAsia" w:eastAsiaTheme="minorEastAsia" w:hAnsiTheme="minorEastAsia"/>
                <w:color w:val="000000" w:themeColor="text1"/>
                <w:sz w:val="15"/>
                <w:szCs w:val="15"/>
              </w:rPr>
            </w:pPr>
          </w:p>
        </w:tc>
        <w:tc>
          <w:tcPr>
            <w:tcW w:w="295" w:type="pct"/>
            <w:vMerge/>
          </w:tcPr>
          <w:p w:rsidR="000C5659" w:rsidRDefault="000C5659">
            <w:pPr>
              <w:jc w:val="center"/>
              <w:rPr>
                <w:rFonts w:asciiTheme="minorEastAsia" w:eastAsiaTheme="minorEastAsia" w:hAnsiTheme="minorEastAsia"/>
                <w:color w:val="000000" w:themeColor="text1"/>
                <w:sz w:val="15"/>
                <w:szCs w:val="15"/>
              </w:rPr>
            </w:pPr>
          </w:p>
        </w:tc>
        <w:tc>
          <w:tcPr>
            <w:tcW w:w="351" w:type="pct"/>
            <w:vMerge/>
          </w:tcPr>
          <w:p w:rsidR="000C5659" w:rsidRDefault="000C5659">
            <w:pPr>
              <w:jc w:val="center"/>
              <w:rPr>
                <w:rFonts w:asciiTheme="minorEastAsia" w:eastAsiaTheme="minorEastAsia" w:hAnsiTheme="minorEastAsia"/>
                <w:color w:val="000000" w:themeColor="text1"/>
                <w:sz w:val="15"/>
                <w:szCs w:val="15"/>
              </w:rPr>
            </w:pPr>
          </w:p>
        </w:tc>
        <w:tc>
          <w:tcPr>
            <w:tcW w:w="385" w:type="pct"/>
            <w:vMerge/>
            <w:tcBorders>
              <w:bottom w:val="nil"/>
            </w:tcBorders>
          </w:tcPr>
          <w:p w:rsidR="000C5659" w:rsidRDefault="000C5659">
            <w:pPr>
              <w:jc w:val="center"/>
              <w:rPr>
                <w:rFonts w:asciiTheme="minorEastAsia" w:eastAsiaTheme="minorEastAsia" w:hAnsiTheme="minorEastAsia"/>
                <w:color w:val="000000" w:themeColor="text1"/>
                <w:sz w:val="15"/>
                <w:szCs w:val="15"/>
              </w:rPr>
            </w:pPr>
          </w:p>
        </w:tc>
      </w:tr>
      <w:tr w:rsidR="000C5659">
        <w:sdt>
          <w:sdtPr>
            <w:rPr>
              <w:rFonts w:asciiTheme="minorEastAsia" w:eastAsiaTheme="minorEastAsia" w:hAnsiTheme="minorEastAsia"/>
              <w:color w:val="000000" w:themeColor="text1"/>
              <w:sz w:val="15"/>
              <w:szCs w:val="15"/>
            </w:rPr>
            <w:tag w:val="_PLD_7e9607e7cfb34d74bf0fce08e0866d34"/>
            <w:id w:val="-376710108"/>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一、上年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末余额</w:t>
                </w:r>
              </w:p>
            </w:tc>
          </w:sdtContent>
        </w:sdt>
        <w:tc>
          <w:tcPr>
            <w:tcW w:w="268"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100,000,000.00</w:t>
            </w: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514,479,499.20</w:t>
            </w: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-357,372.43</w:t>
            </w: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45,355,874.20</w:t>
            </w: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505,522,580.19</w:t>
            </w: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1,165,000,581.16</w:t>
            </w: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1,165,000,581.16</w:t>
            </w:r>
          </w:p>
        </w:tc>
      </w:tr>
      <w:tr w:rsidR="000C5659">
        <w:sdt>
          <w:sdtPr>
            <w:rPr>
              <w:rFonts w:asciiTheme="minorEastAsia" w:eastAsiaTheme="minorEastAsia" w:hAnsiTheme="minorEastAsia"/>
              <w:color w:val="000000" w:themeColor="text1"/>
              <w:sz w:val="15"/>
              <w:szCs w:val="15"/>
            </w:rPr>
            <w:tag w:val="_PLD_fd33bb0caf614a75b319dc40c7515dcc"/>
            <w:id w:val="-1107113121"/>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加：</w:t>
                </w:r>
                <w:r>
                  <w:rPr>
                    <w:rFonts w:asciiTheme="minorEastAsia" w:eastAsiaTheme="minorEastAsia" w:hAnsiTheme="minorEastAsia"/>
                    <w:color w:val="000000" w:themeColor="text1"/>
                    <w:sz w:val="15"/>
                    <w:szCs w:val="15"/>
                  </w:rPr>
                  <w:t>会计政策变更</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15b4364437fa4ad39040010f7c204056"/>
            <w:id w:val="1902089171"/>
          </w:sdtPr>
          <w:sdtEndPr/>
          <w:sdtContent>
            <w:tc>
              <w:tcPr>
                <w:tcW w:w="659" w:type="pct"/>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前期差错更正</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87118e97730e486dbbcc5e072b67665f"/>
            <w:id w:val="1884741333"/>
          </w:sdtPr>
          <w:sdtEndPr/>
          <w:sdtContent>
            <w:tc>
              <w:tcPr>
                <w:tcW w:w="659" w:type="pct"/>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b579c38070f04b86951daea3037af89c"/>
            <w:id w:val="-378092704"/>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二、本年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初余额</w:t>
                </w:r>
              </w:p>
            </w:tc>
          </w:sdtContent>
        </w:sdt>
        <w:tc>
          <w:tcPr>
            <w:tcW w:w="268"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100,000,000.00</w:t>
            </w: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514,479,499.20</w:t>
            </w: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-357,372.43</w:t>
            </w: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45,355,874.20</w:t>
            </w: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505,522,580.19</w:t>
            </w: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1,165,000,581.16</w:t>
            </w: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1,165,000,581.16</w:t>
            </w:r>
          </w:p>
        </w:tc>
      </w:tr>
      <w:tr w:rsidR="000C5659">
        <w:sdt>
          <w:sdtPr>
            <w:rPr>
              <w:rFonts w:asciiTheme="minorEastAsia" w:eastAsiaTheme="minorEastAsia" w:hAnsiTheme="minorEastAsia"/>
              <w:color w:val="000000" w:themeColor="text1"/>
              <w:sz w:val="15"/>
              <w:szCs w:val="15"/>
            </w:rPr>
            <w:tag w:val="_PLD_186aec2424a047ee9af21797aa0ee0d8"/>
            <w:id w:val="-1798746973"/>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三、本</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增减变动金额（减少以“－”号填列）</w:t>
                </w:r>
              </w:p>
            </w:tc>
          </w:sdtContent>
        </w:sdt>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127,890.00</w:t>
            </w:r>
          </w:p>
        </w:tc>
        <w:tc>
          <w:tcPr>
            <w:tcW w:w="368" w:type="dxa"/>
          </w:tcPr>
          <w:p w:rsidR="000C5659" w:rsidRDefault="000C5659">
            <w:pPr>
              <w:jc w:val="right"/>
              <w:rPr>
                <w:rFonts w:asciiTheme="minorEastAsia" w:eastAsiaTheme="minorEastAsia" w:hAnsiTheme="minorEastAsia"/>
                <w:sz w:val="15"/>
                <w:szCs w:val="15"/>
              </w:rPr>
            </w:pPr>
          </w:p>
        </w:tc>
        <w:tc>
          <w:tcPr>
            <w:tcW w:w="368" w:type="dxa"/>
          </w:tcPr>
          <w:p w:rsidR="000C5659" w:rsidRDefault="000C5659">
            <w:pPr>
              <w:jc w:val="right"/>
              <w:rPr>
                <w:rFonts w:asciiTheme="minorEastAsia" w:eastAsiaTheme="minorEastAsia" w:hAnsiTheme="minorEastAsia"/>
                <w:sz w:val="15"/>
                <w:szCs w:val="15"/>
              </w:rPr>
            </w:pPr>
          </w:p>
        </w:tc>
        <w:tc>
          <w:tcPr>
            <w:tcW w:w="368" w:type="dxa"/>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3,728,463.36</w:t>
            </w:r>
          </w:p>
        </w:tc>
        <w:tc>
          <w:tcPr>
            <w:tcW w:w="521" w:type="dxa"/>
          </w:tcPr>
          <w:p w:rsidR="000C5659" w:rsidRDefault="000C5659">
            <w:pPr>
              <w:jc w:val="right"/>
              <w:rPr>
                <w:rFonts w:asciiTheme="minorEastAsia" w:eastAsiaTheme="minorEastAsia" w:hAnsiTheme="minorEastAsia"/>
                <w:sz w:val="15"/>
                <w:szCs w:val="15"/>
              </w:rPr>
            </w:pPr>
          </w:p>
        </w:tc>
        <w:tc>
          <w:tcPr>
            <w:tcW w:w="1283"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1,561,963.38</w:t>
            </w:r>
          </w:p>
        </w:tc>
        <w:tc>
          <w:tcPr>
            <w:tcW w:w="368" w:type="dxa"/>
          </w:tcPr>
          <w:p w:rsidR="000C5659" w:rsidRDefault="000C5659">
            <w:pPr>
              <w:jc w:val="right"/>
              <w:rPr>
                <w:rFonts w:asciiTheme="minorEastAsia" w:eastAsiaTheme="minorEastAsia" w:hAnsiTheme="minorEastAsia"/>
                <w:sz w:val="15"/>
                <w:szCs w:val="15"/>
              </w:rPr>
            </w:pPr>
          </w:p>
        </w:tc>
        <w:tc>
          <w:tcPr>
            <w:tcW w:w="1372" w:type="dxa"/>
          </w:tcPr>
          <w:p w:rsidR="000C5659" w:rsidRDefault="000C5659">
            <w:pPr>
              <w:jc w:val="right"/>
              <w:rPr>
                <w:rFonts w:asciiTheme="minorEastAsia" w:eastAsiaTheme="minorEastAsia" w:hAnsiTheme="minorEastAsia"/>
                <w:sz w:val="15"/>
                <w:szCs w:val="15"/>
              </w:rPr>
            </w:pPr>
          </w:p>
        </w:tc>
        <w:tc>
          <w:tcPr>
            <w:tcW w:w="368" w:type="dxa"/>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18,547,562.85</w:t>
            </w:r>
          </w:p>
        </w:tc>
        <w:tc>
          <w:tcPr>
            <w:tcW w:w="368" w:type="dxa"/>
          </w:tcPr>
          <w:p w:rsidR="000C5659" w:rsidRDefault="000C5659">
            <w:pPr>
              <w:jc w:val="right"/>
              <w:rPr>
                <w:rFonts w:asciiTheme="minorEastAsia" w:eastAsiaTheme="minorEastAsia" w:hAnsiTheme="minorEastAsia"/>
                <w:sz w:val="15"/>
                <w:szCs w:val="15"/>
              </w:rPr>
            </w:pPr>
          </w:p>
        </w:tc>
        <w:tc>
          <w:tcPr>
            <w:tcW w:w="1640"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23,965,879.59</w:t>
            </w:r>
          </w:p>
        </w:tc>
        <w:tc>
          <w:tcPr>
            <w:tcW w:w="369" w:type="dxa"/>
          </w:tcPr>
          <w:p w:rsidR="000C5659" w:rsidRDefault="000C5659">
            <w:pPr>
              <w:jc w:val="right"/>
              <w:rPr>
                <w:rFonts w:asciiTheme="minorEastAsia" w:eastAsiaTheme="minorEastAsia" w:hAnsiTheme="minorEastAsia"/>
                <w:sz w:val="15"/>
                <w:szCs w:val="15"/>
              </w:rPr>
            </w:pPr>
          </w:p>
        </w:tc>
        <w:tc>
          <w:tcPr>
            <w:tcW w:w="1640"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23,965,879.59</w:t>
            </w:r>
          </w:p>
        </w:tc>
      </w:tr>
      <w:tr w:rsidR="000C5659">
        <w:sdt>
          <w:sdtPr>
            <w:rPr>
              <w:rFonts w:asciiTheme="minorEastAsia" w:eastAsiaTheme="minorEastAsia" w:hAnsiTheme="minorEastAsia"/>
              <w:color w:val="000000" w:themeColor="text1"/>
              <w:sz w:val="15"/>
              <w:szCs w:val="15"/>
            </w:rPr>
            <w:tag w:val="_PLD_17bf1a1d144b41e18dbd63758cccc7b5"/>
            <w:id w:val="1611934577"/>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（一）综合收益总额</w:t>
                </w:r>
              </w:p>
            </w:tc>
          </w:sdtContent>
        </w:sdt>
        <w:tc>
          <w:tcPr>
            <w:tcW w:w="1461" w:type="dxa"/>
          </w:tcPr>
          <w:p w:rsidR="000C5659" w:rsidRDefault="000C5659">
            <w:pPr>
              <w:jc w:val="right"/>
              <w:rPr>
                <w:rFonts w:asciiTheme="minorEastAsia" w:eastAsiaTheme="minorEastAsia" w:hAnsiTheme="minorEastAsia"/>
                <w:sz w:val="15"/>
                <w:szCs w:val="15"/>
              </w:rPr>
            </w:pPr>
          </w:p>
        </w:tc>
        <w:tc>
          <w:tcPr>
            <w:tcW w:w="368" w:type="dxa"/>
          </w:tcPr>
          <w:p w:rsidR="000C5659" w:rsidRDefault="000C5659">
            <w:pPr>
              <w:jc w:val="right"/>
              <w:rPr>
                <w:rFonts w:asciiTheme="minorEastAsia" w:eastAsiaTheme="minorEastAsia" w:hAnsiTheme="minorEastAsia"/>
                <w:sz w:val="15"/>
                <w:szCs w:val="15"/>
              </w:rPr>
            </w:pPr>
          </w:p>
        </w:tc>
        <w:tc>
          <w:tcPr>
            <w:tcW w:w="368" w:type="dxa"/>
          </w:tcPr>
          <w:p w:rsidR="000C5659" w:rsidRDefault="000C5659">
            <w:pPr>
              <w:jc w:val="right"/>
              <w:rPr>
                <w:rFonts w:asciiTheme="minorEastAsia" w:eastAsiaTheme="minorEastAsia" w:hAnsiTheme="minorEastAsia"/>
                <w:sz w:val="15"/>
                <w:szCs w:val="15"/>
              </w:rPr>
            </w:pPr>
          </w:p>
        </w:tc>
        <w:tc>
          <w:tcPr>
            <w:tcW w:w="368" w:type="dxa"/>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283"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1,561,963.38</w:t>
            </w:r>
          </w:p>
        </w:tc>
        <w:tc>
          <w:tcPr>
            <w:tcW w:w="368" w:type="dxa"/>
          </w:tcPr>
          <w:p w:rsidR="000C5659" w:rsidRDefault="000C5659">
            <w:pPr>
              <w:jc w:val="right"/>
              <w:rPr>
                <w:rFonts w:asciiTheme="minorEastAsia" w:eastAsiaTheme="minorEastAsia" w:hAnsiTheme="minorEastAsia"/>
                <w:sz w:val="15"/>
                <w:szCs w:val="15"/>
              </w:rPr>
            </w:pPr>
          </w:p>
        </w:tc>
        <w:tc>
          <w:tcPr>
            <w:tcW w:w="1372" w:type="dxa"/>
          </w:tcPr>
          <w:p w:rsidR="000C5659" w:rsidRDefault="000C5659">
            <w:pPr>
              <w:jc w:val="right"/>
              <w:rPr>
                <w:rFonts w:asciiTheme="minorEastAsia" w:eastAsiaTheme="minorEastAsia" w:hAnsiTheme="minorEastAsia"/>
                <w:sz w:val="15"/>
                <w:szCs w:val="15"/>
              </w:rPr>
            </w:pPr>
          </w:p>
        </w:tc>
        <w:tc>
          <w:tcPr>
            <w:tcW w:w="368" w:type="dxa"/>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36,566,884.05</w:t>
            </w:r>
          </w:p>
        </w:tc>
        <w:tc>
          <w:tcPr>
            <w:tcW w:w="368" w:type="dxa"/>
          </w:tcPr>
          <w:p w:rsidR="000C5659" w:rsidRDefault="000C5659">
            <w:pPr>
              <w:jc w:val="right"/>
              <w:rPr>
                <w:rFonts w:asciiTheme="minorEastAsia" w:eastAsiaTheme="minorEastAsia" w:hAnsiTheme="minorEastAsia"/>
                <w:sz w:val="15"/>
                <w:szCs w:val="15"/>
              </w:rPr>
            </w:pPr>
          </w:p>
        </w:tc>
        <w:tc>
          <w:tcPr>
            <w:tcW w:w="1640"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38,128,847.43</w:t>
            </w:r>
          </w:p>
        </w:tc>
        <w:tc>
          <w:tcPr>
            <w:tcW w:w="369" w:type="dxa"/>
          </w:tcPr>
          <w:p w:rsidR="000C5659" w:rsidRDefault="000C5659">
            <w:pPr>
              <w:jc w:val="right"/>
              <w:rPr>
                <w:rFonts w:asciiTheme="minorEastAsia" w:eastAsiaTheme="minorEastAsia" w:hAnsiTheme="minorEastAsia"/>
                <w:sz w:val="15"/>
                <w:szCs w:val="15"/>
              </w:rPr>
            </w:pPr>
          </w:p>
        </w:tc>
        <w:tc>
          <w:tcPr>
            <w:tcW w:w="1640"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38,128,847.43</w:t>
            </w:r>
          </w:p>
        </w:tc>
      </w:tr>
      <w:tr w:rsidR="000C5659">
        <w:sdt>
          <w:sdtPr>
            <w:rPr>
              <w:rFonts w:asciiTheme="minorEastAsia" w:eastAsiaTheme="minorEastAsia" w:hAnsiTheme="minorEastAsia"/>
              <w:color w:val="000000" w:themeColor="text1"/>
              <w:sz w:val="15"/>
              <w:szCs w:val="15"/>
            </w:rPr>
            <w:tag w:val="_PLD_d55056423dbf4ac187d64bd43c03aca3"/>
            <w:id w:val="-482930529"/>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二</w:t>
                </w:r>
                <w:r>
                  <w:rPr>
                    <w:rFonts w:asciiTheme="minorEastAsia" w:eastAsiaTheme="minorEastAsia" w:hAnsiTheme="minorEastAsia"/>
                    <w:color w:val="000000" w:themeColor="text1"/>
                    <w:sz w:val="15"/>
                    <w:szCs w:val="15"/>
                  </w:rPr>
                  <w:t>）所有者投入和减少资本</w:t>
                </w:r>
              </w:p>
            </w:tc>
          </w:sdtContent>
        </w:sdt>
        <w:tc>
          <w:tcPr>
            <w:tcW w:w="1461"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127,890.00</w:t>
            </w:r>
          </w:p>
        </w:tc>
        <w:tc>
          <w:tcPr>
            <w:tcW w:w="368"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461"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3,728,463.36</w:t>
            </w:r>
          </w:p>
        </w:tc>
        <w:tc>
          <w:tcPr>
            <w:tcW w:w="521" w:type="dxa"/>
            <w:vAlign w:val="center"/>
          </w:tcPr>
          <w:p w:rsidR="000C5659" w:rsidRDefault="000C5659">
            <w:pPr>
              <w:jc w:val="right"/>
              <w:rPr>
                <w:rFonts w:asciiTheme="minorEastAsia" w:eastAsiaTheme="minorEastAsia" w:hAnsiTheme="minorEastAsia"/>
                <w:sz w:val="15"/>
                <w:szCs w:val="15"/>
              </w:rPr>
            </w:pPr>
          </w:p>
        </w:tc>
        <w:tc>
          <w:tcPr>
            <w:tcW w:w="1283"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372"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461"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640"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3,856,353.36</w:t>
            </w:r>
          </w:p>
        </w:tc>
        <w:tc>
          <w:tcPr>
            <w:tcW w:w="369" w:type="dxa"/>
            <w:vAlign w:val="center"/>
          </w:tcPr>
          <w:p w:rsidR="000C5659" w:rsidRDefault="000C5659">
            <w:pPr>
              <w:jc w:val="right"/>
              <w:rPr>
                <w:rFonts w:asciiTheme="minorEastAsia" w:eastAsiaTheme="minorEastAsia" w:hAnsiTheme="minorEastAsia"/>
                <w:sz w:val="15"/>
                <w:szCs w:val="15"/>
              </w:rPr>
            </w:pPr>
          </w:p>
        </w:tc>
        <w:tc>
          <w:tcPr>
            <w:tcW w:w="1640"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3,856,353.36</w:t>
            </w:r>
          </w:p>
        </w:tc>
      </w:tr>
      <w:tr w:rsidR="000C5659">
        <w:sdt>
          <w:sdtPr>
            <w:rPr>
              <w:rFonts w:asciiTheme="minorEastAsia" w:eastAsiaTheme="minorEastAsia" w:hAnsiTheme="minorEastAsia"/>
              <w:color w:val="000000" w:themeColor="text1"/>
              <w:sz w:val="15"/>
              <w:szCs w:val="15"/>
            </w:rPr>
            <w:tag w:val="_PLD_284541025868477ca26973c13dd9ff9e"/>
            <w:id w:val="-368226654"/>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1．所有者投入的普通股</w:t>
                </w:r>
              </w:p>
            </w:tc>
          </w:sdtContent>
        </w:sdt>
        <w:tc>
          <w:tcPr>
            <w:tcW w:w="1461"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127,890.00</w:t>
            </w:r>
          </w:p>
        </w:tc>
        <w:tc>
          <w:tcPr>
            <w:tcW w:w="368"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461"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2,508,060.60</w:t>
            </w:r>
          </w:p>
        </w:tc>
        <w:tc>
          <w:tcPr>
            <w:tcW w:w="521" w:type="dxa"/>
            <w:vAlign w:val="center"/>
          </w:tcPr>
          <w:p w:rsidR="000C5659" w:rsidRDefault="000C5659">
            <w:pPr>
              <w:jc w:val="right"/>
              <w:rPr>
                <w:rFonts w:asciiTheme="minorEastAsia" w:eastAsiaTheme="minorEastAsia" w:hAnsiTheme="minorEastAsia"/>
                <w:sz w:val="15"/>
                <w:szCs w:val="15"/>
              </w:rPr>
            </w:pPr>
          </w:p>
        </w:tc>
        <w:tc>
          <w:tcPr>
            <w:tcW w:w="1283"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372"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461" w:type="dxa"/>
            <w:vAlign w:val="center"/>
          </w:tcPr>
          <w:p w:rsidR="000C5659" w:rsidRDefault="000C5659">
            <w:pPr>
              <w:jc w:val="right"/>
              <w:rPr>
                <w:rFonts w:asciiTheme="minorEastAsia" w:eastAsiaTheme="minorEastAsia" w:hAnsiTheme="minorEastAsia"/>
                <w:sz w:val="15"/>
                <w:szCs w:val="15"/>
              </w:rPr>
            </w:pPr>
          </w:p>
        </w:tc>
        <w:tc>
          <w:tcPr>
            <w:tcW w:w="368" w:type="dxa"/>
            <w:vAlign w:val="center"/>
          </w:tcPr>
          <w:p w:rsidR="000C5659" w:rsidRDefault="000C5659">
            <w:pPr>
              <w:jc w:val="right"/>
              <w:rPr>
                <w:rFonts w:asciiTheme="minorEastAsia" w:eastAsiaTheme="minorEastAsia" w:hAnsiTheme="minorEastAsia"/>
                <w:sz w:val="15"/>
                <w:szCs w:val="15"/>
              </w:rPr>
            </w:pPr>
          </w:p>
        </w:tc>
        <w:tc>
          <w:tcPr>
            <w:tcW w:w="1640"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2,635,950.60</w:t>
            </w:r>
          </w:p>
        </w:tc>
        <w:tc>
          <w:tcPr>
            <w:tcW w:w="369" w:type="dxa"/>
            <w:vAlign w:val="center"/>
          </w:tcPr>
          <w:p w:rsidR="000C5659" w:rsidRDefault="000C5659">
            <w:pPr>
              <w:jc w:val="right"/>
              <w:rPr>
                <w:rFonts w:asciiTheme="minorEastAsia" w:eastAsiaTheme="minorEastAsia" w:hAnsiTheme="minorEastAsia"/>
                <w:sz w:val="15"/>
                <w:szCs w:val="15"/>
              </w:rPr>
            </w:pPr>
          </w:p>
        </w:tc>
        <w:tc>
          <w:tcPr>
            <w:tcW w:w="1640"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2,635,950.60</w:t>
            </w:r>
          </w:p>
        </w:tc>
      </w:tr>
      <w:tr w:rsidR="000C5659">
        <w:sdt>
          <w:sdtPr>
            <w:rPr>
              <w:rFonts w:asciiTheme="minorEastAsia" w:eastAsiaTheme="minorEastAsia" w:hAnsiTheme="minorEastAsia"/>
              <w:color w:val="000000" w:themeColor="text1"/>
              <w:sz w:val="15"/>
              <w:szCs w:val="15"/>
            </w:rPr>
            <w:tag w:val="_PLD_13b4ec8d0fe34f9797d68eab8f95768d"/>
            <w:id w:val="-54316923"/>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2．其他权益工具持有者投入资本</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f1f3be9263a748c28f276e78f447b133"/>
            <w:id w:val="-1491323600"/>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3</w:t>
                </w:r>
                <w:r>
                  <w:rPr>
                    <w:rFonts w:asciiTheme="minorEastAsia" w:eastAsiaTheme="minorEastAsia" w:hAnsiTheme="minorEastAsia"/>
                    <w:color w:val="000000" w:themeColor="text1"/>
                    <w:sz w:val="15"/>
                    <w:szCs w:val="15"/>
                  </w:rPr>
                  <w:t>．股份支付计入所有者权益的金额</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1,220,402.76</w:t>
            </w: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1,220,402.76</w:t>
            </w: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1,220,402.76</w:t>
            </w:r>
          </w:p>
        </w:tc>
      </w:tr>
      <w:tr w:rsidR="000C5659">
        <w:sdt>
          <w:sdtPr>
            <w:rPr>
              <w:rFonts w:asciiTheme="minorEastAsia" w:eastAsiaTheme="minorEastAsia" w:hAnsiTheme="minorEastAsia"/>
              <w:color w:val="000000" w:themeColor="text1"/>
              <w:sz w:val="15"/>
              <w:szCs w:val="15"/>
            </w:rPr>
            <w:tag w:val="_PLD_b361f3a237774bcd8ac416b2b21655eb"/>
            <w:id w:val="-944614539"/>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4</w:t>
                </w:r>
                <w:r>
                  <w:rPr>
                    <w:rFonts w:asciiTheme="minorEastAsia" w:eastAsiaTheme="minorEastAsia" w:hAnsiTheme="minorEastAsia"/>
                    <w:color w:val="000000" w:themeColor="text1"/>
                    <w:sz w:val="15"/>
                    <w:szCs w:val="15"/>
                  </w:rPr>
                  <w:t>．其他</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a7e75a2d1ed049d9bbdb0ef093ac9478"/>
            <w:id w:val="-126635981"/>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三</w:t>
                </w:r>
                <w:r>
                  <w:rPr>
                    <w:rFonts w:asciiTheme="minorEastAsia" w:eastAsiaTheme="minorEastAsia" w:hAnsiTheme="minorEastAsia"/>
                    <w:color w:val="000000" w:themeColor="text1"/>
                    <w:sz w:val="15"/>
                    <w:szCs w:val="15"/>
                  </w:rPr>
                  <w:t>）利润分配</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r>
      <w:tr w:rsidR="000C5659">
        <w:sdt>
          <w:sdtPr>
            <w:rPr>
              <w:rFonts w:asciiTheme="minorEastAsia" w:eastAsiaTheme="minorEastAsia" w:hAnsiTheme="minorEastAsia"/>
              <w:color w:val="000000" w:themeColor="text1"/>
              <w:sz w:val="15"/>
              <w:szCs w:val="15"/>
            </w:rPr>
            <w:tag w:val="_PLD_728c39864cdd4a7c93d6a2bae73ac47f"/>
            <w:id w:val="-58712227"/>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1．提取盈余公积</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6d8c8a0de80b4f6a97fdb16b82b3a6ac"/>
            <w:id w:val="1978330751"/>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2．提取一般风险准备</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a5531db3e1d84f3897cb962fdc73ab3d"/>
            <w:id w:val="-431811037"/>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3．对所有者（或股东）的分配</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r>
      <w:tr w:rsidR="000C5659">
        <w:sdt>
          <w:sdtPr>
            <w:rPr>
              <w:rFonts w:asciiTheme="minorEastAsia" w:eastAsiaTheme="minorEastAsia" w:hAnsiTheme="minorEastAsia"/>
              <w:color w:val="000000" w:themeColor="text1"/>
              <w:sz w:val="15"/>
              <w:szCs w:val="15"/>
            </w:rPr>
            <w:tag w:val="_PLD_f3206f8cddd54371b8a1b220dc836af8"/>
            <w:id w:val="-2108260885"/>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4．其他</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c0c9652bd3724ad8b729d3650a0840d4"/>
            <w:id w:val="224113676"/>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四</w:t>
                </w:r>
                <w:r>
                  <w:rPr>
                    <w:rFonts w:asciiTheme="minorEastAsia" w:eastAsiaTheme="minorEastAsia" w:hAnsiTheme="minorEastAsia"/>
                    <w:color w:val="000000" w:themeColor="text1"/>
                    <w:sz w:val="15"/>
                    <w:szCs w:val="15"/>
                  </w:rPr>
                  <w:t>）所有者权益内部结转</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469a000ac571436189f1cb682bbe4ce7"/>
            <w:id w:val="-1631936632"/>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1．资本公积转增资本（或股本）</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8874e17dc09c419baab53299f7967f44"/>
            <w:id w:val="2082096967"/>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2．盈余公积转增资本（或股本）</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e3c6e2e078f649258bfa4dadb9266249"/>
            <w:id w:val="-242800620"/>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3．盈余公积弥补亏损</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tc>
          <w:tcPr>
            <w:tcW w:w="659" w:type="pct"/>
          </w:tcPr>
          <w:sdt>
            <w:sdtPr>
              <w:rPr>
                <w:rFonts w:asciiTheme="minorEastAsia" w:eastAsiaTheme="minorEastAsia" w:hAnsiTheme="minorEastAsia"/>
                <w:color w:val="000000" w:themeColor="text1"/>
                <w:sz w:val="15"/>
                <w:szCs w:val="15"/>
              </w:rPr>
              <w:tag w:val="_PLD_7a03b853b8c74c2fb2e89f59e327b578"/>
              <w:id w:val="-400838644"/>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4．设定受益计划变动额结转留存收益</w:t>
                </w:r>
              </w:p>
            </w:sdtContent>
          </w:sdt>
        </w:tc>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tc>
          <w:tcPr>
            <w:tcW w:w="659" w:type="pct"/>
          </w:tcPr>
          <w:sdt>
            <w:sdtPr>
              <w:rPr>
                <w:rFonts w:asciiTheme="minorEastAsia" w:eastAsiaTheme="minorEastAsia" w:hAnsiTheme="minorEastAsia"/>
                <w:color w:val="000000" w:themeColor="text1"/>
                <w:sz w:val="15"/>
                <w:szCs w:val="15"/>
              </w:rPr>
              <w:tag w:val="_PLD_1db95d2c039e4fb6b41eae5a5c0aeb0a"/>
              <w:id w:val="670752436"/>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5．其他综合收益结转留存收益</w:t>
                </w:r>
              </w:p>
            </w:sdtContent>
          </w:sdt>
        </w:tc>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tc>
          <w:tcPr>
            <w:tcW w:w="659" w:type="pct"/>
          </w:tcPr>
          <w:sdt>
            <w:sdtPr>
              <w:rPr>
                <w:rFonts w:asciiTheme="minorEastAsia" w:eastAsiaTheme="minorEastAsia" w:hAnsiTheme="minorEastAsia"/>
                <w:color w:val="000000" w:themeColor="text1"/>
                <w:sz w:val="15"/>
                <w:szCs w:val="15"/>
              </w:rPr>
              <w:tag w:val="_PLD_44b366cf670e4514b5f91bc8cef97e27"/>
              <w:id w:val="435412566"/>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6．其他</w:t>
                </w:r>
              </w:p>
            </w:sdtContent>
          </w:sdt>
        </w:tc>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4c2ffccd1b8247f8b48874b508665dc1"/>
            <w:id w:val="83732581"/>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（五）专项储备</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d7da1c1428f3471c9d74c89a582725d7"/>
            <w:id w:val="-1842075619"/>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1．本期提取</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f11a5c1cf32e432cb3dba158baca32fc"/>
            <w:id w:val="528216737"/>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2．本期使用</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749e92980f334c9cae023bb1dba136fc"/>
            <w:id w:val="1781527242"/>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（六）其他</w:t>
                </w:r>
              </w:p>
            </w:tc>
          </w:sdtContent>
        </w:sdt>
        <w:tc>
          <w:tcPr>
            <w:tcW w:w="268" w:type="pct"/>
          </w:tcPr>
          <w:p w:rsidR="000C5659" w:rsidRDefault="000C5659">
            <w:pPr>
              <w:jc w:val="right"/>
              <w:rPr>
                <w:rFonts w:asciiTheme="minorEastAsia" w:eastAsiaTheme="minorEastAsia" w:hAnsiTheme="minorEastAsia"/>
                <w:sz w:val="15"/>
                <w:szCs w:val="15"/>
              </w:rPr>
            </w:pPr>
          </w:p>
        </w:tc>
        <w:tc>
          <w:tcPr>
            <w:tcW w:w="268"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269" w:type="pct"/>
          </w:tcPr>
          <w:p w:rsidR="000C5659" w:rsidRDefault="000C5659">
            <w:pPr>
              <w:jc w:val="right"/>
              <w:rPr>
                <w:rFonts w:asciiTheme="minorEastAsia" w:eastAsiaTheme="minorEastAsia" w:hAnsiTheme="minorEastAsia"/>
                <w:sz w:val="15"/>
                <w:szCs w:val="15"/>
              </w:rPr>
            </w:pPr>
          </w:p>
        </w:tc>
        <w:tc>
          <w:tcPr>
            <w:tcW w:w="313" w:type="pct"/>
          </w:tcPr>
          <w:p w:rsidR="000C5659" w:rsidRDefault="000C5659">
            <w:pPr>
              <w:jc w:val="right"/>
              <w:rPr>
                <w:rFonts w:asciiTheme="minorEastAsia" w:eastAsiaTheme="minorEastAsia" w:hAnsiTheme="minorEastAsia"/>
                <w:sz w:val="15"/>
                <w:szCs w:val="15"/>
              </w:rPr>
            </w:pPr>
          </w:p>
        </w:tc>
        <w:tc>
          <w:tcPr>
            <w:tcW w:w="309" w:type="pct"/>
          </w:tcPr>
          <w:p w:rsidR="000C5659" w:rsidRDefault="000C5659">
            <w:pPr>
              <w:jc w:val="right"/>
              <w:rPr>
                <w:rFonts w:asciiTheme="minorEastAsia" w:eastAsiaTheme="minorEastAsia" w:hAnsiTheme="minorEastAsia"/>
                <w:sz w:val="15"/>
                <w:szCs w:val="15"/>
              </w:rPr>
            </w:pPr>
          </w:p>
        </w:tc>
        <w:tc>
          <w:tcPr>
            <w:tcW w:w="295" w:type="pct"/>
          </w:tcPr>
          <w:p w:rsidR="000C5659" w:rsidRDefault="000C5659">
            <w:pPr>
              <w:jc w:val="right"/>
              <w:rPr>
                <w:rFonts w:asciiTheme="minorEastAsia" w:eastAsiaTheme="minorEastAsia" w:hAnsiTheme="minorEastAsia"/>
                <w:sz w:val="15"/>
                <w:szCs w:val="15"/>
              </w:rPr>
            </w:pPr>
          </w:p>
        </w:tc>
        <w:tc>
          <w:tcPr>
            <w:tcW w:w="351" w:type="pct"/>
          </w:tcPr>
          <w:p w:rsidR="000C5659" w:rsidRDefault="000C5659">
            <w:pPr>
              <w:jc w:val="right"/>
              <w:rPr>
                <w:rFonts w:asciiTheme="minorEastAsia" w:eastAsiaTheme="minorEastAsia" w:hAnsiTheme="minorEastAsia"/>
                <w:sz w:val="15"/>
                <w:szCs w:val="15"/>
              </w:rPr>
            </w:pPr>
          </w:p>
        </w:tc>
        <w:tc>
          <w:tcPr>
            <w:tcW w:w="385" w:type="pct"/>
          </w:tcPr>
          <w:p w:rsidR="000C5659" w:rsidRDefault="000C5659">
            <w:pPr>
              <w:jc w:val="right"/>
              <w:rPr>
                <w:rFonts w:asciiTheme="minorEastAsia" w:eastAsiaTheme="minorEastAsia" w:hAnsiTheme="minorEastAsia"/>
                <w:sz w:val="15"/>
                <w:szCs w:val="15"/>
              </w:rPr>
            </w:pPr>
          </w:p>
        </w:tc>
      </w:tr>
      <w:tr w:rsidR="000C5659">
        <w:sdt>
          <w:sdtPr>
            <w:rPr>
              <w:rFonts w:asciiTheme="minorEastAsia" w:eastAsiaTheme="minorEastAsia" w:hAnsiTheme="minorEastAsia"/>
              <w:color w:val="000000" w:themeColor="text1"/>
              <w:sz w:val="15"/>
              <w:szCs w:val="15"/>
            </w:rPr>
            <w:tag w:val="_PLD_e9c8435b637745858c6ad855ad7bbea0"/>
            <w:id w:val="-1829123342"/>
          </w:sdtPr>
          <w:sdtEndPr/>
          <w:sdtContent>
            <w:tc>
              <w:tcPr>
                <w:tcW w:w="659" w:type="pct"/>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四、本期期末余额</w:t>
                </w:r>
              </w:p>
            </w:tc>
          </w:sdtContent>
        </w:sdt>
        <w:tc>
          <w:tcPr>
            <w:tcW w:w="1345"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100,127,890.00</w:t>
            </w:r>
          </w:p>
        </w:tc>
        <w:tc>
          <w:tcPr>
            <w:tcW w:w="354" w:type="dxa"/>
            <w:vAlign w:val="center"/>
          </w:tcPr>
          <w:p w:rsidR="000C5659" w:rsidRDefault="000C5659">
            <w:pPr>
              <w:jc w:val="right"/>
              <w:rPr>
                <w:rFonts w:asciiTheme="minorEastAsia" w:eastAsiaTheme="minorEastAsia" w:hAnsiTheme="minorEastAsia"/>
                <w:sz w:val="15"/>
                <w:szCs w:val="15"/>
              </w:rPr>
            </w:pPr>
          </w:p>
        </w:tc>
        <w:tc>
          <w:tcPr>
            <w:tcW w:w="354" w:type="dxa"/>
            <w:vAlign w:val="center"/>
          </w:tcPr>
          <w:p w:rsidR="000C5659" w:rsidRDefault="000C5659">
            <w:pPr>
              <w:jc w:val="right"/>
              <w:rPr>
                <w:rFonts w:asciiTheme="minorEastAsia" w:eastAsiaTheme="minorEastAsia" w:hAnsiTheme="minorEastAsia"/>
                <w:sz w:val="15"/>
                <w:szCs w:val="15"/>
              </w:rPr>
            </w:pPr>
          </w:p>
        </w:tc>
        <w:tc>
          <w:tcPr>
            <w:tcW w:w="354" w:type="dxa"/>
            <w:vAlign w:val="center"/>
          </w:tcPr>
          <w:p w:rsidR="000C5659" w:rsidRDefault="000C5659">
            <w:pPr>
              <w:jc w:val="right"/>
              <w:rPr>
                <w:rFonts w:asciiTheme="minorEastAsia" w:eastAsiaTheme="minorEastAsia" w:hAnsiTheme="minorEastAsia"/>
                <w:sz w:val="15"/>
                <w:szCs w:val="15"/>
              </w:rPr>
            </w:pPr>
          </w:p>
        </w:tc>
        <w:tc>
          <w:tcPr>
            <w:tcW w:w="1345"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518,207,962.56</w:t>
            </w:r>
          </w:p>
        </w:tc>
        <w:tc>
          <w:tcPr>
            <w:tcW w:w="492" w:type="dxa"/>
            <w:vAlign w:val="center"/>
          </w:tcPr>
          <w:p w:rsidR="000C5659" w:rsidRDefault="000C5659">
            <w:pPr>
              <w:jc w:val="right"/>
              <w:rPr>
                <w:rFonts w:asciiTheme="minorEastAsia" w:eastAsiaTheme="minorEastAsia" w:hAnsiTheme="minorEastAsia"/>
                <w:sz w:val="15"/>
                <w:szCs w:val="15"/>
              </w:rPr>
            </w:pPr>
          </w:p>
        </w:tc>
        <w:tc>
          <w:tcPr>
            <w:tcW w:w="1184"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1,204,590.95</w:t>
            </w:r>
          </w:p>
        </w:tc>
        <w:tc>
          <w:tcPr>
            <w:tcW w:w="354" w:type="dxa"/>
            <w:vAlign w:val="center"/>
          </w:tcPr>
          <w:p w:rsidR="000C5659" w:rsidRDefault="000C5659">
            <w:pPr>
              <w:jc w:val="right"/>
              <w:rPr>
                <w:rFonts w:asciiTheme="minorEastAsia" w:eastAsiaTheme="minorEastAsia" w:hAnsiTheme="minorEastAsia"/>
                <w:sz w:val="15"/>
                <w:szCs w:val="15"/>
              </w:rPr>
            </w:pPr>
          </w:p>
        </w:tc>
        <w:tc>
          <w:tcPr>
            <w:tcW w:w="1264"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45,355,874.20</w:t>
            </w:r>
          </w:p>
        </w:tc>
        <w:tc>
          <w:tcPr>
            <w:tcW w:w="1345" w:type="dxa"/>
            <w:vAlign w:val="center"/>
          </w:tcPr>
          <w:p w:rsidR="000C5659" w:rsidRDefault="000C5659">
            <w:pPr>
              <w:jc w:val="right"/>
              <w:rPr>
                <w:rFonts w:asciiTheme="minorEastAsia" w:eastAsiaTheme="minorEastAsia" w:hAnsiTheme="minorEastAsia"/>
                <w:sz w:val="15"/>
                <w:szCs w:val="15"/>
              </w:rPr>
            </w:pPr>
          </w:p>
        </w:tc>
        <w:tc>
          <w:tcPr>
            <w:tcW w:w="1345"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524,070,143.04</w:t>
            </w:r>
          </w:p>
        </w:tc>
        <w:tc>
          <w:tcPr>
            <w:tcW w:w="354" w:type="dxa"/>
            <w:vAlign w:val="center"/>
          </w:tcPr>
          <w:p w:rsidR="000C5659" w:rsidRDefault="000C5659">
            <w:pPr>
              <w:jc w:val="right"/>
              <w:rPr>
                <w:rFonts w:asciiTheme="minorEastAsia" w:eastAsiaTheme="minorEastAsia" w:hAnsiTheme="minorEastAsia"/>
                <w:sz w:val="15"/>
                <w:szCs w:val="15"/>
              </w:rPr>
            </w:pPr>
          </w:p>
        </w:tc>
        <w:tc>
          <w:tcPr>
            <w:tcW w:w="1506"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1,188,966,460.75</w:t>
            </w:r>
          </w:p>
        </w:tc>
        <w:tc>
          <w:tcPr>
            <w:tcW w:w="355" w:type="dxa"/>
            <w:vAlign w:val="center"/>
          </w:tcPr>
          <w:p w:rsidR="000C5659" w:rsidRDefault="000C5659">
            <w:pPr>
              <w:jc w:val="right"/>
              <w:rPr>
                <w:rFonts w:asciiTheme="minorEastAsia" w:eastAsiaTheme="minorEastAsia" w:hAnsiTheme="minorEastAsia"/>
                <w:sz w:val="15"/>
                <w:szCs w:val="15"/>
              </w:rPr>
            </w:pPr>
          </w:p>
        </w:tc>
        <w:tc>
          <w:tcPr>
            <w:tcW w:w="1507" w:type="dxa"/>
            <w:vAlign w:val="center"/>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1,188,966,460.75</w:t>
            </w:r>
          </w:p>
        </w:tc>
      </w:tr>
    </w:tbl>
    <w:p w:rsidR="000C5659" w:rsidRDefault="000C5659">
      <w:pPr>
        <w:rPr>
          <w:color w:val="000000" w:themeColor="text1"/>
        </w:rPr>
      </w:pPr>
    </w:p>
    <w:p w:rsidR="000C5659" w:rsidRDefault="000E33C4">
      <w:pPr>
        <w:snapToGrid w:val="0"/>
        <w:spacing w:line="240" w:lineRule="atLeast"/>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076a4a0998a840bab20f0ed83e5bab3d"/>
          <w:id w:val="125672417"/>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B820E0">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5b21002df9e248fa81a6770579ce76cd"/>
          <w:id w:val="1961986372"/>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B820E0">
        <w:rPr>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6a446d6543174dc48c72d440eefb0b71"/>
          <w:id w:val="1660656763"/>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p>
    <w:p w:rsidR="000C5659" w:rsidRPr="00B820E0" w:rsidRDefault="000C5659">
      <w:pPr>
        <w:rPr>
          <w:color w:val="000000" w:themeColor="text1"/>
        </w:rPr>
      </w:pPr>
    </w:p>
    <w:p w:rsidR="000C5659" w:rsidRDefault="000E33C4">
      <w:pPr>
        <w:pStyle w:val="35"/>
        <w:jc w:val="center"/>
        <w:rPr>
          <w:rFonts w:ascii="宋体" w:hAnsi="宋体"/>
          <w:color w:val="000000" w:themeColor="text1"/>
        </w:rPr>
      </w:pPr>
      <w:r>
        <w:rPr>
          <w:rFonts w:ascii="宋体" w:hAnsi="宋体"/>
          <w:color w:val="000000" w:themeColor="text1"/>
        </w:rPr>
        <w:t>母公司</w:t>
      </w:r>
      <w:r>
        <w:rPr>
          <w:rFonts w:ascii="宋体" w:hAnsi="宋体" w:hint="eastAsia"/>
          <w:color w:val="000000" w:themeColor="text1"/>
        </w:rPr>
        <w:t>所有者权益变动表</w:t>
      </w:r>
    </w:p>
    <w:p w:rsidR="000C5659" w:rsidRDefault="000E33C4">
      <w:pPr>
        <w:tabs>
          <w:tab w:val="left" w:pos="10080"/>
        </w:tabs>
        <w:snapToGrid w:val="0"/>
        <w:spacing w:line="240" w:lineRule="atLeast"/>
        <w:ind w:rightChars="12" w:right="25"/>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0C5659" w:rsidRDefault="000E33C4">
      <w:pPr>
        <w:snapToGrid w:val="0"/>
        <w:spacing w:line="240" w:lineRule="atLeast"/>
        <w:jc w:val="right"/>
        <w:rPr>
          <w:color w:val="000000" w:themeColor="text1"/>
        </w:rPr>
      </w:pPr>
      <w:r>
        <w:rPr>
          <w:color w:val="000000" w:themeColor="text1"/>
        </w:rPr>
        <w:t>单位：</w:t>
      </w:r>
      <w:sdt>
        <w:sdtPr>
          <w:rPr>
            <w:color w:val="000000" w:themeColor="text1"/>
          </w:rPr>
          <w:alias w:val="单位：母公司股东权益调节表"/>
          <w:tag w:val="_GBC_048773409e614c6bb753000b028316a5"/>
          <w:id w:val="17855425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母公司股东权益调节表"/>
          <w:tag w:val="_GBC_5214b7a188334da286fc3038d017d072"/>
          <w:id w:val="-14557133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1"/>
        <w:gridCol w:w="1317"/>
        <w:gridCol w:w="1050"/>
        <w:gridCol w:w="1078"/>
        <w:gridCol w:w="666"/>
        <w:gridCol w:w="1461"/>
        <w:gridCol w:w="524"/>
        <w:gridCol w:w="1134"/>
        <w:gridCol w:w="567"/>
        <w:gridCol w:w="1275"/>
        <w:gridCol w:w="1276"/>
        <w:gridCol w:w="1401"/>
      </w:tblGrid>
      <w:tr w:rsidR="000C5659" w:rsidTr="00597E75">
        <w:trPr>
          <w:trHeight w:val="20"/>
        </w:trPr>
        <w:sdt>
          <w:sdtPr>
            <w:rPr>
              <w:rFonts w:asciiTheme="minorEastAsia" w:eastAsiaTheme="minorEastAsia" w:hAnsiTheme="minorEastAsia"/>
              <w:color w:val="000000" w:themeColor="text1"/>
              <w:sz w:val="15"/>
              <w:szCs w:val="15"/>
            </w:rPr>
            <w:tag w:val="_PLD_e16babcb874e4410be91226aac3d24db"/>
            <w:id w:val="-835303889"/>
          </w:sdtPr>
          <w:sdtEndPr/>
          <w:sdtContent>
            <w:tc>
              <w:tcPr>
                <w:tcW w:w="2211"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w:t>
                </w:r>
              </w:p>
            </w:tc>
          </w:sdtContent>
        </w:sdt>
        <w:tc>
          <w:tcPr>
            <w:tcW w:w="11749" w:type="dxa"/>
            <w:gridSpan w:val="11"/>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 xml:space="preserve"> </w:t>
            </w:r>
            <w:sdt>
              <w:sdtPr>
                <w:rPr>
                  <w:rFonts w:asciiTheme="minorEastAsia" w:eastAsiaTheme="minorEastAsia" w:hAnsiTheme="minorEastAsia" w:hint="eastAsia"/>
                  <w:color w:val="000000" w:themeColor="text1"/>
                  <w:sz w:val="15"/>
                  <w:szCs w:val="15"/>
                </w:rPr>
                <w:tag w:val="_PLD_f6e21c3ce66d4e148eea3bf743a653b8"/>
                <w:id w:val="-839843386"/>
              </w:sdtPr>
              <w:sdtEndPr/>
              <w:sdtContent>
                <w:r>
                  <w:rPr>
                    <w:rFonts w:asciiTheme="minorEastAsia" w:eastAsiaTheme="minorEastAsia" w:hAnsiTheme="minorEastAsia" w:hint="eastAsia"/>
                    <w:color w:val="000000" w:themeColor="text1"/>
                    <w:sz w:val="15"/>
                    <w:szCs w:val="15"/>
                  </w:rPr>
                  <w:t>2024年半年度</w:t>
                </w:r>
              </w:sdtContent>
            </w:sdt>
          </w:p>
        </w:tc>
      </w:tr>
      <w:tr w:rsidR="000C5659" w:rsidTr="00597E75">
        <w:trPr>
          <w:trHeight w:val="315"/>
        </w:trPr>
        <w:tc>
          <w:tcPr>
            <w:tcW w:w="2211" w:type="dxa"/>
            <w:vMerge/>
          </w:tcPr>
          <w:p w:rsidR="000C5659" w:rsidRDefault="000C5659">
            <w:pPr>
              <w:adjustRightInd w:val="0"/>
              <w:snapToGrid w:val="0"/>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0b6e9703ed65458cb162afd47e6cc9f5"/>
            <w:id w:val="1151873162"/>
          </w:sdtPr>
          <w:sdtEndPr/>
          <w:sdtContent>
            <w:tc>
              <w:tcPr>
                <w:tcW w:w="1317" w:type="dxa"/>
                <w:vMerge w:val="restart"/>
                <w:tcBorders>
                  <w:righ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实收资本</w:t>
                </w:r>
                <w:r>
                  <w:rPr>
                    <w:rFonts w:asciiTheme="minorEastAsia" w:eastAsiaTheme="minorEastAsia" w:hAnsiTheme="minorEastAsia"/>
                    <w:color w:val="000000" w:themeColor="text1"/>
                    <w:sz w:val="15"/>
                    <w:szCs w:val="15"/>
                  </w:rPr>
                  <w:t xml:space="preserve"> (或股本)</w:t>
                </w:r>
              </w:p>
            </w:tc>
          </w:sdtContent>
        </w:sdt>
        <w:sdt>
          <w:sdtPr>
            <w:rPr>
              <w:rFonts w:asciiTheme="minorEastAsia" w:eastAsiaTheme="minorEastAsia" w:hAnsiTheme="minorEastAsia"/>
              <w:color w:val="000000" w:themeColor="text1"/>
              <w:sz w:val="15"/>
              <w:szCs w:val="15"/>
            </w:rPr>
            <w:tag w:val="_PLD_385a3413585444238bb59d181b958311"/>
            <w:id w:val="1670287759"/>
          </w:sdtPr>
          <w:sdtEndPr/>
          <w:sdtContent>
            <w:tc>
              <w:tcPr>
                <w:tcW w:w="2794" w:type="dxa"/>
                <w:gridSpan w:val="3"/>
                <w:tcBorders>
                  <w:left w:val="single" w:sz="4" w:space="0" w:color="auto"/>
                  <w:bottom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其他权益工具</w:t>
                </w:r>
              </w:p>
            </w:tc>
          </w:sdtContent>
        </w:sdt>
        <w:sdt>
          <w:sdtPr>
            <w:rPr>
              <w:rFonts w:asciiTheme="minorEastAsia" w:eastAsiaTheme="minorEastAsia" w:hAnsiTheme="minorEastAsia"/>
              <w:color w:val="000000" w:themeColor="text1"/>
              <w:sz w:val="15"/>
              <w:szCs w:val="15"/>
            </w:rPr>
            <w:tag w:val="_PLD_670488de432c4150880353e82f6ebb21"/>
            <w:id w:val="-2003263581"/>
          </w:sdtPr>
          <w:sdtEndPr/>
          <w:sdtContent>
            <w:tc>
              <w:tcPr>
                <w:tcW w:w="1461"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资本公积</w:t>
                </w:r>
              </w:p>
            </w:tc>
          </w:sdtContent>
        </w:sdt>
        <w:sdt>
          <w:sdtPr>
            <w:rPr>
              <w:rFonts w:asciiTheme="minorEastAsia" w:eastAsiaTheme="minorEastAsia" w:hAnsiTheme="minorEastAsia"/>
              <w:color w:val="000000" w:themeColor="text1"/>
              <w:sz w:val="15"/>
              <w:szCs w:val="15"/>
            </w:rPr>
            <w:tag w:val="_PLD_c1c25c4e521b4e8aba5ccfef16a558c5"/>
            <w:id w:val="-1903128180"/>
          </w:sdtPr>
          <w:sdtEndPr/>
          <w:sdtContent>
            <w:tc>
              <w:tcPr>
                <w:tcW w:w="524"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减：库存股</w:t>
                </w:r>
              </w:p>
            </w:tc>
          </w:sdtContent>
        </w:sdt>
        <w:sdt>
          <w:sdtPr>
            <w:rPr>
              <w:rFonts w:asciiTheme="minorEastAsia" w:eastAsiaTheme="minorEastAsia" w:hAnsiTheme="minorEastAsia"/>
              <w:color w:val="000000" w:themeColor="text1"/>
              <w:sz w:val="15"/>
              <w:szCs w:val="15"/>
            </w:rPr>
            <w:tag w:val="_PLD_4ef83c170ca54a08ac6fcebc6a487dcd"/>
            <w:id w:val="-194317781"/>
          </w:sdtPr>
          <w:sdtEndPr/>
          <w:sdtContent>
            <w:tc>
              <w:tcPr>
                <w:tcW w:w="1134" w:type="dxa"/>
                <w:vMerge w:val="restart"/>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其他综合收益</w:t>
                </w:r>
              </w:p>
            </w:tc>
          </w:sdtContent>
        </w:sdt>
        <w:sdt>
          <w:sdtPr>
            <w:rPr>
              <w:rFonts w:asciiTheme="minorEastAsia" w:eastAsiaTheme="minorEastAsia" w:hAnsiTheme="minorEastAsia"/>
              <w:color w:val="000000" w:themeColor="text1"/>
              <w:sz w:val="15"/>
              <w:szCs w:val="15"/>
            </w:rPr>
            <w:tag w:val="_PLD_5a42f2a835d44138928915520fc5e902"/>
            <w:id w:val="-695073439"/>
          </w:sdtPr>
          <w:sdtEndPr/>
          <w:sdtContent>
            <w:tc>
              <w:tcPr>
                <w:tcW w:w="567"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专项储备</w:t>
                </w:r>
              </w:p>
            </w:tc>
          </w:sdtContent>
        </w:sdt>
        <w:sdt>
          <w:sdtPr>
            <w:rPr>
              <w:rFonts w:asciiTheme="minorEastAsia" w:eastAsiaTheme="minorEastAsia" w:hAnsiTheme="minorEastAsia"/>
              <w:color w:val="000000" w:themeColor="text1"/>
              <w:sz w:val="15"/>
              <w:szCs w:val="15"/>
            </w:rPr>
            <w:tag w:val="_PLD_dbef0e1514f54b8ab8b43e975d3451b6"/>
            <w:id w:val="-1623297236"/>
          </w:sdtPr>
          <w:sdtEndPr/>
          <w:sdtContent>
            <w:tc>
              <w:tcPr>
                <w:tcW w:w="1275"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盈余公积</w:t>
                </w:r>
              </w:p>
            </w:tc>
          </w:sdtContent>
        </w:sdt>
        <w:sdt>
          <w:sdtPr>
            <w:rPr>
              <w:rFonts w:asciiTheme="minorEastAsia" w:eastAsiaTheme="minorEastAsia" w:hAnsiTheme="minorEastAsia"/>
              <w:color w:val="000000" w:themeColor="text1"/>
              <w:sz w:val="15"/>
              <w:szCs w:val="15"/>
            </w:rPr>
            <w:tag w:val="_PLD_63b6c2969ec64e7abb1802f027c1069a"/>
            <w:id w:val="-883552760"/>
          </w:sdtPr>
          <w:sdtEndPr/>
          <w:sdtContent>
            <w:tc>
              <w:tcPr>
                <w:tcW w:w="1276"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未分配利润</w:t>
                </w:r>
              </w:p>
            </w:tc>
          </w:sdtContent>
        </w:sdt>
        <w:sdt>
          <w:sdtPr>
            <w:rPr>
              <w:rFonts w:asciiTheme="minorEastAsia" w:eastAsiaTheme="minorEastAsia" w:hAnsiTheme="minorEastAsia"/>
              <w:color w:val="000000" w:themeColor="text1"/>
              <w:sz w:val="15"/>
              <w:szCs w:val="15"/>
            </w:rPr>
            <w:tag w:val="_PLD_cdd38492b3a84e28b52c6700432babfd"/>
            <w:id w:val="-1561001538"/>
          </w:sdtPr>
          <w:sdtEndPr/>
          <w:sdtContent>
            <w:tc>
              <w:tcPr>
                <w:tcW w:w="1401"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所有者权益合计</w:t>
                </w:r>
              </w:p>
            </w:tc>
          </w:sdtContent>
        </w:sdt>
      </w:tr>
      <w:tr w:rsidR="000C5659" w:rsidTr="00597E75">
        <w:trPr>
          <w:trHeight w:val="294"/>
        </w:trPr>
        <w:tc>
          <w:tcPr>
            <w:tcW w:w="2211" w:type="dxa"/>
            <w:vMerge/>
          </w:tcPr>
          <w:p w:rsidR="000C5659" w:rsidRDefault="000C5659">
            <w:pPr>
              <w:adjustRightInd w:val="0"/>
              <w:snapToGrid w:val="0"/>
              <w:rPr>
                <w:rFonts w:asciiTheme="minorEastAsia" w:eastAsiaTheme="minorEastAsia" w:hAnsiTheme="minorEastAsia"/>
                <w:color w:val="000000" w:themeColor="text1"/>
                <w:sz w:val="15"/>
                <w:szCs w:val="15"/>
              </w:rPr>
            </w:pPr>
          </w:p>
        </w:tc>
        <w:tc>
          <w:tcPr>
            <w:tcW w:w="1317" w:type="dxa"/>
            <w:vMerge/>
            <w:tcBorders>
              <w:right w:val="single" w:sz="4" w:space="0" w:color="auto"/>
            </w:tcBorders>
            <w:vAlign w:val="center"/>
          </w:tcPr>
          <w:p w:rsidR="000C5659" w:rsidRDefault="000C5659">
            <w:pPr>
              <w:adjustRightInd w:val="0"/>
              <w:snapToGrid w:val="0"/>
              <w:jc w:val="center"/>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90c1cf3c29414463ba491093caed23a7"/>
            <w:id w:val="526922505"/>
          </w:sdtPr>
          <w:sdtEndPr/>
          <w:sdtContent>
            <w:tc>
              <w:tcPr>
                <w:tcW w:w="1050" w:type="dxa"/>
                <w:tcBorders>
                  <w:top w:val="single" w:sz="4" w:space="0" w:color="auto"/>
                  <w:left w:val="single" w:sz="4" w:space="0" w:color="auto"/>
                  <w:righ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优先股</w:t>
                </w:r>
              </w:p>
            </w:tc>
          </w:sdtContent>
        </w:sdt>
        <w:sdt>
          <w:sdtPr>
            <w:rPr>
              <w:rFonts w:asciiTheme="minorEastAsia" w:eastAsiaTheme="minorEastAsia" w:hAnsiTheme="minorEastAsia"/>
              <w:color w:val="000000" w:themeColor="text1"/>
              <w:sz w:val="15"/>
              <w:szCs w:val="15"/>
            </w:rPr>
            <w:tag w:val="_PLD_7dac20c025664b94b7a2176be4c24d00"/>
            <w:id w:val="913518084"/>
          </w:sdtPr>
          <w:sdtEndPr/>
          <w:sdtContent>
            <w:tc>
              <w:tcPr>
                <w:tcW w:w="1078" w:type="dxa"/>
                <w:tcBorders>
                  <w:top w:val="single" w:sz="4" w:space="0" w:color="auto"/>
                  <w:left w:val="single" w:sz="4" w:space="0" w:color="auto"/>
                  <w:righ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永续债</w:t>
                </w:r>
              </w:p>
            </w:tc>
          </w:sdtContent>
        </w:sdt>
        <w:sdt>
          <w:sdtPr>
            <w:rPr>
              <w:rFonts w:asciiTheme="minorEastAsia" w:eastAsiaTheme="minorEastAsia" w:hAnsiTheme="minorEastAsia"/>
              <w:color w:val="000000" w:themeColor="text1"/>
              <w:sz w:val="15"/>
              <w:szCs w:val="15"/>
            </w:rPr>
            <w:tag w:val="_PLD_23829f284d5149ee92e64b94083b1ade"/>
            <w:id w:val="-1493629397"/>
          </w:sdtPr>
          <w:sdtEndPr/>
          <w:sdtContent>
            <w:tc>
              <w:tcPr>
                <w:tcW w:w="666" w:type="dxa"/>
                <w:tcBorders>
                  <w:top w:val="single" w:sz="4" w:space="0" w:color="auto"/>
                  <w:lef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1461"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524"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134" w:type="dxa"/>
            <w:vMerge/>
          </w:tcPr>
          <w:p w:rsidR="000C5659" w:rsidRDefault="000C5659">
            <w:pPr>
              <w:jc w:val="center"/>
              <w:rPr>
                <w:rFonts w:asciiTheme="minorEastAsia" w:eastAsiaTheme="minorEastAsia" w:hAnsiTheme="minorEastAsia"/>
                <w:color w:val="000000" w:themeColor="text1"/>
                <w:sz w:val="15"/>
                <w:szCs w:val="15"/>
              </w:rPr>
            </w:pPr>
          </w:p>
        </w:tc>
        <w:tc>
          <w:tcPr>
            <w:tcW w:w="567"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275"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276"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401"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b5131b53bda244fcbd76916797d6b666"/>
            <w:id w:val="-401146064"/>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一、上年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末余额</w:t>
                </w:r>
              </w:p>
            </w:tc>
          </w:sdtContent>
        </w:sdt>
        <w:tc>
          <w:tcPr>
            <w:tcW w:w="1317"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100,448,700.00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1" w:type="dxa"/>
            <w:tcBorders>
              <w:lef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522,887,707.68</w:t>
            </w: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380,350.48</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46,282,190.67</w:t>
            </w: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321,458,385.88</w:t>
            </w: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991,457,334.71</w:t>
            </w:r>
          </w:p>
        </w:tc>
      </w:tr>
      <w:tr w:rsidR="000C5659" w:rsidTr="00597E75">
        <w:trPr>
          <w:trHeight w:val="20"/>
        </w:trPr>
        <w:sdt>
          <w:sdtPr>
            <w:rPr>
              <w:rFonts w:asciiTheme="minorEastAsia" w:eastAsiaTheme="minorEastAsia" w:hAnsiTheme="minorEastAsia"/>
              <w:color w:val="000000" w:themeColor="text1"/>
              <w:sz w:val="15"/>
              <w:szCs w:val="15"/>
            </w:rPr>
            <w:tag w:val="_PLD_66de901175bd4e50a35a24f0fca7513d"/>
            <w:id w:val="1259875190"/>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加：会计政策变更</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1"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3bfc3b7951f4488f95a7180f02c989cf"/>
            <w:id w:val="-1698538726"/>
          </w:sdtPr>
          <w:sdtEndPr/>
          <w:sdtContent>
            <w:tc>
              <w:tcPr>
                <w:tcW w:w="2211" w:type="dxa"/>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前期差错更正</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1"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dc9b9aaf7e384b1eae7dcabb517c2b1e"/>
            <w:id w:val="1393238146"/>
          </w:sdtPr>
          <w:sdtEndPr/>
          <w:sdtContent>
            <w:tc>
              <w:tcPr>
                <w:tcW w:w="2211" w:type="dxa"/>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1"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345919472b384d0eb13471ef5f2f5e92"/>
            <w:id w:val="1852919998"/>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二、本年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初余额</w:t>
                </w:r>
              </w:p>
            </w:tc>
          </w:sdtContent>
        </w:sdt>
        <w:tc>
          <w:tcPr>
            <w:tcW w:w="1317"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100,448,700.00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1" w:type="dxa"/>
            <w:tcBorders>
              <w:lef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522,887,707.68</w:t>
            </w: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380,350.48</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46,282,190.67</w:t>
            </w: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321,458,385.88</w:t>
            </w: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991,457,334.71</w:t>
            </w:r>
          </w:p>
        </w:tc>
      </w:tr>
      <w:tr w:rsidR="000C5659" w:rsidTr="00597E75">
        <w:trPr>
          <w:trHeight w:val="20"/>
        </w:trPr>
        <w:sdt>
          <w:sdtPr>
            <w:rPr>
              <w:rFonts w:asciiTheme="minorEastAsia" w:eastAsiaTheme="minorEastAsia" w:hAnsiTheme="minorEastAsia"/>
              <w:color w:val="000000" w:themeColor="text1"/>
              <w:sz w:val="15"/>
              <w:szCs w:val="15"/>
            </w:rPr>
            <w:tag w:val="_PLD_4eea4cc259884a6ab5f2fe018aec3d4e"/>
            <w:id w:val="-624080671"/>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三、本</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增减变动金额（减少以“－”号填列）</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-153,989,597.20</w:t>
            </w: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911,143.30</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-9,738,336.85</w:t>
            </w: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-162,816,790.75</w:t>
            </w:r>
          </w:p>
        </w:tc>
      </w:tr>
      <w:tr w:rsidR="000C5659" w:rsidTr="00597E75">
        <w:trPr>
          <w:trHeight w:val="20"/>
        </w:trPr>
        <w:sdt>
          <w:sdtPr>
            <w:rPr>
              <w:rFonts w:asciiTheme="minorEastAsia" w:eastAsiaTheme="minorEastAsia" w:hAnsiTheme="minorEastAsia"/>
              <w:color w:val="000000" w:themeColor="text1"/>
              <w:sz w:val="15"/>
              <w:szCs w:val="15"/>
            </w:rPr>
            <w:tag w:val="_PLD_c2eb317db9474ea9b9513a40ba81d9f7"/>
            <w:id w:val="1000629999"/>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（一）综合收益总额</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911,143.30</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10,351,403.15</w:t>
            </w: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11,262,546.45</w:t>
            </w:r>
          </w:p>
        </w:tc>
      </w:tr>
      <w:tr w:rsidR="000C5659" w:rsidTr="00597E75">
        <w:trPr>
          <w:trHeight w:val="20"/>
        </w:trPr>
        <w:sdt>
          <w:sdtPr>
            <w:rPr>
              <w:rFonts w:asciiTheme="minorEastAsia" w:eastAsiaTheme="minorEastAsia" w:hAnsiTheme="minorEastAsia"/>
              <w:color w:val="000000" w:themeColor="text1"/>
              <w:sz w:val="15"/>
              <w:szCs w:val="15"/>
            </w:rPr>
            <w:tag w:val="_PLD_2c2c42255e12419d81111ac5d28c5859"/>
            <w:id w:val="1115637799"/>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二</w:t>
                </w:r>
                <w:r>
                  <w:rPr>
                    <w:rFonts w:asciiTheme="minorEastAsia" w:eastAsiaTheme="minorEastAsia" w:hAnsiTheme="minorEastAsia"/>
                    <w:color w:val="000000" w:themeColor="text1"/>
                    <w:sz w:val="15"/>
                    <w:szCs w:val="15"/>
                  </w:rPr>
                  <w:t>）所有者投入和减少资本</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599,440.50</w:t>
            </w: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599,440.50</w:t>
            </w:r>
          </w:p>
        </w:tc>
      </w:tr>
      <w:tr w:rsidR="000C5659" w:rsidTr="00597E75">
        <w:trPr>
          <w:trHeight w:val="20"/>
        </w:trPr>
        <w:sdt>
          <w:sdtPr>
            <w:rPr>
              <w:rFonts w:asciiTheme="minorEastAsia" w:eastAsiaTheme="minorEastAsia" w:hAnsiTheme="minorEastAsia"/>
              <w:color w:val="000000" w:themeColor="text1"/>
              <w:sz w:val="15"/>
              <w:szCs w:val="15"/>
            </w:rPr>
            <w:tag w:val="_PLD_ced9c335ab0c4ec8b683bd42730e309b"/>
            <w:id w:val="1585180587"/>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1．所有者投入的普通股</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5db7714c048b45cb8fc2f783898126a2"/>
            <w:id w:val="-380866951"/>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2．其他权益工具持有者投入资本</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0c8627dcaed14beabce3c3a65384cf01"/>
            <w:id w:val="1680533514"/>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3</w:t>
                </w:r>
                <w:r>
                  <w:rPr>
                    <w:rFonts w:asciiTheme="minorEastAsia" w:eastAsiaTheme="minorEastAsia" w:hAnsiTheme="minorEastAsia"/>
                    <w:color w:val="000000" w:themeColor="text1"/>
                    <w:sz w:val="15"/>
                    <w:szCs w:val="15"/>
                  </w:rPr>
                  <w:t>．股份支付计入所有者权益的金额</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599,440.50</w:t>
            </w: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599,440.50</w:t>
            </w:r>
          </w:p>
        </w:tc>
      </w:tr>
      <w:tr w:rsidR="000C5659" w:rsidTr="00597E75">
        <w:trPr>
          <w:trHeight w:val="20"/>
        </w:trPr>
        <w:sdt>
          <w:sdtPr>
            <w:rPr>
              <w:rFonts w:asciiTheme="minorEastAsia" w:eastAsiaTheme="minorEastAsia" w:hAnsiTheme="minorEastAsia"/>
              <w:color w:val="000000" w:themeColor="text1"/>
              <w:sz w:val="15"/>
              <w:szCs w:val="15"/>
            </w:rPr>
            <w:tag w:val="_PLD_4815225e85794febad32622528b72229"/>
            <w:id w:val="591215268"/>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4</w:t>
                </w:r>
                <w:r>
                  <w:rPr>
                    <w:rFonts w:asciiTheme="minorEastAsia" w:eastAsiaTheme="minorEastAsia" w:hAnsiTheme="minorEastAsia"/>
                    <w:color w:val="000000" w:themeColor="text1"/>
                    <w:sz w:val="15"/>
                    <w:szCs w:val="15"/>
                  </w:rPr>
                  <w:t>．其他</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1277678c10f343d5a55853e3552c21df"/>
            <w:id w:val="-233785889"/>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三</w:t>
                </w:r>
                <w:r>
                  <w:rPr>
                    <w:rFonts w:asciiTheme="minorEastAsia" w:eastAsiaTheme="minorEastAsia" w:hAnsiTheme="minorEastAsia"/>
                    <w:color w:val="000000" w:themeColor="text1"/>
                    <w:sz w:val="15"/>
                    <w:szCs w:val="15"/>
                  </w:rPr>
                  <w:t>）利润分配</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-20,089,740.00</w:t>
            </w: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-20,089,740.00</w:t>
            </w:r>
          </w:p>
        </w:tc>
      </w:tr>
      <w:tr w:rsidR="000C5659" w:rsidTr="00597E75">
        <w:trPr>
          <w:trHeight w:val="20"/>
        </w:trPr>
        <w:sdt>
          <w:sdtPr>
            <w:rPr>
              <w:rFonts w:asciiTheme="minorEastAsia" w:eastAsiaTheme="minorEastAsia" w:hAnsiTheme="minorEastAsia"/>
              <w:color w:val="000000" w:themeColor="text1"/>
              <w:sz w:val="15"/>
              <w:szCs w:val="15"/>
            </w:rPr>
            <w:tag w:val="_PLD_6be0f6b7609247d98f239c435a57bdf2"/>
            <w:id w:val="-2092237205"/>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1．提取盈余公积</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b4a66855afc2407cbaf93baeafe0ad7f"/>
            <w:id w:val="-1318722119"/>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w:t>
                </w:r>
                <w:r>
                  <w:rPr>
                    <w:rFonts w:asciiTheme="minorEastAsia" w:eastAsiaTheme="minorEastAsia" w:hAnsiTheme="minorEastAsia"/>
                    <w:color w:val="000000" w:themeColor="text1"/>
                    <w:sz w:val="15"/>
                    <w:szCs w:val="15"/>
                  </w:rPr>
                  <w:t>．对所有者（或股东）的分配</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-20,089,740.00</w:t>
            </w: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-20,089,740.00</w:t>
            </w:r>
          </w:p>
        </w:tc>
      </w:tr>
      <w:tr w:rsidR="000C5659" w:rsidTr="00597E75">
        <w:trPr>
          <w:trHeight w:val="20"/>
        </w:trPr>
        <w:sdt>
          <w:sdtPr>
            <w:rPr>
              <w:rFonts w:asciiTheme="minorEastAsia" w:eastAsiaTheme="minorEastAsia" w:hAnsiTheme="minorEastAsia"/>
              <w:color w:val="000000" w:themeColor="text1"/>
              <w:sz w:val="15"/>
              <w:szCs w:val="15"/>
            </w:rPr>
            <w:tag w:val="_PLD_f35184bd1aa14b32a781b0ed9b526ffe"/>
            <w:id w:val="1720551640"/>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3</w:t>
                </w:r>
                <w:r>
                  <w:rPr>
                    <w:rFonts w:asciiTheme="minorEastAsia" w:eastAsiaTheme="minorEastAsia" w:hAnsiTheme="minorEastAsia"/>
                    <w:color w:val="000000" w:themeColor="text1"/>
                    <w:sz w:val="15"/>
                    <w:szCs w:val="15"/>
                  </w:rPr>
                  <w:t>．其他</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377c539e51b74e8689b49d91a30d6a9f"/>
            <w:id w:val="927003375"/>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四</w:t>
                </w:r>
                <w:r>
                  <w:rPr>
                    <w:rFonts w:asciiTheme="minorEastAsia" w:eastAsiaTheme="minorEastAsia" w:hAnsiTheme="minorEastAsia"/>
                    <w:color w:val="000000" w:themeColor="text1"/>
                    <w:sz w:val="15"/>
                    <w:szCs w:val="15"/>
                  </w:rPr>
                  <w:t>）所有者权益内部结转</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9d82304ad85542d89ad56bdebdedd7c5"/>
            <w:id w:val="814228935"/>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1．资本公积转增资本（或股本）</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ba5c81951f1c4ff0a188b55532ed96a5"/>
            <w:id w:val="-2108883604"/>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2．盈余公积转增资本（或股本）</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81b068c4cdf2482a9438450e52e9b3b4"/>
            <w:id w:val="1993677650"/>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3．盈余公积弥补亏损</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tc>
          <w:tcPr>
            <w:tcW w:w="2211" w:type="dxa"/>
          </w:tcPr>
          <w:sdt>
            <w:sdtPr>
              <w:rPr>
                <w:rFonts w:asciiTheme="minorEastAsia" w:eastAsiaTheme="minorEastAsia" w:hAnsiTheme="minorEastAsia"/>
                <w:color w:val="000000" w:themeColor="text1"/>
                <w:sz w:val="15"/>
                <w:szCs w:val="15"/>
              </w:rPr>
              <w:tag w:val="_PLD_0e7647effaeb42219d706b118465bdec"/>
              <w:id w:val="1535772148"/>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4．设定受益计划变动额结转留存收益</w:t>
                </w:r>
              </w:p>
            </w:sdtContent>
          </w:sdt>
        </w:tc>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tc>
          <w:tcPr>
            <w:tcW w:w="2211" w:type="dxa"/>
          </w:tcPr>
          <w:sdt>
            <w:sdtPr>
              <w:rPr>
                <w:rFonts w:asciiTheme="minorEastAsia" w:eastAsiaTheme="minorEastAsia" w:hAnsiTheme="minorEastAsia"/>
                <w:color w:val="000000" w:themeColor="text1"/>
                <w:sz w:val="15"/>
                <w:szCs w:val="15"/>
              </w:rPr>
              <w:tag w:val="_PLD_1c8ba4a0bb224c1d891e628390545199"/>
              <w:id w:val="-1195300105"/>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5．其他综合收益结转留存收益</w:t>
                </w:r>
              </w:p>
            </w:sdtContent>
          </w:sdt>
        </w:tc>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tc>
          <w:tcPr>
            <w:tcW w:w="2211" w:type="dxa"/>
          </w:tcPr>
          <w:sdt>
            <w:sdtPr>
              <w:rPr>
                <w:rFonts w:asciiTheme="minorEastAsia" w:eastAsiaTheme="minorEastAsia" w:hAnsiTheme="minorEastAsia"/>
                <w:color w:val="000000" w:themeColor="text1"/>
                <w:sz w:val="15"/>
                <w:szCs w:val="15"/>
              </w:rPr>
              <w:tag w:val="_PLD_69d4adb536bf498a8a9d97dda9d31e75"/>
              <w:id w:val="-1962563890"/>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6．其他</w:t>
                </w:r>
              </w:p>
            </w:sdtContent>
          </w:sdt>
        </w:tc>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2ae06251c01740e284196240776af550"/>
            <w:id w:val="-2112817148"/>
          </w:sdtPr>
          <w:sdtEndPr/>
          <w:sdtContent>
            <w:tc>
              <w:tcPr>
                <w:tcW w:w="2211" w:type="dxa"/>
                <w:vAlign w:val="center"/>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（五）专项储备</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6c9c274129814a4ea45296335d45791b"/>
            <w:id w:val="851690794"/>
          </w:sdtPr>
          <w:sdtEndPr/>
          <w:sdtContent>
            <w:tc>
              <w:tcPr>
                <w:tcW w:w="2211" w:type="dxa"/>
                <w:vAlign w:val="center"/>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1．本期提取</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14398e4dd6ed4c74869a974323e2137e"/>
            <w:id w:val="1047342713"/>
          </w:sdtPr>
          <w:sdtEndPr/>
          <w:sdtContent>
            <w:tc>
              <w:tcPr>
                <w:tcW w:w="2211" w:type="dxa"/>
                <w:vAlign w:val="center"/>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2．本期使用</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C5659">
            <w:pPr>
              <w:jc w:val="right"/>
              <w:rPr>
                <w:rFonts w:asciiTheme="minorEastAsia" w:eastAsiaTheme="minorEastAsia" w:hAnsiTheme="minorEastAsia"/>
                <w:sz w:val="15"/>
                <w:szCs w:val="15"/>
              </w:rPr>
            </w:pP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224fa1ebe84a4d40b88b89a97997e311"/>
            <w:id w:val="704440751"/>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（六）其他</w:t>
                </w:r>
              </w:p>
            </w:tc>
          </w:sdtContent>
        </w:sdt>
        <w:tc>
          <w:tcPr>
            <w:tcW w:w="1317"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-154,589,037.70</w:t>
            </w: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-154,589,037.70</w:t>
            </w:r>
          </w:p>
        </w:tc>
      </w:tr>
      <w:tr w:rsidR="000C5659" w:rsidTr="00597E75">
        <w:trPr>
          <w:trHeight w:val="20"/>
        </w:trPr>
        <w:sdt>
          <w:sdtPr>
            <w:rPr>
              <w:rFonts w:asciiTheme="minorEastAsia" w:eastAsiaTheme="minorEastAsia" w:hAnsiTheme="minorEastAsia"/>
              <w:color w:val="000000" w:themeColor="text1"/>
              <w:sz w:val="15"/>
              <w:szCs w:val="15"/>
            </w:rPr>
            <w:tag w:val="_PLD_fe962ef732004aec94edafee7e0bef94"/>
            <w:id w:val="1530144669"/>
          </w:sdtPr>
          <w:sdtEndPr/>
          <w:sdtContent>
            <w:tc>
              <w:tcPr>
                <w:tcW w:w="2211"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四、本期期末余额</w:t>
                </w:r>
              </w:p>
            </w:tc>
          </w:sdtContent>
        </w:sdt>
        <w:tc>
          <w:tcPr>
            <w:tcW w:w="1317"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100,448,700.00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6"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368,898,110.48</w:t>
            </w:r>
          </w:p>
        </w:tc>
        <w:tc>
          <w:tcPr>
            <w:tcW w:w="524"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1,291,493.78</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46,282,190.67</w:t>
            </w: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311,720,049.03</w:t>
            </w:r>
          </w:p>
        </w:tc>
        <w:tc>
          <w:tcPr>
            <w:tcW w:w="1401"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828,640,543.96</w:t>
            </w:r>
          </w:p>
        </w:tc>
      </w:tr>
    </w:tbl>
    <w:p w:rsidR="000C5659" w:rsidRDefault="000C5659">
      <w:pPr>
        <w:rPr>
          <w:rFonts w:asciiTheme="minorEastAsia" w:eastAsiaTheme="minorEastAsia" w:hAnsiTheme="minorEastAsia"/>
          <w:color w:val="000000" w:themeColor="text1"/>
          <w:sz w:val="15"/>
          <w:szCs w:val="15"/>
        </w:rPr>
      </w:pPr>
    </w:p>
    <w:p w:rsidR="000C5659" w:rsidRDefault="000C5659">
      <w:pPr>
        <w:rPr>
          <w:rFonts w:asciiTheme="minorEastAsia" w:eastAsiaTheme="minorEastAsia" w:hAnsiTheme="minorEastAsia"/>
          <w:color w:val="000000" w:themeColor="text1"/>
          <w:sz w:val="15"/>
          <w:szCs w:val="15"/>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52"/>
        <w:gridCol w:w="1320"/>
        <w:gridCol w:w="1050"/>
        <w:gridCol w:w="1078"/>
        <w:gridCol w:w="663"/>
        <w:gridCol w:w="1464"/>
        <w:gridCol w:w="521"/>
        <w:gridCol w:w="1134"/>
        <w:gridCol w:w="567"/>
        <w:gridCol w:w="1275"/>
        <w:gridCol w:w="1276"/>
        <w:gridCol w:w="1404"/>
      </w:tblGrid>
      <w:tr w:rsidR="000C5659" w:rsidTr="00597E75">
        <w:trPr>
          <w:trHeight w:val="20"/>
        </w:trPr>
        <w:tc>
          <w:tcPr>
            <w:tcW w:w="2152" w:type="dxa"/>
            <w:vMerge w:val="restart"/>
            <w:vAlign w:val="center"/>
          </w:tcPr>
          <w:sdt>
            <w:sdtPr>
              <w:rPr>
                <w:rFonts w:asciiTheme="minorEastAsia" w:eastAsiaTheme="minorEastAsia" w:hAnsiTheme="minorEastAsia" w:hint="eastAsia"/>
                <w:color w:val="000000" w:themeColor="text1"/>
                <w:sz w:val="15"/>
                <w:szCs w:val="15"/>
              </w:rPr>
              <w:tag w:val="_PLD_312727f4b56147c2b646c0fb68a4b58b"/>
              <w:id w:val="286702132"/>
            </w:sdtPr>
            <w:sdtEndPr/>
            <w:sdtContent>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w:t>
                </w:r>
              </w:p>
            </w:sdtContent>
          </w:sdt>
        </w:tc>
        <w:tc>
          <w:tcPr>
            <w:tcW w:w="11752" w:type="dxa"/>
            <w:gridSpan w:val="11"/>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 xml:space="preserve"> </w:t>
            </w:r>
            <w:sdt>
              <w:sdtPr>
                <w:rPr>
                  <w:rFonts w:asciiTheme="minorEastAsia" w:eastAsiaTheme="minorEastAsia" w:hAnsiTheme="minorEastAsia" w:hint="eastAsia"/>
                  <w:color w:val="000000" w:themeColor="text1"/>
                  <w:sz w:val="15"/>
                  <w:szCs w:val="15"/>
                </w:rPr>
                <w:tag w:val="_PLD_35246b22171846ac8ef46c5dfa1d1663"/>
                <w:id w:val="-949162217"/>
              </w:sdtPr>
              <w:sdtEndPr/>
              <w:sdtContent>
                <w:r>
                  <w:rPr>
                    <w:rFonts w:asciiTheme="minorEastAsia" w:eastAsiaTheme="minorEastAsia" w:hAnsiTheme="minorEastAsia" w:hint="eastAsia"/>
                    <w:color w:val="000000" w:themeColor="text1"/>
                    <w:sz w:val="15"/>
                    <w:szCs w:val="15"/>
                  </w:rPr>
                  <w:t>2023年半年度</w:t>
                </w:r>
              </w:sdtContent>
            </w:sdt>
          </w:p>
        </w:tc>
      </w:tr>
      <w:tr w:rsidR="000C5659" w:rsidTr="00597E75">
        <w:trPr>
          <w:trHeight w:val="315"/>
        </w:trPr>
        <w:tc>
          <w:tcPr>
            <w:tcW w:w="2152" w:type="dxa"/>
            <w:vMerge/>
          </w:tcPr>
          <w:p w:rsidR="000C5659" w:rsidRDefault="000C5659">
            <w:pPr>
              <w:adjustRightInd w:val="0"/>
              <w:snapToGrid w:val="0"/>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5da9900c5a9e46a085487ea972f44796"/>
            <w:id w:val="-1037512113"/>
          </w:sdtPr>
          <w:sdtEndPr/>
          <w:sdtContent>
            <w:tc>
              <w:tcPr>
                <w:tcW w:w="1320" w:type="dxa"/>
                <w:vMerge w:val="restart"/>
                <w:tcBorders>
                  <w:righ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实收资本</w:t>
                </w:r>
                <w:r>
                  <w:rPr>
                    <w:rFonts w:asciiTheme="minorEastAsia" w:eastAsiaTheme="minorEastAsia" w:hAnsiTheme="minorEastAsia"/>
                    <w:color w:val="000000" w:themeColor="text1"/>
                    <w:sz w:val="15"/>
                    <w:szCs w:val="15"/>
                  </w:rPr>
                  <w:t xml:space="preserve"> (或股本)</w:t>
                </w:r>
              </w:p>
            </w:tc>
          </w:sdtContent>
        </w:sdt>
        <w:sdt>
          <w:sdtPr>
            <w:rPr>
              <w:rFonts w:asciiTheme="minorEastAsia" w:eastAsiaTheme="minorEastAsia" w:hAnsiTheme="minorEastAsia"/>
              <w:color w:val="000000" w:themeColor="text1"/>
              <w:sz w:val="15"/>
              <w:szCs w:val="15"/>
            </w:rPr>
            <w:tag w:val="_PLD_fc0bce3be00144ff950606755a048a76"/>
            <w:id w:val="-2142026096"/>
          </w:sdtPr>
          <w:sdtEndPr/>
          <w:sdtContent>
            <w:tc>
              <w:tcPr>
                <w:tcW w:w="2791" w:type="dxa"/>
                <w:gridSpan w:val="3"/>
                <w:tcBorders>
                  <w:left w:val="single" w:sz="4" w:space="0" w:color="auto"/>
                  <w:bottom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其他权益工具</w:t>
                </w:r>
              </w:p>
            </w:tc>
          </w:sdtContent>
        </w:sdt>
        <w:sdt>
          <w:sdtPr>
            <w:rPr>
              <w:rFonts w:asciiTheme="minorEastAsia" w:eastAsiaTheme="minorEastAsia" w:hAnsiTheme="minorEastAsia"/>
              <w:color w:val="000000" w:themeColor="text1"/>
              <w:sz w:val="15"/>
              <w:szCs w:val="15"/>
            </w:rPr>
            <w:tag w:val="_PLD_b31d07f97db344b1b180738b22a76467"/>
            <w:id w:val="1391767645"/>
          </w:sdtPr>
          <w:sdtEndPr/>
          <w:sdtContent>
            <w:tc>
              <w:tcPr>
                <w:tcW w:w="1464"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资本公积</w:t>
                </w:r>
              </w:p>
            </w:tc>
          </w:sdtContent>
        </w:sdt>
        <w:sdt>
          <w:sdtPr>
            <w:rPr>
              <w:rFonts w:asciiTheme="minorEastAsia" w:eastAsiaTheme="minorEastAsia" w:hAnsiTheme="minorEastAsia"/>
              <w:color w:val="000000" w:themeColor="text1"/>
              <w:sz w:val="15"/>
              <w:szCs w:val="15"/>
            </w:rPr>
            <w:tag w:val="_PLD_244676dcaf4245bd9119f474a4e885f9"/>
            <w:id w:val="1101447132"/>
          </w:sdtPr>
          <w:sdtEndPr/>
          <w:sdtContent>
            <w:tc>
              <w:tcPr>
                <w:tcW w:w="521"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减：库存股</w:t>
                </w:r>
              </w:p>
            </w:tc>
          </w:sdtContent>
        </w:sdt>
        <w:sdt>
          <w:sdtPr>
            <w:rPr>
              <w:rFonts w:asciiTheme="minorEastAsia" w:eastAsiaTheme="minorEastAsia" w:hAnsiTheme="minorEastAsia"/>
              <w:color w:val="000000" w:themeColor="text1"/>
              <w:sz w:val="15"/>
              <w:szCs w:val="15"/>
            </w:rPr>
            <w:tag w:val="_PLD_01eab1b775574165b2820a19e72d2ad0"/>
            <w:id w:val="-838767527"/>
          </w:sdtPr>
          <w:sdtEndPr/>
          <w:sdtContent>
            <w:tc>
              <w:tcPr>
                <w:tcW w:w="1134" w:type="dxa"/>
                <w:vMerge w:val="restart"/>
                <w:vAlign w:val="center"/>
              </w:tcPr>
              <w:p w:rsidR="000C5659" w:rsidRDefault="000E33C4">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其他综合收益</w:t>
                </w:r>
              </w:p>
            </w:tc>
          </w:sdtContent>
        </w:sdt>
        <w:sdt>
          <w:sdtPr>
            <w:rPr>
              <w:rFonts w:asciiTheme="minorEastAsia" w:eastAsiaTheme="minorEastAsia" w:hAnsiTheme="minorEastAsia"/>
              <w:color w:val="000000" w:themeColor="text1"/>
              <w:sz w:val="15"/>
              <w:szCs w:val="15"/>
            </w:rPr>
            <w:tag w:val="_PLD_13f17e2c8a7a404da876af1bac2ae6d1"/>
            <w:id w:val="-379710077"/>
          </w:sdtPr>
          <w:sdtEndPr/>
          <w:sdtContent>
            <w:tc>
              <w:tcPr>
                <w:tcW w:w="567"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专项储备</w:t>
                </w:r>
              </w:p>
            </w:tc>
          </w:sdtContent>
        </w:sdt>
        <w:sdt>
          <w:sdtPr>
            <w:rPr>
              <w:rFonts w:asciiTheme="minorEastAsia" w:eastAsiaTheme="minorEastAsia" w:hAnsiTheme="minorEastAsia"/>
              <w:color w:val="000000" w:themeColor="text1"/>
              <w:sz w:val="15"/>
              <w:szCs w:val="15"/>
            </w:rPr>
            <w:tag w:val="_PLD_9578f3812cf04a34965a5bdc9ee82115"/>
            <w:id w:val="-1640877512"/>
          </w:sdtPr>
          <w:sdtEndPr/>
          <w:sdtContent>
            <w:tc>
              <w:tcPr>
                <w:tcW w:w="1275"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盈余公积</w:t>
                </w:r>
              </w:p>
            </w:tc>
          </w:sdtContent>
        </w:sdt>
        <w:sdt>
          <w:sdtPr>
            <w:rPr>
              <w:rFonts w:asciiTheme="minorEastAsia" w:eastAsiaTheme="minorEastAsia" w:hAnsiTheme="minorEastAsia"/>
              <w:color w:val="000000" w:themeColor="text1"/>
              <w:sz w:val="15"/>
              <w:szCs w:val="15"/>
            </w:rPr>
            <w:tag w:val="_PLD_5d835cd98ccc4304aec553a0b6a56628"/>
            <w:id w:val="-762992267"/>
          </w:sdtPr>
          <w:sdtEndPr/>
          <w:sdtContent>
            <w:tc>
              <w:tcPr>
                <w:tcW w:w="1276"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未分配利润</w:t>
                </w:r>
              </w:p>
            </w:tc>
          </w:sdtContent>
        </w:sdt>
        <w:sdt>
          <w:sdtPr>
            <w:rPr>
              <w:rFonts w:asciiTheme="minorEastAsia" w:eastAsiaTheme="minorEastAsia" w:hAnsiTheme="minorEastAsia"/>
              <w:color w:val="000000" w:themeColor="text1"/>
              <w:sz w:val="15"/>
              <w:szCs w:val="15"/>
            </w:rPr>
            <w:tag w:val="_PLD_1cbb8af374a54430ad1f29ed83c69cd0"/>
            <w:id w:val="1117636095"/>
          </w:sdtPr>
          <w:sdtEndPr/>
          <w:sdtContent>
            <w:tc>
              <w:tcPr>
                <w:tcW w:w="1404" w:type="dxa"/>
                <w:vMerge w:val="restart"/>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所有者权益合计</w:t>
                </w:r>
              </w:p>
            </w:tc>
          </w:sdtContent>
        </w:sdt>
      </w:tr>
      <w:tr w:rsidR="000C5659" w:rsidTr="00597E75">
        <w:trPr>
          <w:trHeight w:val="294"/>
        </w:trPr>
        <w:tc>
          <w:tcPr>
            <w:tcW w:w="2152" w:type="dxa"/>
            <w:vMerge/>
          </w:tcPr>
          <w:p w:rsidR="000C5659" w:rsidRDefault="000C5659">
            <w:pPr>
              <w:adjustRightInd w:val="0"/>
              <w:snapToGrid w:val="0"/>
              <w:rPr>
                <w:rFonts w:asciiTheme="minorEastAsia" w:eastAsiaTheme="minorEastAsia" w:hAnsiTheme="minorEastAsia"/>
                <w:color w:val="000000" w:themeColor="text1"/>
                <w:sz w:val="15"/>
                <w:szCs w:val="15"/>
              </w:rPr>
            </w:pPr>
          </w:p>
        </w:tc>
        <w:tc>
          <w:tcPr>
            <w:tcW w:w="1320" w:type="dxa"/>
            <w:vMerge/>
            <w:tcBorders>
              <w:right w:val="single" w:sz="4" w:space="0" w:color="auto"/>
            </w:tcBorders>
          </w:tcPr>
          <w:p w:rsidR="000C5659" w:rsidRDefault="000C5659">
            <w:pPr>
              <w:adjustRightInd w:val="0"/>
              <w:snapToGrid w:val="0"/>
              <w:jc w:val="center"/>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dcc9ba0f815c4a99a7c4c9fe219d232e"/>
            <w:id w:val="674073352"/>
          </w:sdtPr>
          <w:sdtEndPr/>
          <w:sdtContent>
            <w:tc>
              <w:tcPr>
                <w:tcW w:w="1050" w:type="dxa"/>
                <w:tcBorders>
                  <w:top w:val="single" w:sz="4" w:space="0" w:color="auto"/>
                  <w:left w:val="single" w:sz="4" w:space="0" w:color="auto"/>
                  <w:righ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优先股</w:t>
                </w:r>
              </w:p>
            </w:tc>
          </w:sdtContent>
        </w:sdt>
        <w:sdt>
          <w:sdtPr>
            <w:rPr>
              <w:rFonts w:asciiTheme="minorEastAsia" w:eastAsiaTheme="minorEastAsia" w:hAnsiTheme="minorEastAsia"/>
              <w:color w:val="000000" w:themeColor="text1"/>
              <w:sz w:val="15"/>
              <w:szCs w:val="15"/>
            </w:rPr>
            <w:tag w:val="_PLD_42f56a6e995041a8b03e0979c7b2350c"/>
            <w:id w:val="470419423"/>
          </w:sdtPr>
          <w:sdtEndPr/>
          <w:sdtContent>
            <w:tc>
              <w:tcPr>
                <w:tcW w:w="1078" w:type="dxa"/>
                <w:tcBorders>
                  <w:top w:val="single" w:sz="4" w:space="0" w:color="auto"/>
                  <w:left w:val="single" w:sz="4" w:space="0" w:color="auto"/>
                  <w:righ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永续债</w:t>
                </w:r>
              </w:p>
            </w:tc>
          </w:sdtContent>
        </w:sdt>
        <w:sdt>
          <w:sdtPr>
            <w:rPr>
              <w:rFonts w:asciiTheme="minorEastAsia" w:eastAsiaTheme="minorEastAsia" w:hAnsiTheme="minorEastAsia"/>
              <w:color w:val="000000" w:themeColor="text1"/>
              <w:sz w:val="15"/>
              <w:szCs w:val="15"/>
            </w:rPr>
            <w:tag w:val="_PLD_30aa853463c54004a69a2235554ee8fd"/>
            <w:id w:val="1224255056"/>
          </w:sdtPr>
          <w:sdtEndPr/>
          <w:sdtContent>
            <w:tc>
              <w:tcPr>
                <w:tcW w:w="663" w:type="dxa"/>
                <w:tcBorders>
                  <w:top w:val="single" w:sz="4" w:space="0" w:color="auto"/>
                  <w:left w:val="single" w:sz="4" w:space="0" w:color="auto"/>
                </w:tcBorders>
                <w:vAlign w:val="center"/>
              </w:tcPr>
              <w:p w:rsidR="000C5659" w:rsidRDefault="000E33C4">
                <w:pPr>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1464"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521"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134" w:type="dxa"/>
            <w:vMerge/>
          </w:tcPr>
          <w:p w:rsidR="000C5659" w:rsidRDefault="000C5659">
            <w:pPr>
              <w:jc w:val="center"/>
              <w:rPr>
                <w:rFonts w:asciiTheme="minorEastAsia" w:eastAsiaTheme="minorEastAsia" w:hAnsiTheme="minorEastAsia"/>
                <w:color w:val="000000" w:themeColor="text1"/>
                <w:sz w:val="15"/>
                <w:szCs w:val="15"/>
              </w:rPr>
            </w:pPr>
          </w:p>
        </w:tc>
        <w:tc>
          <w:tcPr>
            <w:tcW w:w="567"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275"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276"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c>
          <w:tcPr>
            <w:tcW w:w="1404" w:type="dxa"/>
            <w:vMerge/>
          </w:tcPr>
          <w:p w:rsidR="000C5659" w:rsidRDefault="000C5659">
            <w:pPr>
              <w:adjustRightInd w:val="0"/>
              <w:snapToGrid w:val="0"/>
              <w:jc w:val="center"/>
              <w:rPr>
                <w:rFonts w:asciiTheme="minorEastAsia" w:eastAsiaTheme="minorEastAsia" w:hAnsiTheme="minorEastAsia"/>
                <w:color w:val="000000" w:themeColor="text1"/>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b00b327c7ecc4ad1bfafd8f9c1a6ce86"/>
            <w:id w:val="-1520923215"/>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一、上年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末余额</w:t>
                </w:r>
              </w:p>
            </w:tc>
          </w:sdtContent>
        </w:sdt>
        <w:tc>
          <w:tcPr>
            <w:tcW w:w="1320"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100,000,000.00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4" w:type="dxa"/>
            <w:tcBorders>
              <w:lef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514,479,499.20</w:t>
            </w: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-357,372.43</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45,355,874.20</w:t>
            </w: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331,140,858.85</w:t>
            </w: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990,618,859.82</w:t>
            </w:r>
          </w:p>
        </w:tc>
      </w:tr>
      <w:tr w:rsidR="000C5659" w:rsidTr="00597E75">
        <w:trPr>
          <w:trHeight w:val="20"/>
        </w:trPr>
        <w:sdt>
          <w:sdtPr>
            <w:rPr>
              <w:rFonts w:asciiTheme="minorEastAsia" w:eastAsiaTheme="minorEastAsia" w:hAnsiTheme="minorEastAsia"/>
              <w:color w:val="000000" w:themeColor="text1"/>
              <w:sz w:val="15"/>
              <w:szCs w:val="15"/>
            </w:rPr>
            <w:tag w:val="_PLD_87ad1d45ba9b40488fdf5165b8168def"/>
            <w:id w:val="529915866"/>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加：会计政策变更</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4"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494f8b7216f946d9a09f6954da6ee226"/>
            <w:id w:val="236991852"/>
          </w:sdtPr>
          <w:sdtEndPr/>
          <w:sdtContent>
            <w:tc>
              <w:tcPr>
                <w:tcW w:w="2152" w:type="dxa"/>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前期差错更正</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4"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cdd9f72b38894c3eb70b005a61432c29"/>
            <w:id w:val="-1225992506"/>
          </w:sdtPr>
          <w:sdtEndPr/>
          <w:sdtContent>
            <w:tc>
              <w:tcPr>
                <w:tcW w:w="2152" w:type="dxa"/>
              </w:tcPr>
              <w:p w:rsidR="000C5659" w:rsidRDefault="000E33C4">
                <w:pPr>
                  <w:ind w:firstLineChars="200" w:firstLine="300"/>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其他</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4"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8593e1735c664981bacefcb1a0cab245"/>
            <w:id w:val="-491800502"/>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二、本年</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初余额</w:t>
                </w:r>
              </w:p>
            </w:tc>
          </w:sdtContent>
        </w:sdt>
        <w:tc>
          <w:tcPr>
            <w:tcW w:w="1320"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100,000,000.00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464" w:type="dxa"/>
            <w:tcBorders>
              <w:lef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514,479,499.20</w:t>
            </w: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-357,372.43</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45,355,874.20</w:t>
            </w: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331,140,858.85</w:t>
            </w: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990,618,859.82</w:t>
            </w:r>
          </w:p>
        </w:tc>
      </w:tr>
      <w:tr w:rsidR="000C5659" w:rsidTr="00597E75">
        <w:trPr>
          <w:trHeight w:val="20"/>
        </w:trPr>
        <w:sdt>
          <w:sdtPr>
            <w:rPr>
              <w:rFonts w:asciiTheme="minorEastAsia" w:eastAsiaTheme="minorEastAsia" w:hAnsiTheme="minorEastAsia"/>
              <w:color w:val="000000" w:themeColor="text1"/>
              <w:sz w:val="15"/>
              <w:szCs w:val="15"/>
            </w:rPr>
            <w:tag w:val="_PLD_9ce2d31f4fd34371930cec7fd79a4318"/>
            <w:id w:val="1084885478"/>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三、本</w:t>
                </w:r>
                <w:r>
                  <w:rPr>
                    <w:rFonts w:asciiTheme="minorEastAsia" w:eastAsiaTheme="minorEastAsia" w:hAnsiTheme="minorEastAsia" w:hint="eastAsia"/>
                    <w:color w:val="000000" w:themeColor="text1"/>
                    <w:sz w:val="15"/>
                    <w:szCs w:val="15"/>
                  </w:rPr>
                  <w:t>期</w:t>
                </w:r>
                <w:r>
                  <w:rPr>
                    <w:rFonts w:asciiTheme="minorEastAsia" w:eastAsiaTheme="minorEastAsia" w:hAnsiTheme="minorEastAsia"/>
                    <w:color w:val="000000" w:themeColor="text1"/>
                    <w:sz w:val="15"/>
                    <w:szCs w:val="15"/>
                  </w:rPr>
                  <w:t>增减变动金额（减少以“－”号填列）</w:t>
                </w:r>
              </w:p>
            </w:tc>
          </w:sdtContent>
        </w:sdt>
        <w:tc>
          <w:tcPr>
            <w:tcW w:w="1320"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127,890.00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3,728,463.36</w:t>
            </w: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1,561,963.38</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-7,935,317.90</w:t>
            </w: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-2,517,001.16</w:t>
            </w:r>
          </w:p>
        </w:tc>
      </w:tr>
      <w:tr w:rsidR="000C5659" w:rsidTr="00597E75">
        <w:trPr>
          <w:trHeight w:val="20"/>
        </w:trPr>
        <w:sdt>
          <w:sdtPr>
            <w:rPr>
              <w:rFonts w:asciiTheme="minorEastAsia" w:eastAsiaTheme="minorEastAsia" w:hAnsiTheme="minorEastAsia"/>
              <w:color w:val="000000" w:themeColor="text1"/>
              <w:sz w:val="15"/>
              <w:szCs w:val="15"/>
            </w:rPr>
            <w:tag w:val="_PLD_8e61c9577cd8495fb0815773685b00bb"/>
            <w:id w:val="195357165"/>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（一）综合收益总额</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1,561,963.38</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10,084,003.30</w:t>
            </w: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11,645,966.68</w:t>
            </w:r>
          </w:p>
        </w:tc>
      </w:tr>
      <w:tr w:rsidR="000C5659" w:rsidTr="00597E75">
        <w:trPr>
          <w:trHeight w:val="20"/>
        </w:trPr>
        <w:sdt>
          <w:sdtPr>
            <w:rPr>
              <w:rFonts w:asciiTheme="minorEastAsia" w:eastAsiaTheme="minorEastAsia" w:hAnsiTheme="minorEastAsia"/>
              <w:color w:val="000000" w:themeColor="text1"/>
              <w:sz w:val="15"/>
              <w:szCs w:val="15"/>
            </w:rPr>
            <w:tag w:val="_PLD_e11fbdac72bf4f84a5635701204e5724"/>
            <w:id w:val="-1562704008"/>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二</w:t>
                </w:r>
                <w:r>
                  <w:rPr>
                    <w:rFonts w:asciiTheme="minorEastAsia" w:eastAsiaTheme="minorEastAsia" w:hAnsiTheme="minorEastAsia"/>
                    <w:color w:val="000000" w:themeColor="text1"/>
                    <w:sz w:val="15"/>
                    <w:szCs w:val="15"/>
                  </w:rPr>
                  <w:t>）所有者投入和减少资本</w:t>
                </w:r>
              </w:p>
            </w:tc>
          </w:sdtContent>
        </w:sdt>
        <w:tc>
          <w:tcPr>
            <w:tcW w:w="1320"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127,890.00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3,728,463.36</w:t>
            </w: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3,856,353.36</w:t>
            </w:r>
          </w:p>
        </w:tc>
      </w:tr>
      <w:tr w:rsidR="000C5659" w:rsidTr="00597E75">
        <w:trPr>
          <w:trHeight w:val="20"/>
        </w:trPr>
        <w:sdt>
          <w:sdtPr>
            <w:rPr>
              <w:rFonts w:asciiTheme="minorEastAsia" w:eastAsiaTheme="minorEastAsia" w:hAnsiTheme="minorEastAsia"/>
              <w:color w:val="000000" w:themeColor="text1"/>
              <w:sz w:val="15"/>
              <w:szCs w:val="15"/>
            </w:rPr>
            <w:tag w:val="_PLD_7b195f652f0542a9b8fb6e62990feb42"/>
            <w:id w:val="-944852001"/>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1．所有者投入的普通股</w:t>
                </w:r>
              </w:p>
            </w:tc>
          </w:sdtContent>
        </w:sdt>
        <w:tc>
          <w:tcPr>
            <w:tcW w:w="1320"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127,890.00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2,508,060.60</w:t>
            </w: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2,635,950.60</w:t>
            </w:r>
          </w:p>
        </w:tc>
      </w:tr>
      <w:tr w:rsidR="000C5659" w:rsidTr="00597E75">
        <w:trPr>
          <w:trHeight w:val="20"/>
        </w:trPr>
        <w:sdt>
          <w:sdtPr>
            <w:rPr>
              <w:rFonts w:asciiTheme="minorEastAsia" w:eastAsiaTheme="minorEastAsia" w:hAnsiTheme="minorEastAsia"/>
              <w:color w:val="000000" w:themeColor="text1"/>
              <w:sz w:val="15"/>
              <w:szCs w:val="15"/>
            </w:rPr>
            <w:tag w:val="_PLD_4873337789fc42b5ae8485de96f3dad3"/>
            <w:id w:val="-472524145"/>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2．其他权益工具持有者投入资本</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83c73c5580c0412189f697f05780f9af"/>
            <w:id w:val="-69042153"/>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3</w:t>
                </w:r>
                <w:r>
                  <w:rPr>
                    <w:rFonts w:asciiTheme="minorEastAsia" w:eastAsiaTheme="minorEastAsia" w:hAnsiTheme="minorEastAsia"/>
                    <w:color w:val="000000" w:themeColor="text1"/>
                    <w:sz w:val="15"/>
                    <w:szCs w:val="15"/>
                  </w:rPr>
                  <w:t>．股份支付计入所有者权益的金额</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1,220,402.76</w:t>
            </w: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1,220,402.76</w:t>
            </w:r>
          </w:p>
        </w:tc>
      </w:tr>
      <w:tr w:rsidR="000C5659" w:rsidTr="00597E75">
        <w:trPr>
          <w:trHeight w:val="20"/>
        </w:trPr>
        <w:sdt>
          <w:sdtPr>
            <w:rPr>
              <w:rFonts w:asciiTheme="minorEastAsia" w:eastAsiaTheme="minorEastAsia" w:hAnsiTheme="minorEastAsia"/>
              <w:color w:val="000000" w:themeColor="text1"/>
              <w:sz w:val="15"/>
              <w:szCs w:val="15"/>
            </w:rPr>
            <w:tag w:val="_PLD_b328cbc349734354ae3aacf675414174"/>
            <w:id w:val="1465319972"/>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4</w:t>
                </w:r>
                <w:r>
                  <w:rPr>
                    <w:rFonts w:asciiTheme="minorEastAsia" w:eastAsiaTheme="minorEastAsia" w:hAnsiTheme="minorEastAsia"/>
                    <w:color w:val="000000" w:themeColor="text1"/>
                    <w:sz w:val="15"/>
                    <w:szCs w:val="15"/>
                  </w:rPr>
                  <w:t>．其他</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9773183e97be44a1a360188937e7fe10"/>
            <w:id w:val="1465003112"/>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三</w:t>
                </w:r>
                <w:r>
                  <w:rPr>
                    <w:rFonts w:asciiTheme="minorEastAsia" w:eastAsiaTheme="minorEastAsia" w:hAnsiTheme="minorEastAsia"/>
                    <w:color w:val="000000" w:themeColor="text1"/>
                    <w:sz w:val="15"/>
                    <w:szCs w:val="15"/>
                  </w:rPr>
                  <w:t>）利润分配</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r>
      <w:tr w:rsidR="000C5659" w:rsidTr="00597E75">
        <w:trPr>
          <w:trHeight w:val="20"/>
        </w:trPr>
        <w:sdt>
          <w:sdtPr>
            <w:rPr>
              <w:rFonts w:asciiTheme="minorEastAsia" w:eastAsiaTheme="minorEastAsia" w:hAnsiTheme="minorEastAsia"/>
              <w:color w:val="000000" w:themeColor="text1"/>
              <w:sz w:val="15"/>
              <w:szCs w:val="15"/>
            </w:rPr>
            <w:tag w:val="_PLD_49d633deae854098a44173514bb3a7b3"/>
            <w:id w:val="-238635838"/>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1．提取盈余公积</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97bd41fffab4497fb1be0b345aef17bd"/>
            <w:id w:val="-666087486"/>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w:t>
                </w:r>
                <w:r>
                  <w:rPr>
                    <w:rFonts w:asciiTheme="minorEastAsia" w:eastAsiaTheme="minorEastAsia" w:hAnsiTheme="minorEastAsia"/>
                    <w:color w:val="000000" w:themeColor="text1"/>
                    <w:sz w:val="15"/>
                    <w:szCs w:val="15"/>
                  </w:rPr>
                  <w:t>．对所有者（或股东）的分配</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-18,019,321.20</w:t>
            </w:r>
          </w:p>
        </w:tc>
      </w:tr>
      <w:tr w:rsidR="000C5659" w:rsidTr="00597E75">
        <w:trPr>
          <w:trHeight w:val="20"/>
        </w:trPr>
        <w:sdt>
          <w:sdtPr>
            <w:rPr>
              <w:rFonts w:asciiTheme="minorEastAsia" w:eastAsiaTheme="minorEastAsia" w:hAnsiTheme="minorEastAsia"/>
              <w:color w:val="000000" w:themeColor="text1"/>
              <w:sz w:val="15"/>
              <w:szCs w:val="15"/>
            </w:rPr>
            <w:tag w:val="_PLD_a5c6789730e84b389ee95f39091419a8"/>
            <w:id w:val="630218011"/>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3</w:t>
                </w:r>
                <w:r>
                  <w:rPr>
                    <w:rFonts w:asciiTheme="minorEastAsia" w:eastAsiaTheme="minorEastAsia" w:hAnsiTheme="minorEastAsia"/>
                    <w:color w:val="000000" w:themeColor="text1"/>
                    <w:sz w:val="15"/>
                    <w:szCs w:val="15"/>
                  </w:rPr>
                  <w:t>．其他</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9c529a92f12642ed93c3ac5d7c5ef52b"/>
            <w:id w:val="641462305"/>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w:t>
                </w:r>
                <w:r>
                  <w:rPr>
                    <w:rFonts w:asciiTheme="minorEastAsia" w:eastAsiaTheme="minorEastAsia" w:hAnsiTheme="minorEastAsia" w:hint="eastAsia"/>
                    <w:color w:val="000000" w:themeColor="text1"/>
                    <w:sz w:val="15"/>
                    <w:szCs w:val="15"/>
                  </w:rPr>
                  <w:t>四</w:t>
                </w:r>
                <w:r>
                  <w:rPr>
                    <w:rFonts w:asciiTheme="minorEastAsia" w:eastAsiaTheme="minorEastAsia" w:hAnsiTheme="minorEastAsia"/>
                    <w:color w:val="000000" w:themeColor="text1"/>
                    <w:sz w:val="15"/>
                    <w:szCs w:val="15"/>
                  </w:rPr>
                  <w:t>）所有者权益内部结转</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084a56709ef243f89e8f0aead886c10d"/>
            <w:id w:val="-2052602246"/>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1．资本公积转增资本（或股本）</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22df50d156334ad9a740cc6d62e17f0b"/>
            <w:id w:val="-1404063200"/>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2．盈余公积转增资本（或股本）</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4846580862224d1a9e17a9af1fe14d07"/>
            <w:id w:val="-794131624"/>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3．盈余公积弥补亏损</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tc>
          <w:tcPr>
            <w:tcW w:w="2152" w:type="dxa"/>
          </w:tcPr>
          <w:sdt>
            <w:sdtPr>
              <w:rPr>
                <w:rFonts w:asciiTheme="minorEastAsia" w:eastAsiaTheme="minorEastAsia" w:hAnsiTheme="minorEastAsia"/>
                <w:color w:val="000000" w:themeColor="text1"/>
                <w:sz w:val="15"/>
                <w:szCs w:val="15"/>
              </w:rPr>
              <w:tag w:val="_PLD_a2566358e2dc4d0b9e534ee13a2b1a26"/>
              <w:id w:val="547960354"/>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4．设定受益计划变动额结转留存收益</w:t>
                </w:r>
              </w:p>
            </w:sdtContent>
          </w:sdt>
        </w:tc>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tc>
          <w:tcPr>
            <w:tcW w:w="2152" w:type="dxa"/>
          </w:tcPr>
          <w:sdt>
            <w:sdtPr>
              <w:rPr>
                <w:rFonts w:asciiTheme="minorEastAsia" w:eastAsiaTheme="minorEastAsia" w:hAnsiTheme="minorEastAsia"/>
                <w:color w:val="000000" w:themeColor="text1"/>
                <w:sz w:val="15"/>
                <w:szCs w:val="15"/>
              </w:rPr>
              <w:tag w:val="_PLD_659907ea90ce4ac18323403c6e02efd1"/>
              <w:id w:val="-93792375"/>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5．其他综合收益结转留存收益</w:t>
                </w:r>
              </w:p>
            </w:sdtContent>
          </w:sdt>
        </w:tc>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tc>
          <w:tcPr>
            <w:tcW w:w="2152" w:type="dxa"/>
          </w:tcPr>
          <w:sdt>
            <w:sdtPr>
              <w:rPr>
                <w:rFonts w:asciiTheme="minorEastAsia" w:eastAsiaTheme="minorEastAsia" w:hAnsiTheme="minorEastAsia"/>
                <w:color w:val="000000" w:themeColor="text1"/>
                <w:sz w:val="15"/>
                <w:szCs w:val="15"/>
              </w:rPr>
              <w:tag w:val="_PLD_811577c623d04471a27af10d35119258"/>
              <w:id w:val="68551234"/>
            </w:sdtPr>
            <w:sdtEndPr/>
            <w:sdtContent>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6．其他</w:t>
                </w:r>
              </w:p>
            </w:sdtContent>
          </w:sdt>
        </w:tc>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2a0b15de13474fe285b68b48e29b688f"/>
            <w:id w:val="-98022845"/>
          </w:sdtPr>
          <w:sdtEndPr/>
          <w:sdtContent>
            <w:tc>
              <w:tcPr>
                <w:tcW w:w="2152" w:type="dxa"/>
                <w:vAlign w:val="center"/>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（五）专项储备</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8be2fdb078fc42cdaebf61e81ed6d67b"/>
            <w:id w:val="970705104"/>
          </w:sdtPr>
          <w:sdtEndPr/>
          <w:sdtContent>
            <w:tc>
              <w:tcPr>
                <w:tcW w:w="2152" w:type="dxa"/>
                <w:vAlign w:val="center"/>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1．本期提取</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12344832238e442d9f64388fa2af60f1"/>
            <w:id w:val="1167986590"/>
          </w:sdtPr>
          <w:sdtEndPr/>
          <w:sdtContent>
            <w:tc>
              <w:tcPr>
                <w:tcW w:w="2152" w:type="dxa"/>
                <w:vAlign w:val="center"/>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2．本期使用</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adc6cb0ad3a14129b7edac5f396c8fd5"/>
            <w:id w:val="1727716475"/>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（六）其他</w:t>
                </w:r>
              </w:p>
            </w:tc>
          </w:sdtContent>
        </w:sdt>
        <w:tc>
          <w:tcPr>
            <w:tcW w:w="1320" w:type="dxa"/>
            <w:tcBorders>
              <w:right w:val="single" w:sz="4" w:space="0" w:color="auto"/>
            </w:tcBorders>
          </w:tcPr>
          <w:p w:rsidR="000C5659" w:rsidRDefault="000C5659">
            <w:pPr>
              <w:jc w:val="right"/>
              <w:rPr>
                <w:rFonts w:asciiTheme="minorEastAsia" w:eastAsiaTheme="minorEastAsia" w:hAnsiTheme="minorEastAsia"/>
                <w:sz w:val="15"/>
                <w:szCs w:val="15"/>
              </w:rPr>
            </w:pP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C5659">
            <w:pPr>
              <w:jc w:val="right"/>
              <w:rPr>
                <w:rFonts w:asciiTheme="minorEastAsia" w:eastAsiaTheme="minorEastAsia" w:hAnsiTheme="minorEastAsia"/>
                <w:sz w:val="15"/>
                <w:szCs w:val="15"/>
              </w:rPr>
            </w:pP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C5659">
            <w:pPr>
              <w:jc w:val="right"/>
              <w:rPr>
                <w:rFonts w:asciiTheme="minorEastAsia" w:eastAsiaTheme="minorEastAsia" w:hAnsiTheme="minorEastAsia"/>
                <w:sz w:val="15"/>
                <w:szCs w:val="15"/>
              </w:rPr>
            </w:pP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C5659">
            <w:pPr>
              <w:jc w:val="right"/>
              <w:rPr>
                <w:rFonts w:asciiTheme="minorEastAsia" w:eastAsiaTheme="minorEastAsia" w:hAnsiTheme="minorEastAsia"/>
                <w:sz w:val="15"/>
                <w:szCs w:val="15"/>
              </w:rPr>
            </w:pPr>
          </w:p>
        </w:tc>
        <w:tc>
          <w:tcPr>
            <w:tcW w:w="1276" w:type="dxa"/>
          </w:tcPr>
          <w:p w:rsidR="000C5659" w:rsidRDefault="000C5659">
            <w:pPr>
              <w:jc w:val="right"/>
              <w:rPr>
                <w:rFonts w:asciiTheme="minorEastAsia" w:eastAsiaTheme="minorEastAsia" w:hAnsiTheme="minorEastAsia"/>
                <w:sz w:val="15"/>
                <w:szCs w:val="15"/>
              </w:rPr>
            </w:pPr>
          </w:p>
        </w:tc>
        <w:tc>
          <w:tcPr>
            <w:tcW w:w="1404" w:type="dxa"/>
          </w:tcPr>
          <w:p w:rsidR="000C5659" w:rsidRDefault="000C5659">
            <w:pPr>
              <w:jc w:val="right"/>
              <w:rPr>
                <w:rFonts w:asciiTheme="minorEastAsia" w:eastAsiaTheme="minorEastAsia" w:hAnsiTheme="minorEastAsia"/>
                <w:sz w:val="15"/>
                <w:szCs w:val="15"/>
              </w:rPr>
            </w:pPr>
          </w:p>
        </w:tc>
      </w:tr>
      <w:tr w:rsidR="000C5659" w:rsidTr="00597E75">
        <w:trPr>
          <w:trHeight w:val="20"/>
        </w:trPr>
        <w:sdt>
          <w:sdtPr>
            <w:rPr>
              <w:rFonts w:asciiTheme="minorEastAsia" w:eastAsiaTheme="minorEastAsia" w:hAnsiTheme="minorEastAsia"/>
              <w:color w:val="000000" w:themeColor="text1"/>
              <w:sz w:val="15"/>
              <w:szCs w:val="15"/>
            </w:rPr>
            <w:tag w:val="_PLD_0009c8b4e5ca4d7083f8b2619f6a4584"/>
            <w:id w:val="-1243177022"/>
          </w:sdtPr>
          <w:sdtEndPr/>
          <w:sdtContent>
            <w:tc>
              <w:tcPr>
                <w:tcW w:w="2152" w:type="dxa"/>
              </w:tcPr>
              <w:p w:rsidR="000C5659" w:rsidRDefault="000E33C4">
                <w:pP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四、本期期末余额</w:t>
                </w:r>
              </w:p>
            </w:tc>
          </w:sdtContent>
        </w:sdt>
        <w:tc>
          <w:tcPr>
            <w:tcW w:w="1320" w:type="dxa"/>
            <w:tcBorders>
              <w:right w:val="single" w:sz="4" w:space="0" w:color="auto"/>
            </w:tcBorders>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100,127,890.00</w:t>
            </w:r>
          </w:p>
        </w:tc>
        <w:tc>
          <w:tcPr>
            <w:tcW w:w="1050"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1078" w:type="dxa"/>
            <w:tcBorders>
              <w:left w:val="single" w:sz="4" w:space="0" w:color="auto"/>
              <w:right w:val="single" w:sz="4" w:space="0" w:color="auto"/>
            </w:tcBorders>
          </w:tcPr>
          <w:p w:rsidR="000C5659" w:rsidRDefault="000C5659">
            <w:pPr>
              <w:jc w:val="right"/>
              <w:rPr>
                <w:rFonts w:asciiTheme="minorEastAsia" w:eastAsiaTheme="minorEastAsia" w:hAnsiTheme="minorEastAsia"/>
                <w:sz w:val="15"/>
                <w:szCs w:val="15"/>
              </w:rPr>
            </w:pPr>
          </w:p>
        </w:tc>
        <w:tc>
          <w:tcPr>
            <w:tcW w:w="663" w:type="dxa"/>
            <w:tcBorders>
              <w:left w:val="single" w:sz="4" w:space="0" w:color="auto"/>
            </w:tcBorders>
          </w:tcPr>
          <w:p w:rsidR="000C5659" w:rsidRDefault="000C5659">
            <w:pPr>
              <w:jc w:val="right"/>
              <w:rPr>
                <w:rFonts w:asciiTheme="minorEastAsia" w:eastAsiaTheme="minorEastAsia" w:hAnsiTheme="minorEastAsia"/>
                <w:sz w:val="15"/>
                <w:szCs w:val="15"/>
              </w:rPr>
            </w:pPr>
          </w:p>
        </w:tc>
        <w:tc>
          <w:tcPr>
            <w:tcW w:w="146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518,207,962.56</w:t>
            </w:r>
          </w:p>
        </w:tc>
        <w:tc>
          <w:tcPr>
            <w:tcW w:w="521" w:type="dxa"/>
          </w:tcPr>
          <w:p w:rsidR="000C5659" w:rsidRDefault="000C5659">
            <w:pPr>
              <w:jc w:val="right"/>
              <w:rPr>
                <w:rFonts w:asciiTheme="minorEastAsia" w:eastAsiaTheme="minorEastAsia" w:hAnsiTheme="minorEastAsia"/>
                <w:sz w:val="15"/>
                <w:szCs w:val="15"/>
              </w:rPr>
            </w:pPr>
          </w:p>
        </w:tc>
        <w:tc>
          <w:tcPr>
            <w:tcW w:w="113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1,204,590.95</w:t>
            </w:r>
          </w:p>
        </w:tc>
        <w:tc>
          <w:tcPr>
            <w:tcW w:w="567" w:type="dxa"/>
          </w:tcPr>
          <w:p w:rsidR="000C5659" w:rsidRDefault="000C5659">
            <w:pPr>
              <w:jc w:val="right"/>
              <w:rPr>
                <w:rFonts w:asciiTheme="minorEastAsia" w:eastAsiaTheme="minorEastAsia" w:hAnsiTheme="minorEastAsia"/>
                <w:sz w:val="15"/>
                <w:szCs w:val="15"/>
              </w:rPr>
            </w:pPr>
          </w:p>
        </w:tc>
        <w:tc>
          <w:tcPr>
            <w:tcW w:w="1275"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45,355,874.20</w:t>
            </w:r>
          </w:p>
        </w:tc>
        <w:tc>
          <w:tcPr>
            <w:tcW w:w="1276"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323,205,540.95</w:t>
            </w:r>
          </w:p>
        </w:tc>
        <w:tc>
          <w:tcPr>
            <w:tcW w:w="1404" w:type="dxa"/>
          </w:tcPr>
          <w:p w:rsidR="000C5659" w:rsidRDefault="000E33C4">
            <w:pPr>
              <w:jc w:val="right"/>
              <w:rPr>
                <w:rFonts w:asciiTheme="minorEastAsia" w:eastAsiaTheme="minorEastAsia" w:hAnsiTheme="minorEastAsia"/>
                <w:sz w:val="15"/>
                <w:szCs w:val="15"/>
              </w:rPr>
            </w:pPr>
            <w:r>
              <w:rPr>
                <w:rFonts w:asciiTheme="minorEastAsia" w:eastAsiaTheme="minorEastAsia" w:hAnsiTheme="minorEastAsia"/>
                <w:sz w:val="15"/>
                <w:szCs w:val="15"/>
              </w:rPr>
              <w:t>988,101,858.66</w:t>
            </w:r>
          </w:p>
        </w:tc>
      </w:tr>
    </w:tbl>
    <w:p w:rsidR="000C5659" w:rsidRDefault="000C5659">
      <w:pPr>
        <w:rPr>
          <w:color w:val="000000" w:themeColor="text1"/>
        </w:rPr>
      </w:pPr>
    </w:p>
    <w:p w:rsidR="000C5659" w:rsidRDefault="000E33C4">
      <w:pPr>
        <w:snapToGrid w:val="0"/>
        <w:spacing w:line="240" w:lineRule="atLeast"/>
        <w:rPr>
          <w:b/>
          <w:color w:val="000000" w:themeColor="text1"/>
        </w:rPr>
        <w:sectPr w:rsidR="000C5659">
          <w:pgSz w:w="16838" w:h="11906" w:orient="landscape"/>
          <w:pgMar w:top="1797" w:right="1525" w:bottom="1276" w:left="1440" w:header="851" w:footer="992" w:gutter="0"/>
          <w:cols w:space="425"/>
          <w:docGrid w:linePitch="312"/>
        </w:sectPr>
      </w:pPr>
      <w:r>
        <w:rPr>
          <w:color w:val="000000" w:themeColor="text1"/>
        </w:rPr>
        <w:t>公司负责人</w:t>
      </w:r>
      <w:r>
        <w:rPr>
          <w:rFonts w:hint="eastAsia"/>
          <w:color w:val="000000" w:themeColor="text1"/>
        </w:rPr>
        <w:t>：</w:t>
      </w:r>
      <w:sdt>
        <w:sdtPr>
          <w:rPr>
            <w:rFonts w:hint="eastAsia"/>
            <w:color w:val="000000" w:themeColor="text1"/>
          </w:rPr>
          <w:alias w:val="公司负责人"/>
          <w:tag w:val="_GBC_6042a2c12168484781348969a4da3e4c"/>
          <w:id w:val="1053814216"/>
          <w:placeholder>
            <w:docPart w:val="GBC22222222222222222222222222222"/>
          </w:placeholder>
          <w:dataBinding w:prefixMappings="xmlns:clcid-mr='clcid-mr'" w:xpath="/*/clcid-mr:GongSiFuZeRenXingMing[not(@periodRef)]" w:storeItemID="{89EBAB94-44A0-46A2-B712-30D997D04A6D}"/>
          <w:text/>
        </w:sdtPr>
        <w:sdtEndPr/>
        <w:sdtContent>
          <w:r w:rsidR="00B708C8">
            <w:rPr>
              <w:rFonts w:hint="eastAsia"/>
              <w:color w:val="000000" w:themeColor="text1"/>
            </w:rPr>
            <w:t>张文生</w:t>
          </w:r>
        </w:sdtContent>
      </w:sdt>
      <w:r>
        <w:rPr>
          <w:rFonts w:hint="eastAsia"/>
          <w:color w:val="000000" w:themeColor="text1"/>
        </w:rPr>
        <w:t xml:space="preserve"> </w:t>
      </w:r>
      <w:r w:rsidR="00B820E0">
        <w:rPr>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3008dab61aca43f0a6d82ef192943e79"/>
          <w:id w:val="1876967757"/>
          <w:placeholder>
            <w:docPart w:val="GBC22222222222222222222222222222"/>
          </w:placeholder>
          <w:dataBinding w:prefixMappings="xmlns:clcid-mr='clcid-mr'" w:xpath="/*/clcid-mr:ZhuGuanKuaiJiGongZuoFuZeRenXingMing[not(@periodRef)]" w:storeItemID="{89EBAB94-44A0-46A2-B712-30D997D04A6D}"/>
          <w:text/>
        </w:sdtPr>
        <w:sdtEndPr/>
        <w:sdtContent>
          <w:r w:rsidR="00B708C8">
            <w:rPr>
              <w:rFonts w:hint="eastAsia"/>
              <w:color w:val="000000" w:themeColor="text1"/>
            </w:rPr>
            <w:t>嵇玉芳</w:t>
          </w:r>
        </w:sdtContent>
      </w:sdt>
      <w:r>
        <w:rPr>
          <w:rFonts w:hint="eastAsia"/>
          <w:color w:val="000000" w:themeColor="text1"/>
        </w:rPr>
        <w:t xml:space="preserve"> </w:t>
      </w:r>
      <w:r w:rsidR="00B820E0">
        <w:rPr>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e6c21b270080402ca8dbdc0cab514bde"/>
          <w:id w:val="-864673852"/>
          <w:placeholder>
            <w:docPart w:val="GBC22222222222222222222222222222"/>
          </w:placeholder>
          <w:dataBinding w:prefixMappings="xmlns:clcid-mr='clcid-mr'" w:xpath="/*/clcid-mr:KuaiJiJiGouFuZeRenXingMing[not(@periodRef)]" w:storeItemID="{89EBAB94-44A0-46A2-B712-30D997D04A6D}"/>
          <w:text/>
        </w:sdtPr>
        <w:sdtEndPr/>
        <w:sdtContent>
          <w:r w:rsidR="00B708C8">
            <w:rPr>
              <w:rFonts w:hint="eastAsia"/>
              <w:color w:val="000000" w:themeColor="text1"/>
            </w:rPr>
            <w:t>嵇玉芳</w:t>
          </w:r>
        </w:sdtContent>
      </w:sdt>
      <w:bookmarkStart w:id="109" w:name="_Hlk10212138"/>
      <w:bookmarkEnd w:id="108"/>
      <w:bookmarkEnd w:id="109"/>
    </w:p>
    <w:p w:rsidR="000C5659" w:rsidRDefault="000E33C4" w:rsidP="000743DD">
      <w:pPr>
        <w:pStyle w:val="23"/>
        <w:numPr>
          <w:ilvl w:val="0"/>
          <w:numId w:val="37"/>
        </w:numPr>
        <w:ind w:left="422" w:hanging="422"/>
        <w:rPr>
          <w:rFonts w:ascii="宋体" w:hAnsi="宋体"/>
          <w:color w:val="000000" w:themeColor="text1"/>
        </w:rPr>
      </w:pPr>
      <w:bookmarkStart w:id="110" w:name="_Hlk168646044"/>
      <w:bookmarkStart w:id="111" w:name="_Hlk168993498"/>
      <w:r>
        <w:rPr>
          <w:rFonts w:ascii="宋体" w:hAnsi="宋体" w:hint="eastAsia"/>
          <w:color w:val="000000" w:themeColor="text1"/>
        </w:rPr>
        <w:lastRenderedPageBreak/>
        <w:t>公司基本情况</w:t>
      </w:r>
    </w:p>
    <w:p w:rsidR="000C5659" w:rsidRDefault="000E33C4" w:rsidP="000743DD">
      <w:pPr>
        <w:pStyle w:val="35"/>
        <w:numPr>
          <w:ilvl w:val="0"/>
          <w:numId w:val="38"/>
        </w:numPr>
        <w:ind w:left="425" w:hanging="425"/>
        <w:rPr>
          <w:color w:val="000000" w:themeColor="text1"/>
        </w:rPr>
      </w:pPr>
      <w:r>
        <w:rPr>
          <w:rFonts w:hint="eastAsia"/>
          <w:color w:val="000000" w:themeColor="text1"/>
        </w:rPr>
        <w:t>公司概况</w:t>
      </w:r>
    </w:p>
    <w:sdt>
      <w:sdtPr>
        <w:rPr>
          <w:rFonts w:hint="eastAsia"/>
          <w:color w:val="000000" w:themeColor="text1"/>
        </w:rPr>
        <w:alias w:val="是否适用：公司概况[双击切换]"/>
        <w:tag w:val="_GBC_0cae3ba4a5394806810c0303cd783dd4"/>
        <w:id w:val="-54128771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ascii="宋体" w:eastAsia="宋体" w:hAnsi="宋体" w:cs="宋体"/>
          <w:color w:val="000000" w:themeColor="text1"/>
          <w:sz w:val="21"/>
          <w:szCs w:val="21"/>
          <w:lang w:eastAsia="zh-CN"/>
        </w:rPr>
        <w:alias w:val="公司概况"/>
        <w:tag w:val="_GBC_ae08459ad5fd43f3a92abaa61cf00bfd"/>
        <w:id w:val="410595261"/>
        <w:placeholder>
          <w:docPart w:val="GBC22222222222222222222222222222"/>
        </w:placeholder>
      </w:sdtPr>
      <w:sdtEndPr/>
      <w:sdtContent>
        <w:p w:rsidR="000C5659" w:rsidRDefault="000E33C4">
          <w:pPr>
            <w:pStyle w:val="Style409"/>
            <w:spacing w:after="0" w:line="240" w:lineRule="atLeast"/>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rPr>
            <w:fldChar w:fldCharType="begin"/>
          </w:r>
          <w:r>
            <w:rPr>
              <w:rFonts w:asciiTheme="minorEastAsia" w:eastAsiaTheme="minorEastAsia" w:hAnsiTheme="minorEastAsia"/>
              <w:sz w:val="21"/>
              <w:szCs w:val="21"/>
              <w:lang w:eastAsia="zh-CN"/>
            </w:rPr>
            <w:instrText xml:space="preserve"> DOCVARIABLE  </w:instrText>
          </w:r>
          <w:r>
            <w:rPr>
              <w:rFonts w:asciiTheme="minorEastAsia" w:eastAsiaTheme="minorEastAsia" w:hAnsiTheme="minorEastAsia" w:hint="eastAsia"/>
              <w:sz w:val="21"/>
              <w:szCs w:val="21"/>
              <w:lang w:eastAsia="zh-CN"/>
            </w:rPr>
            <w:instrText>基本信息</w:instrText>
          </w:r>
          <w:r>
            <w:rPr>
              <w:rFonts w:asciiTheme="minorEastAsia" w:eastAsiaTheme="minorEastAsia" w:hAnsiTheme="minorEastAsia"/>
              <w:sz w:val="21"/>
              <w:szCs w:val="21"/>
              <w:lang w:eastAsia="zh-CN"/>
            </w:rPr>
            <w:instrText>_</w:instrText>
          </w:r>
          <w:r>
            <w:rPr>
              <w:rFonts w:asciiTheme="minorEastAsia" w:eastAsiaTheme="minorEastAsia" w:hAnsiTheme="minorEastAsia" w:hint="eastAsia"/>
              <w:sz w:val="21"/>
              <w:szCs w:val="21"/>
              <w:lang w:eastAsia="zh-CN"/>
            </w:rPr>
            <w:instrText>企业名称</w:instrText>
          </w:r>
          <w:r>
            <w:rPr>
              <w:rFonts w:asciiTheme="minorEastAsia" w:eastAsiaTheme="minorEastAsia" w:hAnsiTheme="minorEastAsia"/>
              <w:sz w:val="21"/>
              <w:szCs w:val="21"/>
              <w:lang w:eastAsia="zh-CN"/>
            </w:rPr>
            <w:instrText xml:space="preserve">  \* MERGEFORMAT </w:instrText>
          </w:r>
          <w:r>
            <w:rPr>
              <w:rFonts w:asciiTheme="minorEastAsia" w:eastAsiaTheme="minorEastAsia" w:hAnsiTheme="minorEastAsia"/>
              <w:sz w:val="21"/>
              <w:szCs w:val="21"/>
            </w:rPr>
            <w:fldChar w:fldCharType="separate"/>
          </w:r>
          <w:r>
            <w:rPr>
              <w:rFonts w:asciiTheme="minorEastAsia" w:eastAsiaTheme="minorEastAsia" w:hAnsiTheme="minorEastAsia" w:hint="eastAsia"/>
              <w:sz w:val="21"/>
              <w:szCs w:val="21"/>
              <w:lang w:eastAsia="zh-CN"/>
            </w:rPr>
            <w:t>倍加洁集团股份有限公司</w:t>
          </w:r>
          <w:r>
            <w:rPr>
              <w:rFonts w:asciiTheme="minorEastAsia" w:eastAsiaTheme="minorEastAsia" w:hAnsiTheme="minorEastAsia"/>
              <w:sz w:val="21"/>
              <w:szCs w:val="21"/>
            </w:rPr>
            <w:fldChar w:fldCharType="end"/>
          </w:r>
          <w:r>
            <w:rPr>
              <w:rFonts w:asciiTheme="minorEastAsia" w:eastAsiaTheme="minorEastAsia" w:hAnsiTheme="minorEastAsia" w:hint="eastAsia"/>
              <w:sz w:val="21"/>
              <w:szCs w:val="21"/>
              <w:lang w:eastAsia="zh-CN"/>
            </w:rPr>
            <w:t>（以下简称</w:t>
          </w:r>
          <w:r>
            <w:rPr>
              <w:rFonts w:asciiTheme="minorEastAsia" w:eastAsiaTheme="minorEastAsia" w:hAnsiTheme="minorEastAsia"/>
              <w:sz w:val="21"/>
              <w:szCs w:val="21"/>
              <w:lang w:eastAsia="zh-CN"/>
            </w:rPr>
            <w:t>“</w:t>
          </w:r>
          <w:r>
            <w:rPr>
              <w:rFonts w:asciiTheme="minorEastAsia" w:eastAsiaTheme="minorEastAsia" w:hAnsiTheme="minorEastAsia" w:hint="eastAsia"/>
              <w:sz w:val="21"/>
              <w:szCs w:val="21"/>
              <w:lang w:eastAsia="zh-CN"/>
            </w:rPr>
            <w:t>公司</w:t>
          </w:r>
          <w:r>
            <w:rPr>
              <w:rFonts w:asciiTheme="minorEastAsia" w:eastAsiaTheme="minorEastAsia" w:hAnsiTheme="minorEastAsia"/>
              <w:sz w:val="21"/>
              <w:szCs w:val="21"/>
              <w:lang w:eastAsia="zh-CN"/>
            </w:rPr>
            <w:t>”</w:t>
          </w:r>
          <w:r>
            <w:rPr>
              <w:rFonts w:asciiTheme="minorEastAsia" w:eastAsiaTheme="minorEastAsia" w:hAnsiTheme="minorEastAsia" w:hint="eastAsia"/>
              <w:sz w:val="21"/>
              <w:szCs w:val="21"/>
              <w:lang w:eastAsia="zh-CN"/>
            </w:rPr>
            <w:t>或</w:t>
          </w:r>
          <w:r>
            <w:rPr>
              <w:rFonts w:asciiTheme="minorEastAsia" w:eastAsiaTheme="minorEastAsia" w:hAnsiTheme="minorEastAsia"/>
              <w:sz w:val="21"/>
              <w:szCs w:val="21"/>
              <w:lang w:eastAsia="zh-CN"/>
            </w:rPr>
            <w:t>“</w:t>
          </w:r>
          <w:r>
            <w:rPr>
              <w:rFonts w:asciiTheme="minorEastAsia" w:eastAsiaTheme="minorEastAsia" w:hAnsiTheme="minorEastAsia" w:hint="eastAsia"/>
              <w:sz w:val="21"/>
              <w:szCs w:val="21"/>
              <w:lang w:eastAsia="zh-CN"/>
            </w:rPr>
            <w:t>本公司</w:t>
          </w:r>
          <w:r>
            <w:rPr>
              <w:rFonts w:asciiTheme="minorEastAsia" w:eastAsiaTheme="minorEastAsia" w:hAnsiTheme="minorEastAsia"/>
              <w:sz w:val="21"/>
              <w:szCs w:val="21"/>
              <w:lang w:eastAsia="zh-CN"/>
            </w:rPr>
            <w:t>”</w:t>
          </w:r>
          <w:r>
            <w:rPr>
              <w:rFonts w:asciiTheme="minorEastAsia" w:eastAsiaTheme="minorEastAsia" w:hAnsiTheme="minorEastAsia" w:hint="eastAsia"/>
              <w:sz w:val="21"/>
              <w:szCs w:val="21"/>
              <w:lang w:eastAsia="zh-CN"/>
            </w:rPr>
            <w:t>）系于</w:t>
          </w:r>
          <w:r>
            <w:rPr>
              <w:rFonts w:asciiTheme="minorEastAsia" w:eastAsiaTheme="minorEastAsia" w:hAnsiTheme="minorEastAsia"/>
              <w:sz w:val="21"/>
              <w:szCs w:val="21"/>
              <w:lang w:eastAsia="zh-CN"/>
            </w:rPr>
            <w:t>2016</w:t>
          </w:r>
          <w:r>
            <w:rPr>
              <w:rFonts w:asciiTheme="minorEastAsia" w:eastAsiaTheme="minorEastAsia" w:hAnsiTheme="minorEastAsia" w:hint="eastAsia"/>
              <w:sz w:val="21"/>
              <w:szCs w:val="21"/>
              <w:lang w:eastAsia="zh-CN"/>
            </w:rPr>
            <w:t>年</w:t>
          </w:r>
          <w:r>
            <w:rPr>
              <w:rFonts w:asciiTheme="minorEastAsia" w:eastAsiaTheme="minorEastAsia" w:hAnsiTheme="minorEastAsia"/>
              <w:sz w:val="21"/>
              <w:szCs w:val="21"/>
              <w:lang w:eastAsia="zh-CN"/>
            </w:rPr>
            <w:t>6</w:t>
          </w:r>
          <w:r>
            <w:rPr>
              <w:rFonts w:asciiTheme="minorEastAsia" w:eastAsiaTheme="minorEastAsia" w:hAnsiTheme="minorEastAsia" w:hint="eastAsia"/>
              <w:sz w:val="21"/>
              <w:szCs w:val="21"/>
              <w:lang w:eastAsia="zh-CN"/>
            </w:rPr>
            <w:t>月</w:t>
          </w:r>
          <w:r>
            <w:rPr>
              <w:rFonts w:asciiTheme="minorEastAsia" w:eastAsiaTheme="minorEastAsia" w:hAnsiTheme="minorEastAsia"/>
              <w:sz w:val="21"/>
              <w:szCs w:val="21"/>
              <w:lang w:eastAsia="zh-CN"/>
            </w:rPr>
            <w:t>6</w:t>
          </w:r>
          <w:r>
            <w:rPr>
              <w:rFonts w:asciiTheme="minorEastAsia" w:eastAsiaTheme="minorEastAsia" w:hAnsiTheme="minorEastAsia" w:hint="eastAsia"/>
              <w:sz w:val="21"/>
              <w:szCs w:val="21"/>
              <w:lang w:eastAsia="zh-CN"/>
            </w:rPr>
            <w:t>日，由自然人股东张文生和法人股东扬州竟成企业管理咨询合伙企业（有限合伙）、扬州和成企业管理咨询合伙企业（有限合伙）共同发起设立的股份有限公司。公司企业法人营业执照统一社会信用代码：</w:t>
          </w:r>
          <w:r>
            <w:rPr>
              <w:rFonts w:asciiTheme="minorEastAsia" w:eastAsiaTheme="minorEastAsia" w:hAnsiTheme="minorEastAsia"/>
              <w:sz w:val="21"/>
              <w:szCs w:val="21"/>
              <w:lang w:eastAsia="zh-CN"/>
            </w:rPr>
            <w:t>91321000608803135L</w:t>
          </w:r>
          <w:r>
            <w:rPr>
              <w:rFonts w:asciiTheme="minorEastAsia" w:eastAsiaTheme="minorEastAsia" w:hAnsiTheme="minorEastAsia" w:hint="eastAsia"/>
              <w:sz w:val="21"/>
              <w:szCs w:val="21"/>
              <w:lang w:eastAsia="zh-CN"/>
            </w:rPr>
            <w:t>。</w:t>
          </w:r>
        </w:p>
        <w:p w:rsidR="000C5659" w:rsidRDefault="000E33C4">
          <w:pPr>
            <w:pStyle w:val="Style409"/>
            <w:spacing w:after="0" w:line="240" w:lineRule="atLeast"/>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2018</w:t>
          </w:r>
          <w:r>
            <w:rPr>
              <w:rFonts w:asciiTheme="minorEastAsia" w:eastAsiaTheme="minorEastAsia" w:hAnsiTheme="minorEastAsia" w:hint="eastAsia"/>
              <w:sz w:val="21"/>
              <w:szCs w:val="21"/>
              <w:lang w:eastAsia="zh-CN"/>
            </w:rPr>
            <w:t>年</w:t>
          </w:r>
          <w:r>
            <w:rPr>
              <w:rFonts w:asciiTheme="minorEastAsia" w:eastAsiaTheme="minorEastAsia" w:hAnsiTheme="minorEastAsia"/>
              <w:sz w:val="21"/>
              <w:szCs w:val="21"/>
              <w:lang w:eastAsia="zh-CN"/>
            </w:rPr>
            <w:t>3</w:t>
          </w:r>
          <w:r>
            <w:rPr>
              <w:rFonts w:asciiTheme="minorEastAsia" w:eastAsiaTheme="minorEastAsia" w:hAnsiTheme="minorEastAsia" w:hint="eastAsia"/>
              <w:sz w:val="21"/>
              <w:szCs w:val="21"/>
              <w:lang w:eastAsia="zh-CN"/>
            </w:rPr>
            <w:t>月本公司在上海证券交易所上市，发行股本总数</w:t>
          </w:r>
          <w:r>
            <w:rPr>
              <w:rFonts w:asciiTheme="minorEastAsia" w:eastAsiaTheme="minorEastAsia" w:hAnsiTheme="minorEastAsia"/>
              <w:sz w:val="21"/>
              <w:szCs w:val="21"/>
              <w:lang w:eastAsia="zh-CN"/>
            </w:rPr>
            <w:t>8,000</w:t>
          </w:r>
          <w:r>
            <w:rPr>
              <w:rFonts w:asciiTheme="minorEastAsia" w:eastAsiaTheme="minorEastAsia" w:hAnsiTheme="minorEastAsia" w:hint="eastAsia"/>
              <w:sz w:val="21"/>
              <w:szCs w:val="21"/>
              <w:lang w:eastAsia="zh-CN"/>
            </w:rPr>
            <w:t>万股，注册资本为</w:t>
          </w:r>
          <w:r>
            <w:rPr>
              <w:rFonts w:asciiTheme="minorEastAsia" w:eastAsiaTheme="minorEastAsia" w:hAnsiTheme="minorEastAsia"/>
              <w:sz w:val="21"/>
              <w:szCs w:val="21"/>
              <w:lang w:eastAsia="zh-CN"/>
            </w:rPr>
            <w:t>8,000</w:t>
          </w:r>
          <w:r>
            <w:rPr>
              <w:rFonts w:asciiTheme="minorEastAsia" w:eastAsiaTheme="minorEastAsia" w:hAnsiTheme="minorEastAsia" w:hint="eastAsia"/>
              <w:sz w:val="21"/>
              <w:szCs w:val="21"/>
              <w:lang w:eastAsia="zh-CN"/>
            </w:rPr>
            <w:t>万元。</w:t>
          </w:r>
        </w:p>
        <w:p w:rsidR="000C5659" w:rsidRDefault="000E33C4">
          <w:pPr>
            <w:pStyle w:val="Style409"/>
            <w:spacing w:after="0" w:line="240" w:lineRule="atLeast"/>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2019</w:t>
          </w:r>
          <w:r>
            <w:rPr>
              <w:rFonts w:asciiTheme="minorEastAsia" w:eastAsiaTheme="minorEastAsia" w:hAnsiTheme="minorEastAsia" w:hint="eastAsia"/>
              <w:sz w:val="21"/>
              <w:szCs w:val="21"/>
              <w:lang w:eastAsia="zh-CN"/>
            </w:rPr>
            <w:t>年</w:t>
          </w:r>
          <w:r>
            <w:rPr>
              <w:rFonts w:asciiTheme="minorEastAsia" w:eastAsiaTheme="minorEastAsia" w:hAnsiTheme="minorEastAsia"/>
              <w:sz w:val="21"/>
              <w:szCs w:val="21"/>
              <w:lang w:eastAsia="zh-CN"/>
            </w:rPr>
            <w:t>6</w:t>
          </w:r>
          <w:r>
            <w:rPr>
              <w:rFonts w:asciiTheme="minorEastAsia" w:eastAsiaTheme="minorEastAsia" w:hAnsiTheme="minorEastAsia" w:hint="eastAsia"/>
              <w:sz w:val="21"/>
              <w:szCs w:val="21"/>
              <w:lang w:eastAsia="zh-CN"/>
            </w:rPr>
            <w:t>月，公司以总股本</w:t>
          </w:r>
          <w:r>
            <w:rPr>
              <w:rFonts w:asciiTheme="minorEastAsia" w:eastAsiaTheme="minorEastAsia" w:hAnsiTheme="minorEastAsia"/>
              <w:sz w:val="21"/>
              <w:szCs w:val="21"/>
              <w:lang w:eastAsia="zh-CN"/>
            </w:rPr>
            <w:t>8,000</w:t>
          </w:r>
          <w:r>
            <w:rPr>
              <w:rFonts w:asciiTheme="minorEastAsia" w:eastAsiaTheme="minorEastAsia" w:hAnsiTheme="minorEastAsia" w:hint="eastAsia"/>
              <w:sz w:val="21"/>
              <w:szCs w:val="21"/>
              <w:lang w:eastAsia="zh-CN"/>
            </w:rPr>
            <w:t>万股为基数，以资本公积金向全体股东每股转增</w:t>
          </w:r>
          <w:r>
            <w:rPr>
              <w:rFonts w:asciiTheme="minorEastAsia" w:eastAsiaTheme="minorEastAsia" w:hAnsiTheme="minorEastAsia"/>
              <w:sz w:val="21"/>
              <w:szCs w:val="21"/>
              <w:lang w:eastAsia="zh-CN"/>
            </w:rPr>
            <w:t>0.25</w:t>
          </w:r>
          <w:r>
            <w:rPr>
              <w:rFonts w:asciiTheme="minorEastAsia" w:eastAsiaTheme="minorEastAsia" w:hAnsiTheme="minorEastAsia" w:hint="eastAsia"/>
              <w:sz w:val="21"/>
              <w:szCs w:val="21"/>
              <w:lang w:eastAsia="zh-CN"/>
            </w:rPr>
            <w:t>股，共转增</w:t>
          </w:r>
          <w:r>
            <w:rPr>
              <w:rFonts w:asciiTheme="minorEastAsia" w:eastAsiaTheme="minorEastAsia" w:hAnsiTheme="minorEastAsia"/>
              <w:sz w:val="21"/>
              <w:szCs w:val="21"/>
              <w:lang w:eastAsia="zh-CN"/>
            </w:rPr>
            <w:t>2,000</w:t>
          </w:r>
          <w:r>
            <w:rPr>
              <w:rFonts w:asciiTheme="minorEastAsia" w:eastAsiaTheme="minorEastAsia" w:hAnsiTheme="minorEastAsia" w:hint="eastAsia"/>
              <w:sz w:val="21"/>
              <w:szCs w:val="21"/>
              <w:lang w:eastAsia="zh-CN"/>
            </w:rPr>
            <w:t>万股。转增后，公司总股本变更为</w:t>
          </w:r>
          <w:r>
            <w:rPr>
              <w:rFonts w:asciiTheme="minorEastAsia" w:eastAsiaTheme="minorEastAsia" w:hAnsiTheme="minorEastAsia"/>
              <w:sz w:val="21"/>
              <w:szCs w:val="21"/>
              <w:lang w:eastAsia="zh-CN"/>
            </w:rPr>
            <w:t>1</w:t>
          </w:r>
          <w:r>
            <w:rPr>
              <w:rFonts w:asciiTheme="minorEastAsia" w:eastAsiaTheme="minorEastAsia" w:hAnsiTheme="minorEastAsia" w:hint="eastAsia"/>
              <w:sz w:val="21"/>
              <w:szCs w:val="21"/>
              <w:lang w:eastAsia="zh-CN"/>
            </w:rPr>
            <w:t>亿股，注册资本变更为</w:t>
          </w:r>
          <w:r>
            <w:rPr>
              <w:rFonts w:asciiTheme="minorEastAsia" w:eastAsiaTheme="minorEastAsia" w:hAnsiTheme="minorEastAsia"/>
              <w:sz w:val="21"/>
              <w:szCs w:val="21"/>
              <w:lang w:eastAsia="zh-CN"/>
            </w:rPr>
            <w:t>1</w:t>
          </w:r>
          <w:r>
            <w:rPr>
              <w:rFonts w:asciiTheme="minorEastAsia" w:eastAsiaTheme="minorEastAsia" w:hAnsiTheme="minorEastAsia" w:hint="eastAsia"/>
              <w:sz w:val="21"/>
              <w:szCs w:val="21"/>
              <w:lang w:eastAsia="zh-CN"/>
            </w:rPr>
            <w:t>亿元。</w:t>
          </w:r>
        </w:p>
        <w:p w:rsidR="000C5659" w:rsidRDefault="000E33C4">
          <w:pPr>
            <w:pStyle w:val="Style409"/>
            <w:spacing w:after="0" w:line="240" w:lineRule="atLeast"/>
            <w:ind w:firstLineChars="200" w:firstLine="42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2</w:t>
          </w:r>
          <w:r>
            <w:rPr>
              <w:rFonts w:asciiTheme="minorEastAsia" w:eastAsiaTheme="minorEastAsia" w:hAnsiTheme="minorEastAsia"/>
              <w:sz w:val="21"/>
              <w:szCs w:val="21"/>
              <w:lang w:eastAsia="zh-CN"/>
            </w:rPr>
            <w:t>023</w:t>
          </w:r>
          <w:r>
            <w:rPr>
              <w:rFonts w:asciiTheme="minorEastAsia" w:eastAsiaTheme="minorEastAsia" w:hAnsiTheme="minorEastAsia" w:hint="eastAsia"/>
              <w:sz w:val="21"/>
              <w:szCs w:val="21"/>
              <w:lang w:eastAsia="zh-CN"/>
            </w:rPr>
            <w:t>年度，公司</w:t>
          </w:r>
          <w:r>
            <w:rPr>
              <w:rFonts w:asciiTheme="minorEastAsia" w:eastAsiaTheme="minorEastAsia" w:hAnsiTheme="minorEastAsia"/>
              <w:sz w:val="21"/>
              <w:szCs w:val="21"/>
              <w:lang w:eastAsia="zh-CN"/>
            </w:rPr>
            <w:t>2021年股票期权激励计划</w:t>
          </w:r>
          <w:r>
            <w:rPr>
              <w:rFonts w:asciiTheme="minorEastAsia" w:eastAsiaTheme="minorEastAsia" w:hAnsiTheme="minorEastAsia" w:hint="eastAsia"/>
              <w:sz w:val="21"/>
              <w:szCs w:val="21"/>
              <w:lang w:eastAsia="zh-CN"/>
            </w:rPr>
            <w:t>行权，</w:t>
          </w:r>
          <w:r>
            <w:rPr>
              <w:rFonts w:asciiTheme="minorEastAsia" w:eastAsiaTheme="minorEastAsia" w:hAnsiTheme="minorEastAsia"/>
              <w:sz w:val="21"/>
              <w:szCs w:val="21"/>
              <w:lang w:eastAsia="zh-CN"/>
            </w:rPr>
            <w:t>激励对象</w:t>
          </w:r>
          <w:r>
            <w:rPr>
              <w:rFonts w:asciiTheme="minorEastAsia" w:eastAsiaTheme="minorEastAsia" w:hAnsiTheme="minorEastAsia" w:hint="eastAsia"/>
              <w:sz w:val="21"/>
              <w:szCs w:val="21"/>
              <w:lang w:eastAsia="zh-CN"/>
            </w:rPr>
            <w:t>自主</w:t>
          </w:r>
          <w:r>
            <w:rPr>
              <w:rFonts w:asciiTheme="minorEastAsia" w:eastAsiaTheme="minorEastAsia" w:hAnsiTheme="minorEastAsia"/>
              <w:sz w:val="21"/>
              <w:szCs w:val="21"/>
              <w:lang w:eastAsia="zh-CN"/>
            </w:rPr>
            <w:t>行权且完成股份</w:t>
          </w:r>
          <w:r>
            <w:rPr>
              <w:rFonts w:asciiTheme="minorEastAsia" w:eastAsiaTheme="minorEastAsia" w:hAnsiTheme="minorEastAsia" w:hint="eastAsia"/>
              <w:sz w:val="21"/>
              <w:szCs w:val="21"/>
              <w:lang w:eastAsia="zh-CN"/>
            </w:rPr>
            <w:t>登记总数为4</w:t>
          </w:r>
          <w:r>
            <w:rPr>
              <w:rFonts w:asciiTheme="minorEastAsia" w:eastAsiaTheme="minorEastAsia" w:hAnsiTheme="minorEastAsia"/>
              <w:sz w:val="21"/>
              <w:szCs w:val="21"/>
              <w:lang w:eastAsia="zh-CN"/>
            </w:rPr>
            <w:t>48700</w:t>
          </w:r>
          <w:r>
            <w:rPr>
              <w:rFonts w:asciiTheme="minorEastAsia" w:eastAsiaTheme="minorEastAsia" w:hAnsiTheme="minorEastAsia" w:hint="eastAsia"/>
              <w:sz w:val="21"/>
              <w:szCs w:val="21"/>
              <w:lang w:eastAsia="zh-CN"/>
            </w:rPr>
            <w:t>股。公司总股本变为1</w:t>
          </w:r>
          <w:r>
            <w:rPr>
              <w:rFonts w:asciiTheme="minorEastAsia" w:eastAsiaTheme="minorEastAsia" w:hAnsiTheme="minorEastAsia"/>
              <w:sz w:val="21"/>
              <w:szCs w:val="21"/>
              <w:lang w:eastAsia="zh-CN"/>
            </w:rPr>
            <w:t>.004487</w:t>
          </w:r>
          <w:r>
            <w:rPr>
              <w:rFonts w:asciiTheme="minorEastAsia" w:eastAsiaTheme="minorEastAsia" w:hAnsiTheme="minorEastAsia" w:hint="eastAsia"/>
              <w:sz w:val="21"/>
              <w:szCs w:val="21"/>
              <w:lang w:eastAsia="zh-CN"/>
            </w:rPr>
            <w:t>亿股。</w:t>
          </w:r>
        </w:p>
        <w:p w:rsidR="000C5659" w:rsidRDefault="000E33C4">
          <w:pPr>
            <w:pStyle w:val="Style409"/>
            <w:spacing w:after="0" w:line="240" w:lineRule="atLeast"/>
            <w:ind w:firstLineChars="200" w:firstLine="42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公司注册地：江苏省扬州市杭集工业园。主要经营范围：牙刷、塑壳料制品模具、旅游用品（不含专项许可产品）研发、设计、制造、加工、销售；牙签棒、漱口水、口腔喷雾产品、湿巾、牙膏、日用品销售，经营本企业自产产品及相关技术的出口业务，经营本企业生产科研所需的原辅材料、机械设备、仪器仪表、零配件及相关技术的进口业务，经营本企业的进料加工和三来一补业务，提供技术服务、咨询服务、加工服务；普通货物运输；自有房屋出租；软件开发。许可项目：食品生产；食品经营。一般项目：家用电器研发；家用电器制造；家用电器销售；塑料制品制造；塑料制品销售；模具销售；模具制造。</w:t>
          </w:r>
        </w:p>
        <w:p w:rsidR="000C5659" w:rsidRDefault="000E33C4">
          <w:pPr>
            <w:spacing w:line="240" w:lineRule="atLeast"/>
            <w:ind w:firstLine="200"/>
            <w:rPr>
              <w:color w:val="000000" w:themeColor="text1"/>
            </w:rPr>
          </w:pPr>
          <w:r>
            <w:rPr>
              <w:rFonts w:asciiTheme="minorEastAsia" w:eastAsiaTheme="minorEastAsia" w:hAnsiTheme="minorEastAsia" w:hint="eastAsia"/>
            </w:rPr>
            <w:t>本公司的实际控制人为张文生先生。</w:t>
          </w:r>
        </w:p>
      </w:sdtContent>
    </w:sdt>
    <w:p w:rsidR="000C5659" w:rsidRDefault="000C5659">
      <w:pPr>
        <w:rPr>
          <w:rFonts w:cs="Times New Roman"/>
          <w:color w:val="000000" w:themeColor="text1"/>
          <w:kern w:val="2"/>
        </w:rPr>
      </w:pPr>
    </w:p>
    <w:bookmarkEnd w:id="110"/>
    <w:bookmarkEnd w:id="111"/>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财务报表的编制基础</w:t>
      </w:r>
    </w:p>
    <w:p w:rsidR="000C5659" w:rsidRDefault="000E33C4" w:rsidP="000743DD">
      <w:pPr>
        <w:pStyle w:val="35"/>
        <w:numPr>
          <w:ilvl w:val="0"/>
          <w:numId w:val="39"/>
        </w:numPr>
        <w:rPr>
          <w:rFonts w:ascii="宋体" w:hAnsi="宋体"/>
          <w:color w:val="000000" w:themeColor="text1"/>
        </w:rPr>
      </w:pPr>
      <w:r>
        <w:rPr>
          <w:rFonts w:ascii="宋体" w:hAnsi="宋体"/>
          <w:color w:val="000000" w:themeColor="text1"/>
        </w:rPr>
        <w:t>编制基础</w:t>
      </w:r>
    </w:p>
    <w:sdt>
      <w:sdtPr>
        <w:rPr>
          <w:rFonts w:hint="eastAsia"/>
          <w:bCs/>
          <w:color w:val="000000" w:themeColor="text1"/>
        </w:rPr>
        <w:alias w:val="财务报表的编制基础"/>
        <w:tag w:val="_GBC_1dc2375ed7ab49628f5badf2d5006405"/>
        <w:id w:val="-1475595087"/>
        <w:placeholder>
          <w:docPart w:val="GBC22222222222222222222222222222"/>
        </w:placeholder>
      </w:sdtPr>
      <w:sdtEndPr/>
      <w:sdtContent>
        <w:p w:rsidR="000C5659" w:rsidRDefault="000E33C4">
          <w:pPr>
            <w:pStyle w:val="Style325"/>
          </w:pPr>
          <w:r>
            <w:rPr>
              <w:rFonts w:hint="eastAsia"/>
              <w:color w:val="000000" w:themeColor="text1"/>
            </w:rPr>
            <w:t>本公司财务报告</w:t>
          </w:r>
          <w:r>
            <w:t>以持续经营为编制基础。</w:t>
          </w:r>
        </w:p>
        <w:p w:rsidR="000C5659" w:rsidRDefault="000E33C4">
          <w:pPr>
            <w:rPr>
              <w:color w:val="000000" w:themeColor="text1"/>
            </w:rPr>
          </w:pPr>
          <w:r>
            <w:rPr>
              <w:rFonts w:hint="eastAsia"/>
            </w:rPr>
            <w:t>财务报表按照财政部颁布的《企业会计准则——基本准则》和各项具体会计准则、企业会计准则应用指南、企业会计准则解释及其他相关规定（以下合称“企业会计准则”），以及中国证券监督管理委员会《公开发行证券的公司信息披露编报规则第</w:t>
          </w:r>
          <w:r>
            <w:t>15 号——财务报告的一般规定》的相关规定编制。</w:t>
          </w:r>
        </w:p>
      </w:sdtContent>
    </w:sdt>
    <w:p w:rsidR="000C5659" w:rsidRDefault="000C5659">
      <w:pPr>
        <w:rPr>
          <w:color w:val="000000" w:themeColor="text1"/>
        </w:rPr>
      </w:pPr>
    </w:p>
    <w:p w:rsidR="000C5659" w:rsidRDefault="000E33C4" w:rsidP="000743DD">
      <w:pPr>
        <w:pStyle w:val="35"/>
        <w:numPr>
          <w:ilvl w:val="0"/>
          <w:numId w:val="39"/>
        </w:numPr>
        <w:rPr>
          <w:rFonts w:ascii="宋体" w:hAnsi="宋体"/>
          <w:color w:val="000000" w:themeColor="text1"/>
        </w:rPr>
      </w:pPr>
      <w:r>
        <w:rPr>
          <w:rFonts w:ascii="宋体" w:hAnsi="宋体"/>
          <w:color w:val="000000" w:themeColor="text1"/>
        </w:rPr>
        <w:t>持续经营</w:t>
      </w:r>
    </w:p>
    <w:sdt>
      <w:sdtPr>
        <w:rPr>
          <w:color w:val="000000" w:themeColor="text1"/>
        </w:rPr>
        <w:alias w:val="是否适用：持续经营[双击切换]"/>
        <w:tag w:val="_GBC_7a7bd82392314f508ef1adfe80947192"/>
        <w:id w:val="-123677531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持续经营"/>
        <w:tag w:val="_GBC_dc876c24006b428987a041949eb554f3"/>
        <w:id w:val="1267037520"/>
        <w:placeholder>
          <w:docPart w:val="GBC22222222222222222222222222222"/>
        </w:placeholder>
      </w:sdtPr>
      <w:sdtEndPr/>
      <w:sdtContent>
        <w:p w:rsidR="000C5659" w:rsidRDefault="000E33C4">
          <w:pPr>
            <w:rPr>
              <w:color w:val="000000" w:themeColor="text1"/>
            </w:rPr>
          </w:pPr>
          <w:r>
            <w:rPr>
              <w:rFonts w:hint="eastAsia"/>
              <w:color w:val="000000" w:themeColor="text1"/>
            </w:rPr>
            <w:t>自报告</w:t>
          </w:r>
          <w:r>
            <w:rPr>
              <w:rFonts w:hint="eastAsia"/>
            </w:rPr>
            <w:t>期末起</w:t>
          </w:r>
          <w:r>
            <w:t>12</w:t>
          </w:r>
          <w:r>
            <w:rPr>
              <w:rFonts w:hint="eastAsia"/>
            </w:rPr>
            <w:t>月内，不存在对公司持续经营能力产生重大疑虑的事项或情况。</w:t>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重要会计政策及会计估计</w:t>
      </w:r>
    </w:p>
    <w:p w:rsidR="000C5659" w:rsidRDefault="000E33C4">
      <w:pPr>
        <w:rPr>
          <w:color w:val="000000" w:themeColor="text1"/>
        </w:rPr>
      </w:pPr>
      <w:r>
        <w:rPr>
          <w:rFonts w:hint="eastAsia"/>
          <w:color w:val="000000" w:themeColor="text1"/>
        </w:rPr>
        <w:t>具体会计政策和会计估计提示：</w:t>
      </w:r>
    </w:p>
    <w:sdt>
      <w:sdtPr>
        <w:rPr>
          <w:color w:val="000000" w:themeColor="text1"/>
        </w:rPr>
        <w:alias w:val="是否适用：具体会计政策和会计估计提示[双击切换]"/>
        <w:tag w:val="_GBC_77c62823e3884e1fbfb236cea1f9f425"/>
        <w:id w:val="-81703109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具体会计政策和会计估计提示"/>
        <w:tag w:val="_GBC_caddaeaf0d1a454ab0bede37f0db7782"/>
        <w:id w:val="766977339"/>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遵循企业会计准则的声明</w:t>
      </w:r>
    </w:p>
    <w:sdt>
      <w:sdtPr>
        <w:rPr>
          <w:rFonts w:hint="eastAsia"/>
          <w:color w:val="000000" w:themeColor="text1"/>
        </w:rPr>
        <w:alias w:val="会计准则和会计制度"/>
        <w:tag w:val="_GBC_a350b889163a4ef3bb500c021e6a6b47"/>
        <w:id w:val="-1593696021"/>
        <w:placeholder>
          <w:docPart w:val="GBC22222222222222222222222222222"/>
        </w:placeholder>
      </w:sdtPr>
      <w:sdtEndPr/>
      <w:sdtContent>
        <w:p w:rsidR="000C5659" w:rsidRDefault="000E33C4">
          <w:pPr>
            <w:rPr>
              <w:color w:val="000000" w:themeColor="text1"/>
            </w:rPr>
          </w:pPr>
          <w:r>
            <w:rPr>
              <w:color w:val="000000" w:themeColor="text1"/>
            </w:rPr>
            <w:t>本公司所编制的财务报表符合企业会计准则的要求，真实、完整地反映了公司的财务状况、经营成果、股东权益变动和现金流量等有关信息。</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会计期间</w:t>
      </w:r>
    </w:p>
    <w:sdt>
      <w:sdtPr>
        <w:rPr>
          <w:rFonts w:hint="eastAsia"/>
          <w:color w:val="000000" w:themeColor="text1"/>
        </w:rPr>
        <w:alias w:val="会计年度"/>
        <w:tag w:val="_GBC_fc896fba50b143f8a06984831f5d5600"/>
        <w:id w:val="759039323"/>
        <w:placeholder>
          <w:docPart w:val="GBC22222222222222222222222222222"/>
        </w:placeholder>
      </w:sdtPr>
      <w:sdtEndPr/>
      <w:sdtContent>
        <w:p w:rsidR="000C5659" w:rsidRDefault="000E33C4">
          <w:pPr>
            <w:rPr>
              <w:color w:val="000000" w:themeColor="text1"/>
            </w:rPr>
          </w:pPr>
          <w:r>
            <w:rPr>
              <w:color w:val="000000" w:themeColor="text1"/>
            </w:rPr>
            <w:t>本公司会计年度自公历1月1日起至12月31日止。</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hint="eastAsia"/>
          <w:color w:val="000000" w:themeColor="text1"/>
        </w:rPr>
        <w:lastRenderedPageBreak/>
        <w:t>营业周期</w:t>
      </w:r>
    </w:p>
    <w:sdt>
      <w:sdtPr>
        <w:rPr>
          <w:color w:val="000000" w:themeColor="text1"/>
        </w:rPr>
        <w:alias w:val="是否适用：营业周期[双击切换]"/>
        <w:tag w:val="_GBC_1668f7f497234cf886206b57711c4c87"/>
        <w:id w:val="-128673811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营业周期"/>
        <w:tag w:val="_GBC_e145e43187d9463889884f48e9e0b234"/>
        <w:id w:val="-148213179"/>
        <w:placeholder>
          <w:docPart w:val="GBC22222222222222222222222222222"/>
        </w:placeholder>
      </w:sdtPr>
      <w:sdtEndPr/>
      <w:sdtContent>
        <w:p w:rsidR="000C5659" w:rsidRDefault="000E33C4">
          <w:pPr>
            <w:rPr>
              <w:color w:val="000000" w:themeColor="text1"/>
            </w:rPr>
          </w:pPr>
          <w:r>
            <w:rPr>
              <w:rFonts w:hint="eastAsia"/>
              <w:color w:val="000000" w:themeColor="text1"/>
            </w:rPr>
            <w:t>本公司营业周期</w:t>
          </w:r>
          <w:r>
            <w:rPr>
              <w:rFonts w:hint="eastAsia"/>
            </w:rPr>
            <w:t>为</w:t>
          </w:r>
          <w:r>
            <w:t>12个月。</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记账本位币</w:t>
      </w:r>
    </w:p>
    <w:sdt>
      <w:sdtPr>
        <w:rPr>
          <w:rFonts w:hint="eastAsia"/>
          <w:color w:val="000000" w:themeColor="text1"/>
        </w:rPr>
        <w:alias w:val="记账本位币"/>
        <w:tag w:val="_GBC_3749a2357eba44e8b968cb41cda75ff1"/>
        <w:id w:val="404885827"/>
        <w:placeholder>
          <w:docPart w:val="GBC22222222222222222222222222222"/>
        </w:placeholder>
      </w:sdtPr>
      <w:sdtEndPr/>
      <w:sdtContent>
        <w:p w:rsidR="000C5659" w:rsidRDefault="000E33C4">
          <w:pPr>
            <w:rPr>
              <w:color w:val="000000" w:themeColor="text1"/>
            </w:rPr>
          </w:pPr>
          <w:r>
            <w:rPr>
              <w:color w:val="000000" w:themeColor="text1"/>
            </w:rPr>
            <w:t>本公司的记账本位币为人民币。</w:t>
          </w:r>
        </w:p>
      </w:sdtContent>
    </w:sdt>
    <w:p w:rsidR="000C5659" w:rsidRDefault="000C5659">
      <w:pPr>
        <w:rPr>
          <w:rFonts w:cs="Times New Roman"/>
          <w:color w:val="000000" w:themeColor="text1"/>
          <w:kern w:val="2"/>
        </w:rPr>
      </w:pPr>
    </w:p>
    <w:p w:rsidR="000C5659" w:rsidRDefault="000E33C4" w:rsidP="000743DD">
      <w:pPr>
        <w:pStyle w:val="35"/>
        <w:numPr>
          <w:ilvl w:val="0"/>
          <w:numId w:val="40"/>
        </w:numPr>
        <w:ind w:left="450" w:hanging="450"/>
        <w:rPr>
          <w:color w:val="000000" w:themeColor="text1"/>
        </w:rPr>
      </w:pPr>
      <w:bookmarkStart w:id="112" w:name="_Hlk169007161"/>
      <w:bookmarkStart w:id="113" w:name="_Hlk167809539"/>
      <w:r>
        <w:rPr>
          <w:rFonts w:hint="eastAsia"/>
          <w:color w:val="000000" w:themeColor="text1"/>
        </w:rPr>
        <w:t>重要性标准确定方法和选择依据</w:t>
      </w:r>
    </w:p>
    <w:sdt>
      <w:sdtPr>
        <w:rPr>
          <w:color w:val="000000" w:themeColor="text1"/>
        </w:rPr>
        <w:alias w:val="是否适用：重要性标准确定方法和选择依据[双击切换]"/>
        <w:tag w:val="_GBC_1f44a82433fd445aac6090cd207979fd"/>
        <w:id w:val="-177347532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tbl>
      <w:tblPr>
        <w:tblStyle w:val="g2"/>
        <w:tblW w:w="0" w:type="auto"/>
        <w:tblLook w:val="04A0" w:firstRow="1" w:lastRow="0" w:firstColumn="1" w:lastColumn="0" w:noHBand="0" w:noVBand="1"/>
      </w:tblPr>
      <w:tblGrid>
        <w:gridCol w:w="4411"/>
        <w:gridCol w:w="4412"/>
      </w:tblGrid>
      <w:tr w:rsidR="000C5659">
        <w:sdt>
          <w:sdtPr>
            <w:rPr>
              <w:rFonts w:ascii="Times New Roman" w:hAnsi="Times New Roman" w:hint="eastAsia"/>
              <w:color w:val="000000" w:themeColor="text1"/>
            </w:rPr>
            <w:tag w:val="_PLD_8d2a16b36b194561ae6c2ac9de9d21f1"/>
            <w:id w:val="-1038818373"/>
          </w:sdtPr>
          <w:sdtEndPr/>
          <w:sdtContent>
            <w:tc>
              <w:tcPr>
                <w:tcW w:w="4411"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项目</w:t>
                </w:r>
              </w:p>
            </w:tc>
          </w:sdtContent>
        </w:sdt>
        <w:sdt>
          <w:sdtPr>
            <w:rPr>
              <w:rFonts w:ascii="Times New Roman" w:hAnsi="Times New Roman"/>
              <w:color w:val="000000" w:themeColor="text1"/>
            </w:rPr>
            <w:tag w:val="_PLD_eb4e754207e74cc59df0dce32451d27d"/>
            <w:id w:val="-477923323"/>
          </w:sdtPr>
          <w:sdtEndPr/>
          <w:sdtContent>
            <w:tc>
              <w:tcPr>
                <w:tcW w:w="4412" w:type="dxa"/>
              </w:tcPr>
              <w:p w:rsidR="000C5659" w:rsidRDefault="000E33C4">
                <w:pPr>
                  <w:jc w:val="center"/>
                  <w:rPr>
                    <w:rFonts w:ascii="Times New Roman" w:hAnsi="Times New Roman"/>
                    <w:color w:val="000000" w:themeColor="text1"/>
                  </w:rPr>
                </w:pPr>
                <w:r>
                  <w:rPr>
                    <w:rFonts w:ascii="Times New Roman" w:hAnsi="Times New Roman"/>
                    <w:color w:val="000000" w:themeColor="text1"/>
                  </w:rPr>
                  <w:t>重要性标准</w:t>
                </w:r>
              </w:p>
            </w:tc>
          </w:sdtContent>
        </w:sdt>
      </w:tr>
      <w:tr w:rsidR="000C5659">
        <w:tc>
          <w:tcPr>
            <w:tcW w:w="4411" w:type="dxa"/>
          </w:tcPr>
          <w:p w:rsidR="000C5659" w:rsidRDefault="000E33C4">
            <w:pPr>
              <w:rPr>
                <w:rFonts w:ascii="Times New Roman" w:hAnsi="Times New Roman"/>
              </w:rPr>
            </w:pPr>
            <w:r>
              <w:t>重要的单项计提坏账准备的应收款项</w:t>
            </w:r>
          </w:p>
        </w:tc>
        <w:tc>
          <w:tcPr>
            <w:tcW w:w="4412" w:type="dxa"/>
          </w:tcPr>
          <w:p w:rsidR="000C5659" w:rsidRDefault="000E33C4">
            <w:pPr>
              <w:rPr>
                <w:rFonts w:ascii="Times New Roman" w:hAnsi="Times New Roman"/>
              </w:rPr>
            </w:pPr>
            <w:r>
              <w:t>余额超过税前利润6%</w:t>
            </w:r>
          </w:p>
        </w:tc>
      </w:tr>
      <w:tr w:rsidR="000C5659">
        <w:tc>
          <w:tcPr>
            <w:tcW w:w="4411" w:type="dxa"/>
          </w:tcPr>
          <w:p w:rsidR="000C5659" w:rsidRDefault="000E33C4">
            <w:pPr>
              <w:rPr>
                <w:rFonts w:ascii="Times New Roman" w:hAnsi="Times New Roman"/>
              </w:rPr>
            </w:pPr>
            <w:r>
              <w:t>账龄超过1年的重要的往来款</w:t>
            </w:r>
          </w:p>
        </w:tc>
        <w:tc>
          <w:tcPr>
            <w:tcW w:w="4412" w:type="dxa"/>
          </w:tcPr>
          <w:p w:rsidR="000C5659" w:rsidRDefault="000E33C4">
            <w:pPr>
              <w:rPr>
                <w:rFonts w:ascii="Times New Roman" w:hAnsi="Times New Roman"/>
              </w:rPr>
            </w:pPr>
            <w:r>
              <w:t>余额超过税前利润6%</w:t>
            </w:r>
          </w:p>
        </w:tc>
      </w:tr>
      <w:tr w:rsidR="000C5659">
        <w:tc>
          <w:tcPr>
            <w:tcW w:w="4411" w:type="dxa"/>
          </w:tcPr>
          <w:p w:rsidR="000C5659" w:rsidRDefault="000E33C4">
            <w:pPr>
              <w:rPr>
                <w:rFonts w:ascii="Times New Roman" w:hAnsi="Times New Roman"/>
              </w:rPr>
            </w:pPr>
            <w:r>
              <w:t>重要的在建工程</w:t>
            </w:r>
          </w:p>
        </w:tc>
        <w:tc>
          <w:tcPr>
            <w:tcW w:w="4412" w:type="dxa"/>
          </w:tcPr>
          <w:p w:rsidR="000C5659" w:rsidRDefault="000E33C4">
            <w:pPr>
              <w:rPr>
                <w:rFonts w:ascii="Times New Roman" w:hAnsi="Times New Roman"/>
              </w:rPr>
            </w:pPr>
            <w:r>
              <w:t>本期变动发生额或余额大于等于500万元</w:t>
            </w:r>
          </w:p>
        </w:tc>
      </w:tr>
      <w:tr w:rsidR="000C5659">
        <w:tc>
          <w:tcPr>
            <w:tcW w:w="4411" w:type="dxa"/>
          </w:tcPr>
          <w:p w:rsidR="000C5659" w:rsidRDefault="000E33C4">
            <w:pPr>
              <w:pStyle w:val="Style325"/>
            </w:pPr>
            <w:r>
              <w:t>重要投资活动有关的现金</w:t>
            </w:r>
          </w:p>
        </w:tc>
        <w:tc>
          <w:tcPr>
            <w:tcW w:w="4412" w:type="dxa"/>
          </w:tcPr>
          <w:p w:rsidR="000C5659" w:rsidRDefault="000E33C4">
            <w:pPr>
              <w:pStyle w:val="Style325"/>
            </w:pPr>
            <w:r>
              <w:t>除长期资产处置或购建外，投资活动现金流入或流出大于500万元</w:t>
            </w:r>
          </w:p>
        </w:tc>
      </w:tr>
    </w:tbl>
    <w:p w:rsidR="000C5659" w:rsidRDefault="000C5659">
      <w:pPr>
        <w:rPr>
          <w:color w:val="000000" w:themeColor="text1"/>
        </w:rPr>
      </w:pPr>
    </w:p>
    <w:bookmarkEnd w:id="112"/>
    <w:bookmarkEnd w:id="113"/>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同一控制下和非同一控制下企业合并的会计处理方法</w:t>
      </w:r>
    </w:p>
    <w:sdt>
      <w:sdtPr>
        <w:rPr>
          <w:rFonts w:hint="eastAsia"/>
          <w:color w:val="000000" w:themeColor="text1"/>
        </w:rPr>
        <w:alias w:val="是否适用：同一控制下和非同一控制下企业合并的会计处理方法[双击切换]"/>
        <w:tag w:val="_GBC_15953b39483a4ce1a5c96869e4a0ae9c"/>
        <w:id w:val="-126043840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bCs/>
          <w:color w:val="000000" w:themeColor="text1"/>
          <w:sz w:val="21"/>
          <w:szCs w:val="21"/>
        </w:rPr>
        <w:alias w:val="同一控制下和非同一控制下企业合并的会计处理方法"/>
        <w:tag w:val="_GBC_ef4b9a8d4ac34f45a0f61a23267bcbb8"/>
        <w:id w:val="1319150383"/>
        <w:placeholder>
          <w:docPart w:val="GBC22222222222222222222222222222"/>
        </w:placeholder>
      </w:sdtPr>
      <w:sdtEndPr/>
      <w:sdtContent>
        <w:p w:rsidR="000C5659" w:rsidRDefault="000E33C4">
          <w:pPr>
            <w:pStyle w:val="Style229"/>
            <w:rPr>
              <w:sz w:val="21"/>
              <w:szCs w:val="21"/>
            </w:rPr>
          </w:pPr>
          <w:r>
            <w:rPr>
              <w:rFonts w:hint="eastAsia"/>
              <w:color w:val="000000" w:themeColor="text1"/>
              <w:sz w:val="21"/>
              <w:szCs w:val="21"/>
            </w:rPr>
            <w:t>同一控制下</w:t>
          </w:r>
          <w:r>
            <w:rPr>
              <w:rFonts w:hint="eastAsia"/>
              <w:sz w:val="21"/>
              <w:szCs w:val="21"/>
            </w:rPr>
            <w:t>企业合并：合并方在企业合并中取得的资产和负债（包括最终控制方收购被合并方而形成的商誉），按照合并日被合并方资产、负债在最终控制方合并财务报表中的账面价值为基础计量。在合并中取得的净资产账面价值与支付的合并对价账面价值（或发行股份面值总额）的差额，调整资本公积中的股本溢价，资本公积中的股本溢价不足冲减的，调整留存收益。</w:t>
          </w:r>
        </w:p>
        <w:p w:rsidR="000C5659" w:rsidRDefault="000E33C4">
          <w:pPr>
            <w:pStyle w:val="Style325"/>
          </w:pPr>
          <w:r>
            <w:rPr>
              <w:rFonts w:hint="eastAsia"/>
            </w:rPr>
            <w:t>非同一控制下企业合并：合并成本为购买方在购买日为取得被购买方的控制权而付出的资产、发生或承担的负债以及发行的权益性证券的公允价值。合并成本大于合并中取得的被购买方可辨认净资产公允价值份额的差额，确认为商誉；合并成本小于合并中取得的被购买方可辨认净资产公允价值份额的差额，计入当期损益。在合并中取得的被购买方符合确认条件的各项可辨认资产、负债及或有负债在购买日按公允价值计量。</w:t>
          </w:r>
        </w:p>
        <w:p w:rsidR="000C5659" w:rsidRDefault="000E33C4">
          <w:pPr>
            <w:rPr>
              <w:color w:val="000000" w:themeColor="text1"/>
            </w:rPr>
          </w:pPr>
          <w:r>
            <w:rPr>
              <w:rFonts w:hint="eastAsia"/>
            </w:rPr>
            <w:t>为企业合并发生的直接相关费用于发生时计入当期损益；为企业合并而发行权益性证券或债务性证券的交易费用，计入权益性证券或债务性证券的初始确认金额。</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bookmarkStart w:id="114" w:name="_Hlk169007307"/>
      <w:r>
        <w:rPr>
          <w:rFonts w:ascii="宋体" w:hAnsi="宋体" w:hint="eastAsia"/>
          <w:color w:val="000000" w:themeColor="text1"/>
        </w:rPr>
        <w:t>控制的判断标准和</w:t>
      </w:r>
      <w:r>
        <w:rPr>
          <w:rFonts w:ascii="宋体" w:hAnsi="宋体"/>
          <w:color w:val="000000" w:themeColor="text1"/>
        </w:rPr>
        <w:t>合并财务报表的编制方法</w:t>
      </w:r>
    </w:p>
    <w:sdt>
      <w:sdtPr>
        <w:rPr>
          <w:rFonts w:hint="eastAsia"/>
          <w:color w:val="000000" w:themeColor="text1"/>
        </w:rPr>
        <w:alias w:val="是否适用：合并财务报表的编制方法[双击切换]"/>
        <w:tag w:val="_GBC_dad2e053cc8c4461a681b3e4926c48a6"/>
        <w:id w:val="-14730600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企业合并及合并财务报表的说明"/>
        <w:tag w:val="_GBC_5201beca0c0944939b4a0d8d100d6fcf"/>
        <w:id w:val="-232544853"/>
        <w:placeholder>
          <w:docPart w:val="GBC22222222222222222222222222222"/>
        </w:placeholder>
      </w:sdtPr>
      <w:sdtEndPr/>
      <w:sdtContent>
        <w:p w:rsidR="000C5659" w:rsidRDefault="000E33C4">
          <w:pPr>
            <w:rPr>
              <w:color w:val="000000" w:themeColor="text1"/>
            </w:rPr>
          </w:pPr>
          <w:r>
            <w:rPr>
              <w:rFonts w:hint="eastAsia"/>
              <w:color w:val="000000" w:themeColor="text1"/>
            </w:rPr>
            <w:t>1、控制的判断标准</w:t>
          </w:r>
        </w:p>
        <w:p w:rsidR="000C5659" w:rsidRDefault="000E33C4">
          <w:pPr>
            <w:rPr>
              <w:rFonts w:eastAsiaTheme="minorEastAsia"/>
            </w:rPr>
          </w:pPr>
          <w:r>
            <w:rPr>
              <w:rFonts w:eastAsiaTheme="minorEastAsia"/>
            </w:rPr>
            <w:t>合并财务报表的合并范围以控制为基础确定，</w:t>
          </w:r>
          <w:r>
            <w:rPr>
              <w:rFonts w:eastAsiaTheme="minorEastAsia" w:hint="eastAsia"/>
            </w:rPr>
            <w:t>合并范围包括本公司及全部子公司</w:t>
          </w:r>
          <w:r>
            <w:rPr>
              <w:rFonts w:eastAsiaTheme="minorEastAsia"/>
            </w:rPr>
            <w:t>。</w:t>
          </w:r>
          <w:r>
            <w:rPr>
              <w:rFonts w:eastAsiaTheme="minorEastAsia" w:hint="eastAsia"/>
            </w:rPr>
            <w:t>控制，是指公司拥有对被投资方的权力，通过参与被投资方的相关活动而享有可变回报，并且有能力运用对被投资方的权力影响其回报金额。</w:t>
          </w:r>
        </w:p>
        <w:p w:rsidR="000C5659" w:rsidRDefault="000E33C4">
          <w:pPr>
            <w:rPr>
              <w:rFonts w:eastAsiaTheme="minorEastAsia"/>
            </w:rPr>
          </w:pPr>
          <w:r>
            <w:rPr>
              <w:rFonts w:eastAsiaTheme="minorEastAsia" w:hint="eastAsia"/>
            </w:rPr>
            <w:t>2、</w:t>
          </w:r>
          <w:r>
            <w:rPr>
              <w:rFonts w:eastAsiaTheme="minorEastAsia"/>
            </w:rPr>
            <w:t>合并程序</w:t>
          </w:r>
        </w:p>
        <w:p w:rsidR="000C5659" w:rsidRDefault="000E33C4" w:rsidP="00B820E0">
          <w:pPr>
            <w:pStyle w:val="Style230"/>
            <w:spacing w:line="240" w:lineRule="auto"/>
            <w:ind w:left="0"/>
            <w:rPr>
              <w:rFonts w:eastAsiaTheme="minorEastAsia"/>
            </w:rPr>
          </w:pPr>
          <w:r>
            <w:rPr>
              <w:rFonts w:eastAsiaTheme="minorEastAsia"/>
            </w:rPr>
            <w:t>本公司将整个企业集团视为一个会计主体，按照统一的会计政策</w:t>
          </w:r>
          <w:r>
            <w:rPr>
              <w:rFonts w:eastAsiaTheme="minorEastAsia" w:hint="eastAsia"/>
            </w:rPr>
            <w:t>编制合并财务报表</w:t>
          </w:r>
          <w:r>
            <w:rPr>
              <w:rFonts w:eastAsiaTheme="minorEastAsia"/>
            </w:rPr>
            <w:t>，反映本企业集团整体财务状况、经营成果和现金流量。</w:t>
          </w:r>
          <w:r>
            <w:rPr>
              <w:rFonts w:eastAsiaTheme="minorEastAsia" w:hint="eastAsia"/>
            </w:rPr>
            <w:t>本公司与子公司、子公司相互之间发生的内部交易的影响予以抵销。内部交易表明相关资产发生减值损失的，全额确认该部分损失。</w:t>
          </w:r>
          <w:r>
            <w:rPr>
              <w:rFonts w:eastAsiaTheme="minorEastAsia"/>
            </w:rPr>
            <w:t>如子公司采用的会计政策、会计期间与本公司不一致的，在编制合并财务报表时，按本公司的会计政策、会计期间进行必要的调整。</w:t>
          </w:r>
        </w:p>
        <w:p w:rsidR="000C5659" w:rsidRDefault="000E33C4" w:rsidP="00B820E0">
          <w:pPr>
            <w:pStyle w:val="Style230"/>
            <w:spacing w:line="240" w:lineRule="auto"/>
            <w:ind w:left="0"/>
            <w:rPr>
              <w:rFonts w:eastAsiaTheme="minorEastAsia"/>
            </w:rPr>
          </w:pPr>
          <w:r>
            <w:rPr>
              <w:rFonts w:eastAsiaTheme="minor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rsidR="000C5659" w:rsidRDefault="000E33C4" w:rsidP="00B820E0">
          <w:pPr>
            <w:pStyle w:val="Style230"/>
            <w:spacing w:line="240" w:lineRule="auto"/>
            <w:ind w:left="0"/>
            <w:rPr>
              <w:rFonts w:eastAsiaTheme="minorEastAsia"/>
            </w:rPr>
          </w:pPr>
          <w:r>
            <w:rPr>
              <w:rFonts w:eastAsiaTheme="minorEastAsia"/>
            </w:rPr>
            <w:t>（1）增加子公司或业务</w:t>
          </w:r>
        </w:p>
        <w:p w:rsidR="000C5659" w:rsidRDefault="000E33C4" w:rsidP="00B820E0">
          <w:pPr>
            <w:pStyle w:val="Style230"/>
            <w:spacing w:line="240" w:lineRule="auto"/>
            <w:ind w:left="0"/>
            <w:rPr>
              <w:rFonts w:eastAsiaTheme="minorEastAsia"/>
            </w:rPr>
          </w:pPr>
          <w:r>
            <w:rPr>
              <w:rFonts w:eastAsiaTheme="minorEastAsia"/>
            </w:rPr>
            <w:t>在报告期内，因同一控制下企业合并增加子公司或业务的，将子公司或业务合并当期期初至报告</w:t>
          </w:r>
          <w:r>
            <w:rPr>
              <w:rFonts w:eastAsiaTheme="minorEastAsia"/>
            </w:rPr>
            <w:lastRenderedPageBreak/>
            <w:t>期末的</w:t>
          </w:r>
          <w:r>
            <w:rPr>
              <w:rFonts w:eastAsiaTheme="minorEastAsia" w:hint="eastAsia"/>
            </w:rPr>
            <w:t>经营成果和现金流量</w:t>
          </w:r>
          <w:r>
            <w:rPr>
              <w:rFonts w:eastAsiaTheme="minorEastAsia"/>
            </w:rPr>
            <w:t>纳入合并</w:t>
          </w:r>
          <w:r>
            <w:rPr>
              <w:rFonts w:eastAsiaTheme="minorEastAsia" w:hint="eastAsia"/>
            </w:rPr>
            <w:t>财务报表</w:t>
          </w:r>
          <w:r>
            <w:rPr>
              <w:rFonts w:eastAsiaTheme="minorEastAsia"/>
            </w:rPr>
            <w:t>，同时对</w:t>
          </w:r>
          <w:r>
            <w:rPr>
              <w:rFonts w:eastAsiaTheme="minorEastAsia" w:hint="eastAsia"/>
            </w:rPr>
            <w:t>合并财务报表的期初数和</w:t>
          </w:r>
          <w:r>
            <w:rPr>
              <w:rFonts w:eastAsiaTheme="minorEastAsia"/>
            </w:rPr>
            <w:t>比较报表的相关项目进行调整，视同合并后的报告主体自最终控制方开始控制时点起一直存在。</w:t>
          </w:r>
        </w:p>
        <w:p w:rsidR="000C5659" w:rsidRDefault="000E33C4" w:rsidP="00B820E0">
          <w:pPr>
            <w:pStyle w:val="Style230"/>
            <w:spacing w:line="240" w:lineRule="auto"/>
            <w:ind w:left="0"/>
            <w:rPr>
              <w:rFonts w:eastAsiaTheme="minorEastAsia"/>
            </w:rPr>
          </w:pPr>
          <w:r>
            <w:rPr>
              <w:rFonts w:eastAsiaTheme="minorEastAsia"/>
            </w:rPr>
            <w:t>因追加投资等原因能够对同一控制下的被投资方实施控制的，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rsidR="000C5659" w:rsidRDefault="000E33C4" w:rsidP="00B820E0">
          <w:pPr>
            <w:pStyle w:val="Style230"/>
            <w:spacing w:line="240" w:lineRule="auto"/>
            <w:ind w:left="0"/>
            <w:rPr>
              <w:rFonts w:eastAsiaTheme="minorEastAsia"/>
            </w:rPr>
          </w:pPr>
          <w:r>
            <w:rPr>
              <w:rFonts w:eastAsiaTheme="minorEastAsia"/>
            </w:rPr>
            <w:t>在报告期内，因非同一控制下企业合并增加子公司或业务的，以购买日</w:t>
          </w:r>
          <w:r>
            <w:rPr>
              <w:rFonts w:eastAsiaTheme="minorEastAsia" w:hint="eastAsia"/>
            </w:rPr>
            <w:t>确定的各项</w:t>
          </w:r>
          <w:r>
            <w:rPr>
              <w:rFonts w:eastAsiaTheme="minorEastAsia"/>
            </w:rPr>
            <w:t>可辨认资产</w:t>
          </w:r>
          <w:r>
            <w:rPr>
              <w:rFonts w:eastAsiaTheme="minorEastAsia" w:hint="eastAsia"/>
            </w:rPr>
            <w:t>、负债及或有负债的</w:t>
          </w:r>
          <w:r>
            <w:rPr>
              <w:rFonts w:eastAsiaTheme="minorEastAsia"/>
            </w:rPr>
            <w:t>公允价值为基础</w:t>
          </w:r>
          <w:r>
            <w:rPr>
              <w:rFonts w:eastAsiaTheme="minorEastAsia" w:hint="eastAsia"/>
            </w:rPr>
            <w:t>自购买日起纳入合并财务报表</w:t>
          </w:r>
          <w:r>
            <w:rPr>
              <w:rFonts w:eastAsiaTheme="minorEastAsia"/>
            </w:rPr>
            <w:t>。</w:t>
          </w:r>
        </w:p>
        <w:p w:rsidR="000C5659" w:rsidRDefault="000E33C4" w:rsidP="00B820E0">
          <w:pPr>
            <w:pStyle w:val="Style230"/>
            <w:spacing w:line="240" w:lineRule="auto"/>
            <w:ind w:left="0"/>
            <w:rPr>
              <w:rFonts w:eastAsiaTheme="minorEastAsia"/>
            </w:rPr>
          </w:pPr>
          <w:r>
            <w:rPr>
              <w:rFonts w:eastAsiaTheme="minorEastAsia"/>
            </w:rPr>
            <w:t>因追加投资等原因能够对非同一控制下的被投资方实施控制的，对于购买日之前持有的被购买方的股权，按照该股权在购买日的公允价值进行重新计量，公允价值与其账面价值的差额计入当期投资收益。购买日之前持有的被购买方的股权涉及的</w:t>
          </w:r>
          <w:r>
            <w:rPr>
              <w:rFonts w:eastAsiaTheme="minorEastAsia" w:hint="eastAsia"/>
            </w:rPr>
            <w:t>以后可重分类进损益的</w:t>
          </w:r>
          <w:r>
            <w:rPr>
              <w:rFonts w:eastAsiaTheme="minorEastAsia"/>
            </w:rPr>
            <w:t>其他综合收益、</w:t>
          </w:r>
          <w:r>
            <w:rPr>
              <w:rFonts w:eastAsiaTheme="minorEastAsia" w:hint="eastAsia"/>
            </w:rPr>
            <w:t>权益法核算下的</w:t>
          </w:r>
          <w:r>
            <w:rPr>
              <w:rFonts w:eastAsiaTheme="minorEastAsia"/>
            </w:rPr>
            <w:t>其他所有者权益变动转为购买日所属当期投资收益。</w:t>
          </w:r>
          <w:r>
            <w:rPr>
              <w:rFonts w:ascii="Arial" w:hAnsi="Arial" w:cs="Arial" w:hint="eastAsia"/>
              <w:color w:val="0000FF"/>
              <w:sz w:val="16"/>
              <w:szCs w:val="16"/>
            </w:rPr>
            <w:t xml:space="preserve">  </w:t>
          </w:r>
        </w:p>
        <w:p w:rsidR="000C5659" w:rsidRDefault="000E33C4" w:rsidP="00B820E0">
          <w:pPr>
            <w:pStyle w:val="Style230"/>
            <w:spacing w:line="240" w:lineRule="auto"/>
            <w:ind w:left="0"/>
            <w:rPr>
              <w:rFonts w:eastAsiaTheme="minorEastAsia"/>
            </w:rPr>
          </w:pPr>
          <w:r>
            <w:rPr>
              <w:rFonts w:eastAsiaTheme="minorEastAsia"/>
            </w:rPr>
            <w:t>（2）处置子公司</w:t>
          </w:r>
        </w:p>
        <w:p w:rsidR="000C5659" w:rsidRDefault="000E33C4" w:rsidP="00B820E0">
          <w:pPr>
            <w:pStyle w:val="Style230"/>
            <w:spacing w:line="240" w:lineRule="auto"/>
            <w:ind w:left="0"/>
            <w:rPr>
              <w:rFonts w:eastAsiaTheme="minorEastAsia"/>
            </w:rPr>
          </w:pPr>
          <w:r>
            <w:rPr>
              <w:rFonts w:hint="eastAsia"/>
            </w:rPr>
            <w:t>①</w:t>
          </w:r>
          <w:r>
            <w:rPr>
              <w:rFonts w:eastAsiaTheme="minorEastAsia"/>
            </w:rPr>
            <w:t>一般处理方法</w:t>
          </w:r>
        </w:p>
        <w:p w:rsidR="000C5659" w:rsidRDefault="000E33C4" w:rsidP="00B820E0">
          <w:pPr>
            <w:pStyle w:val="Style230"/>
            <w:spacing w:line="240" w:lineRule="auto"/>
            <w:ind w:left="0"/>
            <w:rPr>
              <w:rFonts w:eastAsiaTheme="minorEastAsia"/>
            </w:rPr>
          </w:pPr>
          <w:r>
            <w:rPr>
              <w:rFonts w:eastAsiaTheme="minorEastAsia"/>
            </w:rPr>
            <w:t>因处置部分股权投资或其他原因丧失了对被投资方控制权时，对于处置后的剩余股权投资，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w:t>
          </w:r>
          <w:r>
            <w:rPr>
              <w:rFonts w:eastAsiaTheme="minorEastAsia" w:hint="eastAsia"/>
            </w:rPr>
            <w:t>以后可重分类进损益的</w:t>
          </w:r>
          <w:r>
            <w:rPr>
              <w:rFonts w:eastAsiaTheme="minorEastAsia"/>
            </w:rPr>
            <w:t>其他综合收益</w:t>
          </w:r>
          <w:r>
            <w:rPr>
              <w:rFonts w:eastAsiaTheme="minorEastAsia" w:hint="eastAsia"/>
            </w:rPr>
            <w:t>、权益法核算下的</w:t>
          </w:r>
          <w:r>
            <w:rPr>
              <w:rFonts w:eastAsiaTheme="minorEastAsia"/>
            </w:rPr>
            <w:t>其他所有者权益变动，在丧失控制权时转为当期投资收益。</w:t>
          </w:r>
          <w:r>
            <w:rPr>
              <w:rFonts w:ascii="Arial" w:hAnsi="Arial" w:cs="Arial" w:hint="eastAsia"/>
              <w:color w:val="0000FF"/>
              <w:sz w:val="16"/>
              <w:szCs w:val="16"/>
            </w:rPr>
            <w:t xml:space="preserve"> </w:t>
          </w:r>
          <w:r>
            <w:rPr>
              <w:rFonts w:ascii="Arial" w:hAnsi="Arial" w:cs="Arial"/>
              <w:color w:val="0000FF"/>
              <w:sz w:val="16"/>
              <w:szCs w:val="16"/>
            </w:rPr>
            <w:t xml:space="preserve"> </w:t>
          </w:r>
        </w:p>
        <w:p w:rsidR="000C5659" w:rsidRDefault="000E33C4" w:rsidP="00B820E0">
          <w:pPr>
            <w:pStyle w:val="Style230"/>
            <w:spacing w:line="240" w:lineRule="auto"/>
            <w:ind w:left="0"/>
            <w:rPr>
              <w:rFonts w:eastAsiaTheme="minorEastAsia"/>
            </w:rPr>
          </w:pPr>
          <w:r>
            <w:rPr>
              <w:rFonts w:hint="eastAsia"/>
            </w:rPr>
            <w:t>②</w:t>
          </w:r>
          <w:r>
            <w:rPr>
              <w:rFonts w:eastAsiaTheme="minorEastAsia"/>
            </w:rPr>
            <w:t>分步处置子公司</w:t>
          </w:r>
        </w:p>
        <w:p w:rsidR="000C5659" w:rsidRDefault="000E33C4" w:rsidP="00B820E0">
          <w:pPr>
            <w:pStyle w:val="Style230"/>
            <w:spacing w:line="240" w:lineRule="auto"/>
            <w:ind w:left="0"/>
            <w:rPr>
              <w:rFonts w:eastAsiaTheme="minorEastAsia"/>
            </w:rPr>
          </w:pPr>
          <w:r>
            <w:rPr>
              <w:rFonts w:eastAsiaTheme="minorEastAsia"/>
            </w:rPr>
            <w:t>通过多次交易分步处置对子公司股权投资直至丧失控制权的，处置对子公司股权投资的各项交易的条款、条件以及经济影响符合以下一种或多种情况，通常表明</w:t>
          </w:r>
          <w:r>
            <w:rPr>
              <w:rFonts w:eastAsiaTheme="minorEastAsia" w:hint="eastAsia"/>
            </w:rPr>
            <w:t>该</w:t>
          </w:r>
          <w:r>
            <w:rPr>
              <w:rFonts w:eastAsiaTheme="minorEastAsia"/>
            </w:rPr>
            <w:t>多次交易事项为一揽子交易：</w:t>
          </w:r>
        </w:p>
        <w:p w:rsidR="000C5659" w:rsidRDefault="000E33C4" w:rsidP="00B820E0">
          <w:pPr>
            <w:pStyle w:val="Style230"/>
            <w:spacing w:line="240" w:lineRule="auto"/>
            <w:ind w:left="0"/>
            <w:rPr>
              <w:rFonts w:eastAsiaTheme="minorEastAsia"/>
            </w:rPr>
          </w:pPr>
          <w:r>
            <w:rPr>
              <w:rFonts w:hint="eastAsia"/>
            </w:rPr>
            <w:t>ⅰ</w:t>
          </w:r>
          <w:r>
            <w:rPr>
              <w:rFonts w:eastAsiaTheme="minorEastAsia"/>
            </w:rPr>
            <w:t>．这些交易是同时或者在考虑了彼此影响的情况下订立的；</w:t>
          </w:r>
        </w:p>
        <w:p w:rsidR="000C5659" w:rsidRDefault="000E33C4" w:rsidP="00B820E0">
          <w:pPr>
            <w:pStyle w:val="Style230"/>
            <w:spacing w:line="240" w:lineRule="auto"/>
            <w:ind w:left="0"/>
            <w:rPr>
              <w:rFonts w:eastAsiaTheme="minorEastAsia"/>
            </w:rPr>
          </w:pPr>
          <w:r>
            <w:rPr>
              <w:rFonts w:hint="eastAsia"/>
            </w:rPr>
            <w:t>ⅱ</w:t>
          </w:r>
          <w:r>
            <w:rPr>
              <w:rFonts w:eastAsiaTheme="minorEastAsia"/>
            </w:rPr>
            <w:t>．这些交易整体才能达成一项完整的商业结果；</w:t>
          </w:r>
        </w:p>
        <w:p w:rsidR="000C5659" w:rsidRDefault="000E33C4" w:rsidP="00B820E0">
          <w:pPr>
            <w:pStyle w:val="Style230"/>
            <w:spacing w:line="240" w:lineRule="auto"/>
            <w:ind w:left="0"/>
            <w:rPr>
              <w:rFonts w:eastAsiaTheme="minorEastAsia"/>
            </w:rPr>
          </w:pPr>
          <w:r>
            <w:rPr>
              <w:rFonts w:hint="eastAsia"/>
            </w:rPr>
            <w:t>ⅲ</w:t>
          </w:r>
          <w:r>
            <w:rPr>
              <w:rFonts w:eastAsiaTheme="minorEastAsia"/>
            </w:rPr>
            <w:t>．一项交易的发生取决于其他至少一项交易的发生；</w:t>
          </w:r>
        </w:p>
        <w:p w:rsidR="000C5659" w:rsidRDefault="000E33C4" w:rsidP="00B820E0">
          <w:pPr>
            <w:pStyle w:val="Style230"/>
            <w:spacing w:line="240" w:lineRule="auto"/>
            <w:ind w:left="0"/>
            <w:rPr>
              <w:rFonts w:eastAsiaTheme="minorEastAsia"/>
            </w:rPr>
          </w:pPr>
          <w:r>
            <w:rPr>
              <w:rFonts w:hint="eastAsia"/>
            </w:rPr>
            <w:t>ⅳ</w:t>
          </w:r>
          <w:r>
            <w:rPr>
              <w:rFonts w:eastAsiaTheme="minorEastAsia"/>
            </w:rPr>
            <w:t>．一项交易单独看是不经济的，但是和其他交易一并考虑时是经济的。</w:t>
          </w:r>
        </w:p>
        <w:p w:rsidR="000C5659" w:rsidRDefault="000E33C4" w:rsidP="00B820E0">
          <w:pPr>
            <w:pStyle w:val="Style230"/>
            <w:spacing w:line="240" w:lineRule="auto"/>
            <w:ind w:left="0"/>
            <w:rPr>
              <w:rFonts w:eastAsiaTheme="minorEastAsia"/>
            </w:rPr>
          </w:pPr>
          <w:r>
            <w:rPr>
              <w:rFonts w:eastAsiaTheme="minorEastAsia"/>
            </w:rPr>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rsidR="000C5659" w:rsidRDefault="000E33C4" w:rsidP="00B820E0">
          <w:pPr>
            <w:pStyle w:val="Style230"/>
            <w:spacing w:line="240" w:lineRule="auto"/>
            <w:ind w:left="0"/>
            <w:rPr>
              <w:rFonts w:eastAsiaTheme="minorEastAsia"/>
            </w:rPr>
          </w:pPr>
          <w:r>
            <w:rPr>
              <w:rFonts w:eastAsiaTheme="minorEastAsia"/>
            </w:rPr>
            <w:t>各项交易不属于一揽子交易的，在丧失控制权之前，按不丧失控制权的情况下部分处置对子公司的股权投资进行会计处理；在丧失控制权时，按处置子公司一般处理方法进行会计处理。</w:t>
          </w:r>
        </w:p>
        <w:p w:rsidR="000C5659" w:rsidRDefault="000E33C4">
          <w:pPr>
            <w:pStyle w:val="Style230"/>
            <w:ind w:left="0"/>
            <w:rPr>
              <w:rFonts w:eastAsiaTheme="minorEastAsia"/>
            </w:rPr>
          </w:pPr>
          <w:r>
            <w:rPr>
              <w:rFonts w:eastAsiaTheme="minorEastAsia"/>
            </w:rPr>
            <w:t>（3）购买子公司少数股权</w:t>
          </w:r>
        </w:p>
        <w:p w:rsidR="000C5659" w:rsidRDefault="000E33C4" w:rsidP="00B820E0">
          <w:pPr>
            <w:pStyle w:val="Style230"/>
            <w:spacing w:line="240" w:lineRule="auto"/>
            <w:ind w:left="0"/>
            <w:rPr>
              <w:rFonts w:eastAsiaTheme="minorEastAsia"/>
            </w:rPr>
          </w:pPr>
          <w:r>
            <w:rPr>
              <w:rFonts w:eastAsiaTheme="minorEastAsia"/>
            </w:rPr>
            <w:t>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0C5659" w:rsidRDefault="000E33C4">
          <w:pPr>
            <w:pStyle w:val="Style230"/>
            <w:ind w:left="0"/>
            <w:rPr>
              <w:rFonts w:eastAsiaTheme="minorEastAsia"/>
            </w:rPr>
          </w:pPr>
          <w:r>
            <w:rPr>
              <w:rFonts w:eastAsiaTheme="minorEastAsia"/>
            </w:rPr>
            <w:t>（4）不丧失控制权的情况下部分处置对子公司的股权投资</w:t>
          </w:r>
        </w:p>
        <w:p w:rsidR="000C5659" w:rsidRDefault="000E33C4">
          <w:pPr>
            <w:rPr>
              <w:color w:val="000000" w:themeColor="text1"/>
            </w:rPr>
          </w:pPr>
          <w:r>
            <w:rPr>
              <w:rFonts w:eastAsiaTheme="minorEastAsia"/>
            </w:rPr>
            <w:t>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bookmarkEnd w:id="114"/>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szCs w:val="21"/>
        </w:rPr>
      </w:pPr>
      <w:r>
        <w:rPr>
          <w:rFonts w:ascii="宋体" w:hAnsi="宋体" w:hint="eastAsia"/>
          <w:color w:val="000000" w:themeColor="text1"/>
          <w:szCs w:val="21"/>
        </w:rPr>
        <w:t>合营安排</w:t>
      </w:r>
      <w:r>
        <w:rPr>
          <w:rFonts w:ascii="宋体" w:hAnsi="宋体" w:hint="eastAsia"/>
          <w:color w:val="000000" w:themeColor="text1"/>
        </w:rPr>
        <w:t>分类</w:t>
      </w:r>
      <w:r>
        <w:rPr>
          <w:rFonts w:ascii="宋体" w:hAnsi="宋体" w:hint="eastAsia"/>
          <w:color w:val="000000" w:themeColor="text1"/>
          <w:szCs w:val="21"/>
        </w:rPr>
        <w:t>及共同经营会计处理方法</w:t>
      </w:r>
    </w:p>
    <w:sdt>
      <w:sdtPr>
        <w:rPr>
          <w:rFonts w:hint="eastAsia"/>
          <w:color w:val="000000" w:themeColor="text1"/>
        </w:rPr>
        <w:alias w:val="是否适用：合营安排分类及共同经营会计处理方法[双击切换]"/>
        <w:tag w:val="_GBC_f94c8519453541fe9de852d3064d61d5"/>
        <w:id w:val="36095793"/>
        <w:placeholder>
          <w:docPart w:val="GBC22222222222222222222222222222"/>
        </w:placeholder>
      </w:sdtPr>
      <w:sdtEndPr/>
      <w:sdtContent>
        <w:p w:rsidR="000C5659" w:rsidRDefault="000E33C4">
          <w:pPr>
            <w:rPr>
              <w:b/>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现金及现金等价物的确定标准</w:t>
      </w:r>
    </w:p>
    <w:sdt>
      <w:sdtPr>
        <w:rPr>
          <w:rFonts w:hint="eastAsia"/>
          <w:color w:val="000000" w:themeColor="text1"/>
        </w:rPr>
        <w:alias w:val="现金及现金等价物的确定标准"/>
        <w:tag w:val="_GBC_54f6bc3e44e840bc85cb3872600823b5"/>
        <w:id w:val="250711272"/>
        <w:placeholder>
          <w:docPart w:val="GBC22222222222222222222222222222"/>
        </w:placeholder>
      </w:sdtPr>
      <w:sdtEndPr/>
      <w:sdtContent>
        <w:p w:rsidR="000C5659" w:rsidRDefault="000E33C4">
          <w:pPr>
            <w:rPr>
              <w:color w:val="000000" w:themeColor="text1"/>
            </w:rPr>
          </w:pPr>
          <w:r>
            <w:rPr>
              <w:color w:val="000000" w:themeColor="text1"/>
            </w:rPr>
            <w:t>现金等价物是指企业持有的期限短（一般指从购买日起三个月内到期）、流动性强、易于转换为已知金额现金、价值变动风险很小的投资。</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lastRenderedPageBreak/>
        <w:t>外币业务和外币报表折算</w:t>
      </w:r>
    </w:p>
    <w:sdt>
      <w:sdtPr>
        <w:rPr>
          <w:rFonts w:hint="eastAsia"/>
          <w:color w:val="000000" w:themeColor="text1"/>
        </w:rPr>
        <w:alias w:val="是否适用：外币业务和外币报表折算[双击切换]"/>
        <w:tag w:val="_GBC_cd1fc5c05f5e49ed9ea2fffe41d0d113"/>
        <w:id w:val="14479346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asciiTheme="minorEastAsia" w:eastAsiaTheme="minorEastAsia" w:hAnsiTheme="minorEastAsia" w:cstheme="minorEastAsia" w:hint="eastAsia"/>
          <w:color w:val="000000" w:themeColor="text1"/>
          <w:kern w:val="2"/>
        </w:rPr>
        <w:alias w:val="外币业务核算方法"/>
        <w:tag w:val="_GBC_1703fe5fc56b42a8972c0906a4ac6d6b"/>
        <w:id w:val="357474659"/>
        <w:placeholder>
          <w:docPart w:val="GBC22222222222222222222222222222"/>
        </w:placeholder>
      </w:sdtPr>
      <w:sdtEndPr/>
      <w:sdtContent>
        <w:p w:rsidR="000C5659" w:rsidRDefault="000E33C4">
          <w:pPr>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1、外币业务</w:t>
          </w:r>
        </w:p>
        <w:p w:rsidR="000C5659" w:rsidRDefault="000E33C4">
          <w:pPr>
            <w:pStyle w:val="Style230"/>
            <w:spacing w:line="240" w:lineRule="auto"/>
            <w:ind w:left="0"/>
            <w:rPr>
              <w:rFonts w:asciiTheme="minorEastAsia" w:eastAsiaTheme="minorEastAsia" w:hAnsiTheme="minorEastAsia" w:cstheme="minorEastAsia"/>
            </w:rPr>
          </w:pPr>
          <w:r>
            <w:rPr>
              <w:rFonts w:asciiTheme="minorEastAsia" w:eastAsiaTheme="minorEastAsia" w:hAnsiTheme="minorEastAsia" w:cstheme="minorEastAsia" w:hint="eastAsia"/>
            </w:rPr>
            <w:t>外币业务采用交易发生日当月第一日的汇率作为折算汇率将外币金额折合成人民币记账。</w:t>
          </w:r>
        </w:p>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0C5659" w:rsidRDefault="000E33C4">
          <w:pPr>
            <w:rPr>
              <w:rFonts w:asciiTheme="minorEastAsia" w:eastAsiaTheme="minorEastAsia" w:hAnsiTheme="minorEastAsia" w:cstheme="minorEastAsia"/>
            </w:rPr>
          </w:pPr>
          <w:r>
            <w:rPr>
              <w:rFonts w:asciiTheme="minorEastAsia" w:eastAsiaTheme="minorEastAsia" w:hAnsiTheme="minorEastAsia" w:cstheme="minorEastAsia" w:hint="eastAsia"/>
            </w:rPr>
            <w:t>2、外币财务报表的这算</w:t>
          </w:r>
        </w:p>
        <w:p w:rsidR="000C5659" w:rsidRDefault="000E33C4">
          <w:pPr>
            <w:pStyle w:val="Style230"/>
            <w:spacing w:line="240" w:lineRule="auto"/>
            <w:ind w:left="0"/>
            <w:rPr>
              <w:rFonts w:asciiTheme="minorEastAsia" w:eastAsiaTheme="minorEastAsia" w:hAnsiTheme="minorEastAsia" w:cstheme="minorEastAsia"/>
            </w:rPr>
          </w:pPr>
          <w:r>
            <w:rPr>
              <w:rFonts w:asciiTheme="minorEastAsia" w:eastAsiaTheme="minorEastAsia" w:hAnsiTheme="minorEastAsia" w:cstheme="minorEastAsia" w:hint="eastAsia"/>
            </w:rPr>
            <w:t>资产负债表中的资产和负债项目，采用资产负债表日的即期汇率折算；所有者权益项目除“未分配利润”项目外，其他项目采用发生时的即期汇率折算。利润表中的收入和费用项目，采用交易发生日的近似汇率折算。</w:t>
          </w:r>
        </w:p>
        <w:p w:rsidR="000C5659" w:rsidRDefault="000E33C4">
          <w:pPr>
            <w:pStyle w:val="Style230"/>
            <w:spacing w:line="240" w:lineRule="auto"/>
            <w:ind w:left="0"/>
            <w:rPr>
              <w:color w:val="000000" w:themeColor="text1"/>
            </w:rPr>
          </w:pPr>
          <w:r>
            <w:rPr>
              <w:rFonts w:asciiTheme="minorEastAsia" w:eastAsiaTheme="minorEastAsia" w:hAnsiTheme="minorEastAsia" w:cstheme="minorEastAsia" w:hint="eastAsia"/>
            </w:rPr>
            <w:t>处置境外经营时，将与该境外经营相关的外币财务报表折算差额，自所有者权益项目转入处置当期损益。</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金融工具</w:t>
      </w:r>
    </w:p>
    <w:sdt>
      <w:sdtPr>
        <w:rPr>
          <w:rFonts w:hint="eastAsia"/>
          <w:color w:val="000000" w:themeColor="text1"/>
        </w:rPr>
        <w:alias w:val="是否适用：金融工具_重要会计政策和估计[双击切换]"/>
        <w:tag w:val="_GBC_285bdf73a629411f9c5d05731712b876"/>
        <w:id w:val="-103519312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bCs/>
          <w:color w:val="000000" w:themeColor="text1"/>
          <w:kern w:val="0"/>
        </w:rPr>
        <w:alias w:val="金融资产和金融负债的核算方法"/>
        <w:tag w:val="_GBC_b358067bbe2a49bf880c383a5db50d8a"/>
        <w:id w:val="-709947458"/>
        <w:placeholder>
          <w:docPart w:val="GBC22222222222222222222222222222"/>
        </w:placeholder>
      </w:sdtPr>
      <w:sdtEndPr/>
      <w:sdtContent>
        <w:p w:rsidR="000C5659" w:rsidRDefault="000E33C4">
          <w:pPr>
            <w:pStyle w:val="Style231"/>
            <w:spacing w:line="240" w:lineRule="auto"/>
            <w:ind w:left="0"/>
          </w:pPr>
          <w:r>
            <w:rPr>
              <w:rFonts w:hint="eastAsia"/>
            </w:rPr>
            <w:t>本公司在成为金融工具合同的一方时，确认一项金融资产、金融负债或权益工具。</w:t>
          </w:r>
        </w:p>
        <w:p w:rsidR="000C5659" w:rsidRDefault="000E33C4">
          <w:r>
            <w:t>金融工具的分类</w:t>
          </w:r>
        </w:p>
        <w:p w:rsidR="000C5659" w:rsidRDefault="000E33C4">
          <w:r>
            <w:t>根据本公司管理金融资产的业务模式和金融资产的合同现金流量特征，金融资产于初始确认时分类为</w:t>
          </w:r>
          <w:r>
            <w:rPr>
              <w:rFonts w:hint="eastAsia"/>
            </w:rPr>
            <w:t>：</w:t>
          </w:r>
          <w:r>
            <w:t>以摊余成本计量的金融资产</w:t>
          </w:r>
          <w:r>
            <w:rPr>
              <w:rFonts w:hint="eastAsia"/>
            </w:rPr>
            <w:t>、以公允价值计量且其变动计入其他综合收益的金融资产和</w:t>
          </w:r>
          <w:r>
            <w:t>以公允价值计量且其变动计入当期损益的金融资产</w:t>
          </w:r>
          <w:r>
            <w:rPr>
              <w:rFonts w:hint="eastAsia"/>
            </w:rPr>
            <w:t>。</w:t>
          </w:r>
        </w:p>
        <w:p w:rsidR="000C5659" w:rsidRDefault="000C5659"/>
        <w:p w:rsidR="000C5659" w:rsidRDefault="000E33C4">
          <w:r>
            <w:rPr>
              <w:rFonts w:hint="eastAsia"/>
            </w:rPr>
            <w:t>本公司将同时符合下列条件且未被指定为以公允价值计量且其变动计入当期损益的金融资产，分类为以摊余成本计量的金融资产：</w:t>
          </w:r>
        </w:p>
        <w:p w:rsidR="000C5659" w:rsidRDefault="000E33C4">
          <w:r>
            <w:t>－</w:t>
          </w:r>
          <w:r>
            <w:rPr>
              <w:rFonts w:hint="eastAsia"/>
            </w:rPr>
            <w:t xml:space="preserve"> 业务模式是以收取合同现金流量为目标；</w:t>
          </w:r>
        </w:p>
        <w:p w:rsidR="000C5659" w:rsidRDefault="000E33C4">
          <w:r>
            <w:t>－</w:t>
          </w:r>
          <w:r>
            <w:rPr>
              <w:rFonts w:hint="eastAsia"/>
            </w:rPr>
            <w:t xml:space="preserve"> 合同现金流量仅为对本金和以未偿付本金金额为基础的利息的支付。</w:t>
          </w:r>
        </w:p>
        <w:p w:rsidR="000C5659" w:rsidRDefault="000E33C4">
          <w:r>
            <w:rPr>
              <w:rFonts w:hint="eastAsia"/>
            </w:rPr>
            <w:t>本公司将同时符合下列条件且未被指定为</w:t>
          </w:r>
          <w:r>
            <w:t>以公允价值计量且其变动计入当期损益</w:t>
          </w:r>
          <w:r>
            <w:rPr>
              <w:rFonts w:hint="eastAsia"/>
            </w:rPr>
            <w:t>的金融资产，分类为以公允价值计量且其变动计入其他综合收益的金融资产（债务工具）：</w:t>
          </w:r>
        </w:p>
        <w:p w:rsidR="000C5659" w:rsidRDefault="000E33C4">
          <w:r>
            <w:t>－</w:t>
          </w:r>
          <w:r>
            <w:rPr>
              <w:rFonts w:hint="eastAsia"/>
            </w:rPr>
            <w:t xml:space="preserve"> 业务模式既以收取合同现金流量又以出售该金融资产为目标；</w:t>
          </w:r>
        </w:p>
        <w:p w:rsidR="000C5659" w:rsidRDefault="000E33C4">
          <w:r>
            <w:t>－</w:t>
          </w:r>
          <w:r>
            <w:rPr>
              <w:rFonts w:hint="eastAsia"/>
            </w:rPr>
            <w:t xml:space="preserve"> 合同现金流量仅为对本金和以未偿付本金金额为基础的利息的支付。</w:t>
          </w:r>
        </w:p>
        <w:p w:rsidR="000C5659" w:rsidRDefault="000E33C4">
          <w:r>
            <w:t>对于非交易性权益工具投资</w:t>
          </w:r>
          <w:r>
            <w:rPr>
              <w:rFonts w:hint="eastAsia"/>
            </w:rPr>
            <w:t>，</w:t>
          </w:r>
          <w:r>
            <w:t>本公司可以在初始确认时将其不可撤销地指定为以公允价值计量且其变动计入其他综合收益的金融资产</w:t>
          </w:r>
          <w:r>
            <w:rPr>
              <w:rFonts w:hint="eastAsia"/>
            </w:rPr>
            <w:t>（权益工具）。该指定在单项投资的基础上作出，且相关投资从发行者的角度符合权益工具的定义。</w:t>
          </w:r>
        </w:p>
        <w:p w:rsidR="000C5659" w:rsidRDefault="000C5659"/>
        <w:p w:rsidR="000C5659" w:rsidRDefault="000E33C4">
          <w:r>
            <w:rPr>
              <w:rFonts w:hint="eastAsia"/>
            </w:rPr>
            <w:t>除上述以摊余成本计量和以公允价值计量且其变动计入其他综合收益的金融资产外，本公司将其余所有的金融资产分类为以公允价值计量且其变动计入当期损益的金融资产。</w:t>
          </w:r>
          <w:r>
            <w:t>在初始确认时</w:t>
          </w:r>
          <w:r>
            <w:rPr>
              <w:rFonts w:hint="eastAsia"/>
            </w:rPr>
            <w:t>，如果</w:t>
          </w:r>
          <w:r>
            <w:t>能够消除或显著减少会计错配</w:t>
          </w:r>
          <w:r>
            <w:rPr>
              <w:rFonts w:hint="eastAsia"/>
            </w:rPr>
            <w:t>，本公司</w:t>
          </w:r>
          <w:r>
            <w:t>可以将本应分类为以摊余成本</w:t>
          </w:r>
          <w:r>
            <w:rPr>
              <w:rFonts w:hint="eastAsia"/>
            </w:rPr>
            <w:t>计量或以公允价值计量且其变动计入其他综合收益的</w:t>
          </w:r>
          <w:r>
            <w:t>金融资产不可撤销地指定为以公允价值计量且其变动计入当期损益的金融资产</w:t>
          </w:r>
          <w:r>
            <w:rPr>
              <w:rFonts w:hint="eastAsia"/>
            </w:rPr>
            <w:t>。</w:t>
          </w:r>
          <w:r>
            <w:rPr>
              <w:rFonts w:ascii="Arial" w:hAnsi="Arial" w:cs="Arial"/>
              <w:color w:val="0000FF"/>
              <w:sz w:val="16"/>
              <w:szCs w:val="16"/>
            </w:rPr>
            <w:t xml:space="preserve">  </w:t>
          </w:r>
        </w:p>
        <w:p w:rsidR="000C5659" w:rsidRDefault="000C5659"/>
        <w:p w:rsidR="000C5659" w:rsidRDefault="000E33C4">
          <w:r>
            <w:t>金融负债于初始确认时分类为：以公允价值计量且其变动计入当期损益的金融负债和以摊余成本计量的金融负债。</w:t>
          </w:r>
        </w:p>
        <w:p w:rsidR="000C5659" w:rsidRDefault="000C5659"/>
        <w:p w:rsidR="000C5659" w:rsidRDefault="000E33C4">
          <w:r>
            <w:rPr>
              <w:rFonts w:hint="eastAsia"/>
            </w:rPr>
            <w:t>符合以下条件之一的金融负债可在初始计量时指定为以公允价值计量且其变动计入当期损益的金融负债：</w:t>
          </w:r>
        </w:p>
        <w:p w:rsidR="000C5659" w:rsidRDefault="000E33C4">
          <w:r>
            <w:rPr>
              <w:rFonts w:hint="eastAsia"/>
            </w:rPr>
            <w:t>1）该项指定能够消除或显著减少会计错配。</w:t>
          </w:r>
        </w:p>
        <w:p w:rsidR="000C5659" w:rsidRDefault="000E33C4">
          <w:r>
            <w:rPr>
              <w:rFonts w:hint="eastAsia"/>
            </w:rPr>
            <w:t>2）根据正式书面文件载明的企业风险管理或投资策略，以公允价值为基础对金融负债组合或金融资产和金融负债组合进行管理和业绩评价，并在企业内部以此为基础向关键管理人员报告。</w:t>
          </w:r>
        </w:p>
        <w:p w:rsidR="000C5659" w:rsidRDefault="000E33C4">
          <w:r>
            <w:rPr>
              <w:rFonts w:hint="eastAsia"/>
            </w:rPr>
            <w:t>3）该金融负债包含需单独分拆的嵌入衍生工具。</w:t>
          </w:r>
        </w:p>
        <w:p w:rsidR="000C5659" w:rsidRDefault="000C5659"/>
        <w:p w:rsidR="000C5659" w:rsidRDefault="000E33C4">
          <w:r>
            <w:lastRenderedPageBreak/>
            <w:t>金融工具的确认依据和计量方法</w:t>
          </w:r>
        </w:p>
        <w:p w:rsidR="000C5659" w:rsidRDefault="000E33C4">
          <w:r>
            <w:rPr>
              <w:rFonts w:hint="eastAsia"/>
            </w:rPr>
            <w:t>（1）以摊余成本计量的金融资产</w:t>
          </w:r>
        </w:p>
        <w:p w:rsidR="000C5659" w:rsidRDefault="000E33C4">
          <w:r>
            <w:t>以摊余成本计量的金融资产包括应收票据</w:t>
          </w:r>
          <w:r>
            <w:rPr>
              <w:rFonts w:hint="eastAsia"/>
            </w:rPr>
            <w:t>、</w:t>
          </w:r>
          <w:r>
            <w:t>应收账款、其他应收款</w:t>
          </w:r>
          <w:r>
            <w:rPr>
              <w:rFonts w:hint="eastAsia"/>
            </w:rPr>
            <w:t>、</w:t>
          </w:r>
          <w:r>
            <w:t>长期应收款</w:t>
          </w:r>
          <w:r>
            <w:rPr>
              <w:rFonts w:hint="eastAsia"/>
            </w:rPr>
            <w:t>、</w:t>
          </w:r>
          <w:r>
            <w:t>债权投资等，按公允价值进行初始计量</w:t>
          </w:r>
          <w:r>
            <w:rPr>
              <w:rFonts w:hint="eastAsia"/>
            </w:rPr>
            <w:t>，</w:t>
          </w:r>
          <w:r>
            <w:t>相关交易费用计入初始确认金额</w:t>
          </w:r>
          <w:r>
            <w:rPr>
              <w:rFonts w:hint="eastAsia"/>
            </w:rPr>
            <w:t>；不包含重大融资成分的应收账款以及本公司决定不考虑不超过一年的融资成分的应收账款，以合同交易价格进行初始计量。</w:t>
          </w:r>
          <w:r>
            <w:rPr>
              <w:rFonts w:ascii="Arial" w:hAnsi="Arial" w:cs="Arial"/>
              <w:color w:val="0000FF"/>
              <w:sz w:val="16"/>
              <w:szCs w:val="16"/>
            </w:rPr>
            <w:t xml:space="preserve">   </w:t>
          </w:r>
        </w:p>
        <w:p w:rsidR="000C5659" w:rsidRDefault="000E33C4">
          <w:r>
            <w:t>持有期间采用实际利率法计算的利息计入当期损益</w:t>
          </w:r>
          <w:r>
            <w:rPr>
              <w:rFonts w:hint="eastAsia"/>
            </w:rPr>
            <w:t>。</w:t>
          </w:r>
        </w:p>
        <w:p w:rsidR="000C5659" w:rsidRDefault="000E33C4">
          <w:r>
            <w:t>收回或处置时，将取得的价款与该金融资产账面价值之间的差额计入当期损益。</w:t>
          </w:r>
        </w:p>
        <w:p w:rsidR="000C5659" w:rsidRDefault="000C5659"/>
        <w:p w:rsidR="000C5659" w:rsidRDefault="000E33C4">
          <w:r>
            <w:rPr>
              <w:rFonts w:hint="eastAsia"/>
            </w:rPr>
            <w:t>（2）以公允价值计量且其变动计入其他综合收益的金融资产（债务工具）</w:t>
          </w:r>
        </w:p>
        <w:p w:rsidR="000C5659" w:rsidRDefault="000E33C4">
          <w:r>
            <w:rPr>
              <w:rFonts w:hint="eastAsia"/>
            </w:rPr>
            <w:t>以公允价值计量且其变动计入其他综合收益的金融资产（债务工具）</w:t>
          </w:r>
          <w:r>
            <w:t>包括</w:t>
          </w:r>
          <w:r>
            <w:rPr>
              <w:rFonts w:hint="eastAsia"/>
            </w:rPr>
            <w:t>应收款项融资、</w:t>
          </w:r>
          <w:r>
            <w:t>其他债权投资等</w:t>
          </w:r>
          <w:r>
            <w:rPr>
              <w:rFonts w:hint="eastAsia"/>
            </w:rPr>
            <w:t>，</w:t>
          </w:r>
          <w:r>
            <w:t>按公允价值进行初始计量</w:t>
          </w:r>
          <w:r>
            <w:rPr>
              <w:rFonts w:hint="eastAsia"/>
            </w:rPr>
            <w:t>，</w:t>
          </w:r>
          <w:r>
            <w:t>相关交易费用计入初始确认金额</w:t>
          </w:r>
          <w:r>
            <w:rPr>
              <w:rFonts w:hint="eastAsia"/>
            </w:rPr>
            <w:t>。该金融资产按公允价值进行后续计量，</w:t>
          </w:r>
          <w:r>
            <w:t>公允价值变动除采用实际利率法计算的利息</w:t>
          </w:r>
          <w:r>
            <w:rPr>
              <w:rFonts w:hint="eastAsia"/>
            </w:rPr>
            <w:t>、</w:t>
          </w:r>
          <w:r>
            <w:t>减值损失或利得</w:t>
          </w:r>
          <w:r>
            <w:rPr>
              <w:rFonts w:hint="eastAsia"/>
            </w:rPr>
            <w:t>和</w:t>
          </w:r>
          <w:r>
            <w:t>汇兑损益之外，均计入其他综合收益。</w:t>
          </w:r>
          <w:r>
            <w:rPr>
              <w:rFonts w:ascii="Arial" w:hAnsi="Arial" w:cs="Arial"/>
              <w:color w:val="0000FF"/>
              <w:sz w:val="16"/>
              <w:szCs w:val="16"/>
            </w:rPr>
            <w:t xml:space="preserve">   </w:t>
          </w:r>
        </w:p>
        <w:p w:rsidR="000C5659" w:rsidRDefault="000E33C4">
          <w:r>
            <w:t>终止确认时</w:t>
          </w:r>
          <w:r>
            <w:rPr>
              <w:rFonts w:hint="eastAsia"/>
            </w:rPr>
            <w:t>，</w:t>
          </w:r>
          <w:r>
            <w:t>之前计入其他综合收益的累计利得或损失从其他综合收益中转出，计入当期损益。</w:t>
          </w:r>
        </w:p>
        <w:p w:rsidR="000C5659" w:rsidRDefault="000C5659"/>
        <w:p w:rsidR="000C5659" w:rsidRDefault="000E33C4">
          <w:r>
            <w:rPr>
              <w:rFonts w:hint="eastAsia"/>
            </w:rPr>
            <w:t>（3）以公允价值计量且其变动计入其他综合收益的金融资产（权益工具）</w:t>
          </w:r>
        </w:p>
        <w:p w:rsidR="000C5659" w:rsidRDefault="000E33C4">
          <w:r>
            <w:rPr>
              <w:rFonts w:hint="eastAsia"/>
            </w:rPr>
            <w:t>以公允价值计量且其变动计入其他综合收益的金融资产（权益工具）</w:t>
          </w:r>
          <w:r>
            <w:t>包括其他权益工具投资等</w:t>
          </w:r>
          <w:r>
            <w:rPr>
              <w:rFonts w:hint="eastAsia"/>
            </w:rPr>
            <w:t>，</w:t>
          </w:r>
          <w:r>
            <w:t>按公允价值进行初始计量</w:t>
          </w:r>
          <w:r>
            <w:rPr>
              <w:rFonts w:hint="eastAsia"/>
            </w:rPr>
            <w:t>，</w:t>
          </w:r>
          <w:r>
            <w:t>相关交易费用计入初始确认金额</w:t>
          </w:r>
          <w:r>
            <w:rPr>
              <w:rFonts w:hint="eastAsia"/>
            </w:rPr>
            <w:t>。该金融资产按公允价值进行后续计量，</w:t>
          </w:r>
          <w:r>
            <w:t>公允价值变动计入其他综合收益</w:t>
          </w:r>
          <w:r>
            <w:rPr>
              <w:rFonts w:hint="eastAsia"/>
            </w:rPr>
            <w:t>。取得的股利计入当期损益。</w:t>
          </w:r>
          <w:r>
            <w:rPr>
              <w:rFonts w:ascii="Arial" w:hAnsi="Arial" w:cs="Arial"/>
              <w:color w:val="0000FF"/>
              <w:sz w:val="16"/>
              <w:szCs w:val="16"/>
            </w:rPr>
            <w:t xml:space="preserve">   </w:t>
          </w:r>
        </w:p>
        <w:p w:rsidR="000C5659" w:rsidRDefault="000E33C4">
          <w:r>
            <w:t>终止确认时</w:t>
          </w:r>
          <w:r>
            <w:rPr>
              <w:rFonts w:hint="eastAsia"/>
            </w:rPr>
            <w:t>，</w:t>
          </w:r>
          <w:r>
            <w:t>之前计入其他综合收益的累计利得或损失从其他综合收益中转出，计入留存收益。</w:t>
          </w:r>
        </w:p>
        <w:p w:rsidR="000C5659" w:rsidRDefault="000C5659"/>
        <w:p w:rsidR="000C5659" w:rsidRDefault="000E33C4">
          <w:r>
            <w:rPr>
              <w:rFonts w:hint="eastAsia"/>
            </w:rPr>
            <w:t>（4）以公允价值计量且其变动计入当期损益的金融资产</w:t>
          </w:r>
        </w:p>
        <w:p w:rsidR="000C5659" w:rsidRDefault="000E33C4">
          <w:r>
            <w:rPr>
              <w:rFonts w:hint="eastAsia"/>
            </w:rPr>
            <w:t>以公允价值计量且其变动计入当期损益的金融资产</w:t>
          </w:r>
          <w:r>
            <w:t>包括交易性金融资产</w:t>
          </w:r>
          <w:r>
            <w:rPr>
              <w:rFonts w:hint="eastAsia"/>
            </w:rPr>
            <w:t>、衍生金融资产、</w:t>
          </w:r>
          <w:r>
            <w:t>其他非流动金融资产等</w:t>
          </w:r>
          <w:r>
            <w:rPr>
              <w:rFonts w:hint="eastAsia"/>
            </w:rPr>
            <w:t>，</w:t>
          </w:r>
          <w:r>
            <w:t>按公允价值进行初始计量</w:t>
          </w:r>
          <w:r>
            <w:rPr>
              <w:rFonts w:hint="eastAsia"/>
            </w:rPr>
            <w:t>，</w:t>
          </w:r>
          <w:r>
            <w:t>相关交易费用计入当期损益</w:t>
          </w:r>
          <w:r>
            <w:rPr>
              <w:rFonts w:hint="eastAsia"/>
            </w:rPr>
            <w:t>。该金融资产按公允价值进行后续计量，</w:t>
          </w:r>
          <w:r>
            <w:t>公允价值变动计入当期损益。</w:t>
          </w:r>
          <w:r>
            <w:rPr>
              <w:rFonts w:ascii="Arial" w:hAnsi="Arial" w:cs="Arial"/>
              <w:color w:val="0000FF"/>
              <w:sz w:val="16"/>
              <w:szCs w:val="16"/>
            </w:rPr>
            <w:t xml:space="preserve">   </w:t>
          </w:r>
        </w:p>
        <w:p w:rsidR="000C5659" w:rsidRDefault="000C5659"/>
        <w:p w:rsidR="000C5659" w:rsidRDefault="000E33C4">
          <w:r>
            <w:rPr>
              <w:rFonts w:hint="eastAsia"/>
            </w:rPr>
            <w:t>（5）以公允价值计量且其变动计入当期损益的金融负债</w:t>
          </w:r>
        </w:p>
        <w:p w:rsidR="000C5659" w:rsidRDefault="000E33C4">
          <w:r>
            <w:rPr>
              <w:rFonts w:hint="eastAsia"/>
            </w:rPr>
            <w:t>以公允价值计量且其变动计入当期损益的金融负债</w:t>
          </w:r>
          <w:r>
            <w:t>包括交易性金融负债</w:t>
          </w:r>
          <w:r>
            <w:rPr>
              <w:rFonts w:hint="eastAsia"/>
            </w:rPr>
            <w:t>、</w:t>
          </w:r>
          <w:r>
            <w:t>衍生金融负债等</w:t>
          </w:r>
          <w:r>
            <w:rPr>
              <w:rFonts w:hint="eastAsia"/>
            </w:rPr>
            <w:t>，</w:t>
          </w:r>
          <w:r>
            <w:t>按公允价值进行初始计量</w:t>
          </w:r>
          <w:r>
            <w:rPr>
              <w:rFonts w:hint="eastAsia"/>
            </w:rPr>
            <w:t>，</w:t>
          </w:r>
          <w:r>
            <w:t>相关交易费用计入当期损益</w:t>
          </w:r>
          <w:r>
            <w:rPr>
              <w:rFonts w:hint="eastAsia"/>
            </w:rPr>
            <w:t>。该金融负债按公允价值进行后续计量，</w:t>
          </w:r>
          <w:r>
            <w:t>公允价值变动计入当期损益。</w:t>
          </w:r>
          <w:r>
            <w:rPr>
              <w:rFonts w:ascii="Arial" w:hAnsi="Arial" w:cs="Arial"/>
              <w:color w:val="0000FF"/>
              <w:sz w:val="16"/>
              <w:szCs w:val="16"/>
            </w:rPr>
            <w:t xml:space="preserve">   </w:t>
          </w:r>
        </w:p>
        <w:p w:rsidR="000C5659" w:rsidRDefault="000E33C4">
          <w:r>
            <w:t>终止确认时，其</w:t>
          </w:r>
          <w:r>
            <w:rPr>
              <w:rFonts w:hint="eastAsia"/>
            </w:rPr>
            <w:t>账面</w:t>
          </w:r>
          <w:r>
            <w:t>价值与</w:t>
          </w:r>
          <w:r>
            <w:rPr>
              <w:rFonts w:hint="eastAsia"/>
            </w:rPr>
            <w:t>支付的对价</w:t>
          </w:r>
          <w:r>
            <w:t>之间的差额计入当期损益。</w:t>
          </w:r>
        </w:p>
        <w:p w:rsidR="000C5659" w:rsidRDefault="000C5659"/>
        <w:p w:rsidR="000C5659" w:rsidRDefault="000E33C4">
          <w:r>
            <w:rPr>
              <w:rFonts w:hint="eastAsia"/>
            </w:rPr>
            <w:t>（6）以摊余成本计量的金融负债</w:t>
          </w:r>
        </w:p>
        <w:p w:rsidR="000C5659" w:rsidRDefault="000E33C4">
          <w:r>
            <w:t>以摊余成本计量的金融负债包括短期借款</w:t>
          </w:r>
          <w:r>
            <w:rPr>
              <w:rFonts w:hint="eastAsia"/>
            </w:rPr>
            <w:t>、</w:t>
          </w:r>
          <w:r>
            <w:t>应付票据</w:t>
          </w:r>
          <w:r>
            <w:rPr>
              <w:rFonts w:hint="eastAsia"/>
            </w:rPr>
            <w:t>、</w:t>
          </w:r>
          <w:r>
            <w:t>应付账款、其他应付款</w:t>
          </w:r>
          <w:r>
            <w:rPr>
              <w:rFonts w:hint="eastAsia"/>
            </w:rPr>
            <w:t>、长期借款、应付债券、</w:t>
          </w:r>
          <w:r>
            <w:t>长期应付款，按公允价值进行初始计量</w:t>
          </w:r>
          <w:r>
            <w:rPr>
              <w:rFonts w:hint="eastAsia"/>
            </w:rPr>
            <w:t>，</w:t>
          </w:r>
          <w:r>
            <w:t>相关交易费用计入初始确认金额</w:t>
          </w:r>
          <w:r>
            <w:rPr>
              <w:rFonts w:hint="eastAsia"/>
            </w:rPr>
            <w:t>。</w:t>
          </w:r>
          <w:r>
            <w:rPr>
              <w:rFonts w:ascii="Arial" w:hAnsi="Arial" w:cs="Arial"/>
              <w:color w:val="0000FF"/>
              <w:sz w:val="16"/>
              <w:szCs w:val="16"/>
            </w:rPr>
            <w:t xml:space="preserve">   </w:t>
          </w:r>
        </w:p>
        <w:p w:rsidR="000C5659" w:rsidRDefault="000E33C4">
          <w:r>
            <w:t>持有期间采用实际利率法计算的利息计入当期损益</w:t>
          </w:r>
          <w:r>
            <w:rPr>
              <w:rFonts w:hint="eastAsia"/>
            </w:rPr>
            <w:t>。</w:t>
          </w:r>
        </w:p>
        <w:p w:rsidR="000C5659" w:rsidRDefault="000E33C4">
          <w:r>
            <w:t>终止确认时，将</w:t>
          </w:r>
          <w:r>
            <w:rPr>
              <w:rFonts w:hint="eastAsia"/>
            </w:rPr>
            <w:t>支付的对价</w:t>
          </w:r>
          <w:r>
            <w:t>与该金融负债账面价值之间的差额计入当期损益。</w:t>
          </w:r>
        </w:p>
        <w:p w:rsidR="000C5659" w:rsidRDefault="000C5659"/>
        <w:p w:rsidR="000C5659" w:rsidRDefault="000E33C4">
          <w:r>
            <w:t>金融资产终止确认和金融资产转移</w:t>
          </w:r>
          <w:r>
            <w:rPr>
              <w:rFonts w:hint="eastAsia"/>
            </w:rPr>
            <w:t>的确认依据和计量方法</w:t>
          </w:r>
        </w:p>
        <w:p w:rsidR="000C5659" w:rsidRDefault="000E33C4">
          <w:r>
            <w:t>满足下列条件之一时</w:t>
          </w:r>
          <w:r>
            <w:rPr>
              <w:rFonts w:hint="eastAsia"/>
            </w:rPr>
            <w:t>，</w:t>
          </w:r>
          <w:r>
            <w:t>本公司终止确认金融资产</w:t>
          </w:r>
          <w:r>
            <w:rPr>
              <w:rFonts w:hint="eastAsia"/>
            </w:rPr>
            <w:t>：</w:t>
          </w:r>
        </w:p>
        <w:p w:rsidR="000C5659" w:rsidRDefault="000E33C4">
          <w:r>
            <w:t>－</w:t>
          </w:r>
          <w:r>
            <w:rPr>
              <w:rFonts w:hint="eastAsia"/>
            </w:rPr>
            <w:t xml:space="preserve"> 收取金融资产现金流量的合同权利终止；</w:t>
          </w:r>
        </w:p>
        <w:p w:rsidR="000C5659" w:rsidRDefault="000E33C4">
          <w:r>
            <w:t>－</w:t>
          </w:r>
          <w:r>
            <w:rPr>
              <w:rFonts w:hint="eastAsia"/>
            </w:rPr>
            <w:t xml:space="preserve"> </w:t>
          </w:r>
          <w:r>
            <w:t>金融资产已转移，</w:t>
          </w:r>
          <w:r>
            <w:rPr>
              <w:rFonts w:hint="eastAsia"/>
            </w:rPr>
            <w:t>且</w:t>
          </w:r>
          <w:r>
            <w:t>已将金融资产所有权上几乎所有的风险和报酬转移给转入方；</w:t>
          </w:r>
        </w:p>
        <w:p w:rsidR="000C5659" w:rsidRDefault="000E33C4">
          <w:r>
            <w:t>－</w:t>
          </w:r>
          <w:r>
            <w:rPr>
              <w:rFonts w:hint="eastAsia"/>
            </w:rPr>
            <w:t xml:space="preserve"> </w:t>
          </w:r>
          <w:r>
            <w:t>金融资产已转移</w:t>
          </w:r>
          <w:r>
            <w:rPr>
              <w:rFonts w:hint="eastAsia"/>
            </w:rPr>
            <w:t>，</w:t>
          </w:r>
          <w:r>
            <w:t>虽然本公司既没有转移也没有</w:t>
          </w:r>
          <w:r>
            <w:rPr>
              <w:rFonts w:hint="eastAsia"/>
            </w:rPr>
            <w:t>保留金融资产所有权上几乎所有的风险和报酬，但是未保留对金融资产的控制。</w:t>
          </w:r>
        </w:p>
        <w:p w:rsidR="000C5659" w:rsidRDefault="000C5659"/>
        <w:p w:rsidR="000C5659" w:rsidRDefault="000E33C4">
          <w:r>
            <w:rPr>
              <w:rFonts w:hint="eastAsia"/>
            </w:rPr>
            <w:t>本公司与交易对手方修改或者重新议定合同而且构成实质性修改的，则终止确认原金融资产，同时按照修改后的条款确认一项新金融资产。</w:t>
          </w:r>
        </w:p>
        <w:p w:rsidR="000C5659" w:rsidRDefault="000C5659"/>
        <w:p w:rsidR="000C5659" w:rsidRDefault="000E33C4">
          <w:r>
            <w:t>发生金融资产转移时</w:t>
          </w:r>
          <w:r>
            <w:rPr>
              <w:rFonts w:hint="eastAsia"/>
            </w:rPr>
            <w:t>，</w:t>
          </w:r>
          <w:r>
            <w:t>如保留了金融资产所有权上几乎所有的风险和报酬</w:t>
          </w:r>
          <w:r>
            <w:rPr>
              <w:rFonts w:hint="eastAsia"/>
            </w:rPr>
            <w:t>的，则不终止确认该金融资产</w:t>
          </w:r>
          <w:r>
            <w:t>。</w:t>
          </w:r>
        </w:p>
        <w:p w:rsidR="000C5659" w:rsidRDefault="000C5659"/>
        <w:p w:rsidR="000C5659" w:rsidRDefault="000E33C4">
          <w:r>
            <w:t>在判断金融资产转移是否满足上述金融资产终止确认条件时，采用实质重于形式的原则。</w:t>
          </w:r>
        </w:p>
        <w:p w:rsidR="000C5659" w:rsidRDefault="000E33C4">
          <w:r>
            <w:t>公司将金融资产转移区分为金融资产整体转移和部分转移。金融资产整体转移满足终止确认条件的，将下列两项金额的差额计入当期损益：</w:t>
          </w:r>
        </w:p>
        <w:p w:rsidR="000C5659" w:rsidRDefault="000E33C4">
          <w:r>
            <w:t>（1）所转移金融资产的账面价值；</w:t>
          </w:r>
        </w:p>
        <w:p w:rsidR="000C5659" w:rsidRDefault="000E33C4">
          <w:r>
            <w:t>（2）因转移而收到的对价，与原直接计入所有者权益的公允价值变动累计额（涉及转移的金融资产为</w:t>
          </w:r>
          <w:r>
            <w:rPr>
              <w:rFonts w:hint="eastAsia"/>
            </w:rPr>
            <w:t>以公允价值计量且其变动计入其他综合收益的金融资产（债务工具</w:t>
          </w:r>
          <w:r>
            <w:t>）的情形</w:t>
          </w:r>
          <w:r>
            <w:rPr>
              <w:rFonts w:hint="eastAsia"/>
            </w:rPr>
            <w:t>）</w:t>
          </w:r>
          <w:r>
            <w:t>之和。</w:t>
          </w:r>
        </w:p>
        <w:p w:rsidR="000C5659" w:rsidRDefault="000C5659"/>
        <w:p w:rsidR="000C5659" w:rsidRDefault="000E33C4">
          <w:r>
            <w:t>金融资产部分转移满足终止确认条件的，将所转移金融资产整体的账面价值，在终止确认部分和未终止确认部分之间，按照各自的相对公允价值进行分摊，并将下列两项金额的差额计入当期损益：</w:t>
          </w:r>
        </w:p>
        <w:p w:rsidR="000C5659" w:rsidRDefault="000E33C4">
          <w:r>
            <w:t>（1）终止确认部分的账面价值；</w:t>
          </w:r>
        </w:p>
        <w:p w:rsidR="000C5659" w:rsidRDefault="000E33C4">
          <w:r>
            <w:t>（2）终止确认部分的对价，与原直接计入所有者权益的公允价值变动累计额中对应终止确认部分的金额（涉及转移的金融资产为</w:t>
          </w:r>
          <w:r>
            <w:rPr>
              <w:rFonts w:hint="eastAsia"/>
            </w:rPr>
            <w:t>以公允价值计量且其变动计入其他综合收益的金融资产（债务工具）</w:t>
          </w:r>
          <w:r>
            <w:t>的情形）之和。</w:t>
          </w:r>
        </w:p>
        <w:p w:rsidR="000C5659" w:rsidRDefault="000E33C4">
          <w:r>
            <w:t>金融资产转移不满足终止确认条件的，继续确认该金融资产，所收到的对价确认为一项金融负债。</w:t>
          </w:r>
        </w:p>
        <w:p w:rsidR="000C5659" w:rsidRDefault="000C5659"/>
        <w:p w:rsidR="000C5659" w:rsidRDefault="000E33C4">
          <w:r>
            <w:t>金融负债终止确认</w:t>
          </w:r>
        </w:p>
        <w:p w:rsidR="000C5659" w:rsidRDefault="000E33C4">
          <w: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rsidR="000C5659" w:rsidRDefault="000E33C4">
          <w:r>
            <w:t>对现存金融负债全部或部分合同条款作出实质性修改的，则终止确认现存金融负债或其一部分，同时将修改条款后的金融负债确认为一项新金融负债。</w:t>
          </w:r>
        </w:p>
        <w:p w:rsidR="000C5659" w:rsidRDefault="000E33C4">
          <w:r>
            <w:t>金融负债全部或部分终止确认时，终止确认的金融负债账面价值与支付对价（包括转出的非现金资产或承担的新金融负债）之间的差额，计入当期损益。</w:t>
          </w:r>
        </w:p>
        <w:p w:rsidR="000C5659" w:rsidRDefault="000E33C4">
          <w: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0C5659" w:rsidRDefault="000C5659"/>
        <w:p w:rsidR="000C5659" w:rsidRDefault="000E33C4">
          <w:r>
            <w:t>金融资产和金融负债的公允价值的确定方法</w:t>
          </w:r>
        </w:p>
        <w:p w:rsidR="000C5659" w:rsidRDefault="000E33C4">
          <w: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0C5659" w:rsidRDefault="000C5659"/>
        <w:p w:rsidR="000C5659" w:rsidRDefault="000E33C4">
          <w:r>
            <w:t>金融</w:t>
          </w:r>
          <w:r>
            <w:rPr>
              <w:rFonts w:hint="eastAsia"/>
            </w:rPr>
            <w:t>工具</w:t>
          </w:r>
          <w:r>
            <w:t>减值的测试方法及会计处理方法</w:t>
          </w:r>
        </w:p>
        <w:p w:rsidR="000C5659" w:rsidRDefault="000E33C4">
          <w:r>
            <w:t>本公司对以摊余成本计量的金融资产</w:t>
          </w:r>
          <w:r>
            <w:rPr>
              <w:rFonts w:hint="eastAsia"/>
            </w:rPr>
            <w:t>、</w:t>
          </w:r>
          <w:r>
            <w:t>以公允价值计量且其变动计入其他综合收益的金融资产</w:t>
          </w:r>
          <w:r>
            <w:rPr>
              <w:rFonts w:hint="eastAsia"/>
            </w:rPr>
            <w:t>（债务工具）和财务担保合同等以预期信用损失为基础进行减值会计处理。</w:t>
          </w:r>
        </w:p>
        <w:p w:rsidR="000C5659" w:rsidRDefault="000E33C4">
          <w:r>
            <w:rPr>
              <w:rFonts w:hint="eastAsia"/>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rsidR="000C5659" w:rsidRDefault="000C5659"/>
        <w:p w:rsidR="000C5659" w:rsidRDefault="000E33C4">
          <w:r>
            <w:rPr>
              <w:rFonts w:hint="eastAsia"/>
            </w:rPr>
            <w:t>对于由《企业会计准则第1</w:t>
          </w:r>
          <w:r>
            <w:t>4号</w:t>
          </w:r>
          <w:r>
            <w:rPr>
              <w:rFonts w:hint="eastAsia"/>
            </w:rPr>
            <w:t>——收入》</w:t>
          </w:r>
          <w:r>
            <w:t>规范的交易</w:t>
          </w:r>
          <w:r>
            <w:rPr>
              <w:rFonts w:hint="eastAsia"/>
            </w:rPr>
            <w:t>形成的应收款项和合同资产，无论是否包含重大融资成分，本公司</w:t>
          </w:r>
          <w:r>
            <w:t>始终按照相当于整个存续期内预期信用损失的金额计量其损失准备</w:t>
          </w:r>
          <w:r>
            <w:rPr>
              <w:rFonts w:hint="eastAsia"/>
            </w:rPr>
            <w:t>。</w:t>
          </w:r>
        </w:p>
        <w:p w:rsidR="000C5659" w:rsidRDefault="000E33C4">
          <w:r>
            <w:rPr>
              <w:rFonts w:hint="eastAsia"/>
            </w:rPr>
            <w:t>对于由《企业会计准则第21号——租赁》规范的交易形成的租赁应收款，本公司选择始终按照相当于整个存续期内预期信用损失的金额计量其损失准备。</w:t>
          </w:r>
        </w:p>
        <w:p w:rsidR="000C5659" w:rsidRDefault="000E33C4">
          <w:r>
            <w:rPr>
              <w:rFonts w:hint="eastAsia"/>
            </w:rPr>
            <w:t>对于其他金融工具，本公司在每个资产负债表日评估相关金融工具的信用风险自初始确认后的变动情况。</w:t>
          </w:r>
        </w:p>
        <w:p w:rsidR="000C5659" w:rsidRDefault="000E33C4">
          <w:r>
            <w:lastRenderedPageBreak/>
            <w:t>本公司通过比较金融工具在资产负债表日发生违约的风险与在初始确认日发生违约的风险</w:t>
          </w:r>
          <w:r>
            <w:rPr>
              <w:rFonts w:hint="eastAsia"/>
            </w:rPr>
            <w:t>，</w:t>
          </w:r>
          <w:r>
            <w:t>以确定金融工具预计存续期内发生违约风险的相对变化</w:t>
          </w:r>
          <w:r>
            <w:rPr>
              <w:rFonts w:hint="eastAsia"/>
            </w:rPr>
            <w:t>，</w:t>
          </w:r>
          <w:r>
            <w:t>以评估金融工具的信用风险自初始确认后是否已显著增加</w:t>
          </w:r>
          <w:r>
            <w:rPr>
              <w:rFonts w:hint="eastAsia"/>
            </w:rPr>
            <w:t>。</w:t>
          </w:r>
          <w:r>
            <w:t>通常逾期超过</w:t>
          </w:r>
          <w:r>
            <w:rPr>
              <w:rFonts w:hint="eastAsia"/>
            </w:rPr>
            <w:t>30日，本公司即认为该金融工具的信用风险已显著增加，除非有确凿证据证明该金融工具的信用风险自初始确认后并未显著增加。</w:t>
          </w:r>
        </w:p>
        <w:p w:rsidR="000C5659" w:rsidRDefault="000E33C4">
          <w:r>
            <w:rPr>
              <w:rFonts w:hint="eastAsia"/>
            </w:rPr>
            <w:t>如果金融工具于资产负债表日的信用风险较低，本公司即认为该金融工具的信用风险自初始确认后并未显著增加。</w:t>
          </w:r>
        </w:p>
        <w:p w:rsidR="000C5659" w:rsidRDefault="000E33C4">
          <w:pPr>
            <w:rPr>
              <w:rFonts w:ascii="Arial" w:hAnsi="Arial" w:cs="Arial"/>
              <w:color w:val="0000FF"/>
              <w:sz w:val="16"/>
              <w:szCs w:val="16"/>
            </w:rPr>
          </w:pPr>
          <w:r>
            <w:t>如果该金融工具的信用风险自初始确认后已显著增加，本公司按照相当于该金融工具整个存续期内预期信用损失的金额计量其损失准备</w:t>
          </w:r>
          <w:r>
            <w:rPr>
              <w:rFonts w:hint="eastAsia"/>
            </w:rPr>
            <w:t>；</w:t>
          </w:r>
          <w:r>
            <w:t>如果该金融工具的信用风险自初始确认后并未显著增加，本公司按照相当于该金融工具未来12个月内预期信用损失的金额计量其损失准备</w:t>
          </w:r>
          <w:r>
            <w:rPr>
              <w:rFonts w:hint="eastAsia"/>
            </w:rPr>
            <w:t>。</w:t>
          </w:r>
          <w:r>
            <w:t>由此形成的损失准备的增加或转回金额，作为减值损失或利得计入当期损益。</w:t>
          </w:r>
          <w:r>
            <w:rPr>
              <w:rFonts w:hint="eastAsia"/>
            </w:rPr>
            <w:t>对于</w:t>
          </w:r>
          <w:r>
            <w:t>以公允价值计量且其变动计入其他综合收益的金融资产</w:t>
          </w:r>
          <w:r>
            <w:rPr>
              <w:rFonts w:hint="eastAsia"/>
            </w:rPr>
            <w:t>（债务工具），在其他综合收益中确认其损失准备，并将减值损失或利得计入当期损益，且不减少该金融资产在资产负债表中列示的账面价值。</w:t>
          </w:r>
        </w:p>
        <w:p w:rsidR="000C5659" w:rsidRDefault="000E33C4">
          <w:r>
            <w:rPr>
              <w:rFonts w:hint="eastAsia"/>
            </w:rPr>
            <w:t>如果有客观证据表明某项应收款项已经发生信用减值，则本公司在单项基础上对该应收款项计提减值准备。</w:t>
          </w:r>
        </w:p>
        <w:p w:rsidR="000C5659" w:rsidRDefault="000E33C4">
          <w:r>
            <w:rPr>
              <w:rFonts w:hint="eastAsia"/>
            </w:rPr>
            <w:t>除单项计提坏账准备的上述应收款项外，本公司依据信用风险特征将其余金融工具划分为若干组合，在组合基础上确定预期信用损失。本公司不再合理预期金融资产合同现金流量能够全部或部分收回的，直接减记该金融资产的账面余额。</w:t>
          </w:r>
        </w:p>
        <w:p w:rsidR="000C5659" w:rsidRDefault="00220B84">
          <w:pPr>
            <w:rPr>
              <w:color w:val="000000" w:themeColor="text1"/>
            </w:rPr>
          </w:pPr>
        </w:p>
      </w:sdtContent>
    </w:sdt>
    <w:p w:rsidR="000C5659" w:rsidRDefault="000C5659">
      <w:pPr>
        <w:rPr>
          <w:color w:val="000000" w:themeColor="text1"/>
        </w:rPr>
      </w:pPr>
    </w:p>
    <w:p w:rsidR="000C5659" w:rsidRDefault="000E33C4" w:rsidP="000743DD">
      <w:pPr>
        <w:pStyle w:val="35"/>
        <w:numPr>
          <w:ilvl w:val="0"/>
          <w:numId w:val="40"/>
        </w:numPr>
        <w:rPr>
          <w:rFonts w:ascii="宋体" w:hAnsi="宋体" w:cs="宋体"/>
          <w:color w:val="000000" w:themeColor="text1"/>
          <w:kern w:val="0"/>
          <w:szCs w:val="21"/>
        </w:rPr>
      </w:pPr>
      <w:bookmarkStart w:id="115" w:name="_Hlk533667757"/>
      <w:bookmarkStart w:id="116" w:name="_Hlk167809825"/>
      <w:r>
        <w:rPr>
          <w:rFonts w:ascii="宋体" w:hAnsi="宋体" w:cs="宋体" w:hint="eastAsia"/>
          <w:color w:val="000000" w:themeColor="text1"/>
          <w:kern w:val="0"/>
          <w:szCs w:val="21"/>
        </w:rPr>
        <w:t>应收票据</w:t>
      </w:r>
    </w:p>
    <w:sdt>
      <w:sdtPr>
        <w:rPr>
          <w:color w:val="000000" w:themeColor="text1"/>
        </w:rPr>
        <w:alias w:val="是否适用：应收票据_重要会计政策和估计[双击切换]"/>
        <w:tag w:val="_GBC_aefda35d1a7148f0844e33d721703cda"/>
        <w:id w:val="9509032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115"/>
    <w:p w:rsidR="000C5659" w:rsidRDefault="000C5659">
      <w:pPr>
        <w:rPr>
          <w:color w:val="000000" w:themeColor="text1"/>
        </w:rPr>
      </w:pPr>
    </w:p>
    <w:p w:rsidR="000C5659" w:rsidRDefault="000E33C4" w:rsidP="000743DD">
      <w:pPr>
        <w:pStyle w:val="35"/>
        <w:numPr>
          <w:ilvl w:val="0"/>
          <w:numId w:val="40"/>
        </w:numPr>
        <w:rPr>
          <w:rFonts w:ascii="宋体" w:hAnsi="宋体" w:cs="宋体"/>
          <w:color w:val="000000" w:themeColor="text1"/>
          <w:kern w:val="0"/>
          <w:szCs w:val="21"/>
        </w:rPr>
      </w:pPr>
      <w:bookmarkStart w:id="117" w:name="_Hlk533667783"/>
      <w:bookmarkStart w:id="118" w:name="_Hlk152690378"/>
      <w:r>
        <w:rPr>
          <w:rFonts w:ascii="宋体" w:hAnsi="宋体" w:cs="宋体" w:hint="eastAsia"/>
          <w:color w:val="000000" w:themeColor="text1"/>
          <w:kern w:val="0"/>
          <w:szCs w:val="21"/>
        </w:rPr>
        <w:t>应收账款</w:t>
      </w:r>
    </w:p>
    <w:sdt>
      <w:sdtPr>
        <w:rPr>
          <w:rFonts w:hint="eastAsia"/>
          <w:color w:val="000000" w:themeColor="text1"/>
        </w:rPr>
        <w:alias w:val="是否适用：应收账款_重要会计政策和估计[双击切换]"/>
        <w:tag w:val="_GBC_9bb0ad4fd90e4860a048c5c1b42cdc17"/>
        <w:id w:val="2522414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117"/>
    <w:bookmarkEnd w:id="118"/>
    <w:p w:rsidR="000C5659" w:rsidRDefault="000C5659">
      <w:pPr>
        <w:rPr>
          <w:color w:val="000000" w:themeColor="text1"/>
        </w:rPr>
      </w:pPr>
    </w:p>
    <w:p w:rsidR="000C5659" w:rsidRDefault="000E33C4" w:rsidP="000743DD">
      <w:pPr>
        <w:pStyle w:val="35"/>
        <w:numPr>
          <w:ilvl w:val="0"/>
          <w:numId w:val="40"/>
        </w:numPr>
        <w:rPr>
          <w:color w:val="000000" w:themeColor="text1"/>
        </w:rPr>
      </w:pPr>
      <w:bookmarkStart w:id="119" w:name="_Hlk152690443"/>
      <w:bookmarkStart w:id="120" w:name="_Hlk24102310"/>
      <w:r>
        <w:rPr>
          <w:rFonts w:hint="eastAsia"/>
          <w:color w:val="000000" w:themeColor="text1"/>
        </w:rPr>
        <w:t>应收款项融资</w:t>
      </w:r>
    </w:p>
    <w:sdt>
      <w:sdtPr>
        <w:rPr>
          <w:color w:val="000000" w:themeColor="text1"/>
        </w:rPr>
        <w:alias w:val="是否适用：应收款项融资_重要会计政策和估计[双击切换]"/>
        <w:tag w:val="_GBC_47906a8d31c54a72891112f417e1058d"/>
        <w:id w:val="197725356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119"/>
    <w:bookmarkEnd w:id="120"/>
    <w:p w:rsidR="000C5659" w:rsidRDefault="000C5659">
      <w:pPr>
        <w:rPr>
          <w:color w:val="000000" w:themeColor="text1"/>
        </w:rPr>
      </w:pPr>
    </w:p>
    <w:p w:rsidR="000C5659" w:rsidRDefault="000E33C4" w:rsidP="000743DD">
      <w:pPr>
        <w:pStyle w:val="35"/>
        <w:numPr>
          <w:ilvl w:val="0"/>
          <w:numId w:val="40"/>
        </w:numPr>
        <w:rPr>
          <w:color w:val="000000" w:themeColor="text1"/>
          <w:szCs w:val="21"/>
        </w:rPr>
      </w:pPr>
      <w:bookmarkStart w:id="121" w:name="_Hlk533667836"/>
      <w:r>
        <w:rPr>
          <w:rFonts w:hint="eastAsia"/>
          <w:color w:val="000000" w:themeColor="text1"/>
          <w:szCs w:val="21"/>
        </w:rPr>
        <w:t>其他应收款</w:t>
      </w:r>
    </w:p>
    <w:sdt>
      <w:sdtPr>
        <w:rPr>
          <w:rFonts w:hint="eastAsia"/>
          <w:color w:val="000000" w:themeColor="text1"/>
        </w:rPr>
        <w:alias w:val="是否适用：其他应收款_重要会计政策和估计[双击切换]"/>
        <w:tag w:val="_GBC_dfe58b09048a4951b32b48ce6a3930aa"/>
        <w:id w:val="107917377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121"/>
    <w:p w:rsidR="000C5659" w:rsidRDefault="000C5659">
      <w:pPr>
        <w:rPr>
          <w:color w:val="000000" w:themeColor="text1"/>
        </w:rPr>
      </w:pPr>
    </w:p>
    <w:p w:rsidR="000C5659" w:rsidRDefault="000E33C4" w:rsidP="000743DD">
      <w:pPr>
        <w:pStyle w:val="35"/>
        <w:numPr>
          <w:ilvl w:val="0"/>
          <w:numId w:val="40"/>
        </w:numPr>
        <w:rPr>
          <w:color w:val="000000" w:themeColor="text1"/>
        </w:rPr>
      </w:pPr>
      <w:r>
        <w:rPr>
          <w:color w:val="000000" w:themeColor="text1"/>
        </w:rPr>
        <w:t>存货</w:t>
      </w:r>
    </w:p>
    <w:sdt>
      <w:sdtPr>
        <w:rPr>
          <w:rFonts w:hint="eastAsia"/>
          <w:color w:val="000000" w:themeColor="text1"/>
        </w:rPr>
        <w:alias w:val="是否适用：存货_重要会计政策和估计[双击切换]"/>
        <w:tag w:val="_GBC_517cddca0e1f4d4bb5ef2c4a3d049269"/>
        <w:id w:val="185044678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rPr>
          <w:rFonts w:cs="Times New Roman"/>
          <w:b/>
          <w:color w:val="000000" w:themeColor="text1"/>
          <w:kern w:val="2"/>
          <w:szCs w:val="28"/>
        </w:rPr>
      </w:pPr>
      <w:bookmarkStart w:id="122" w:name="_Hlk152678121"/>
      <w:r>
        <w:rPr>
          <w:rFonts w:cs="Times New Roman"/>
          <w:b/>
          <w:color w:val="000000" w:themeColor="text1"/>
          <w:kern w:val="2"/>
          <w:szCs w:val="28"/>
        </w:rPr>
        <w:t>存货</w:t>
      </w:r>
      <w:r>
        <w:rPr>
          <w:rFonts w:cs="Times New Roman" w:hint="eastAsia"/>
          <w:b/>
          <w:color w:val="000000" w:themeColor="text1"/>
          <w:kern w:val="2"/>
          <w:szCs w:val="28"/>
        </w:rPr>
        <w:t>类别、发出计价方法、盘存制度、低值易耗品和包装物的摊销方法</w:t>
      </w:r>
    </w:p>
    <w:bookmarkEnd w:id="122" w:displacedByCustomXml="next"/>
    <w:sdt>
      <w:sdtPr>
        <w:rPr>
          <w:color w:val="000000" w:themeColor="text1"/>
        </w:rPr>
        <w:alias w:val="是否适用：存货类别、发出计价方法、盘存制度、低值易耗品和包装物的摊销方法[双击切换]"/>
        <w:tag w:val="_GBC_a0dd59db9daa43019390412c5246a774"/>
        <w:id w:val="-1066103946"/>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b/>
          <w:bCs/>
          <w:color w:val="000000" w:themeColor="text1"/>
        </w:rPr>
        <w:alias w:val="存货类别、发出计价方法、盘存制度、低值易耗品和包装物的摊销方法"/>
        <w:tag w:val="_GBC_4c0ac6dfbfb04e56bc0dd3a35b636c52"/>
        <w:id w:val="-2056850073"/>
      </w:sdtPr>
      <w:sdtEndPr>
        <w:rPr>
          <w:b w:val="0"/>
        </w:rPr>
      </w:sdtEndPr>
      <w:sdtContent>
        <w:p w:rsidR="000C5659" w:rsidRDefault="000E33C4">
          <w:r>
            <w:rPr>
              <w:b/>
              <w:bCs/>
              <w:color w:val="000000" w:themeColor="text1"/>
            </w:rPr>
            <w:t>1</w:t>
          </w:r>
          <w:r>
            <w:rPr>
              <w:rFonts w:hint="eastAsia"/>
              <w:b/>
              <w:bCs/>
              <w:color w:val="000000" w:themeColor="text1"/>
            </w:rPr>
            <w:t>、</w:t>
          </w:r>
          <w:r>
            <w:t>存货的分类</w:t>
          </w:r>
          <w:r>
            <w:rPr>
              <w:rFonts w:hint="eastAsia"/>
            </w:rPr>
            <w:t>和成本</w:t>
          </w:r>
        </w:p>
        <w:p w:rsidR="000C5659" w:rsidRDefault="000E33C4">
          <w:r>
            <w:t>存货分类为：</w:t>
          </w:r>
          <w:r>
            <w:rPr>
              <w:rFonts w:hint="eastAsia"/>
            </w:rPr>
            <w:t>在途物资、原材料、周转材料、库存商品、在产品、发出商品、委托加工物资等。</w:t>
          </w:r>
        </w:p>
        <w:p w:rsidR="000C5659" w:rsidRDefault="000E33C4">
          <w:r>
            <w:t>存货按成本进行初始计量</w:t>
          </w:r>
          <w:r>
            <w:rPr>
              <w:rFonts w:hint="eastAsia"/>
            </w:rPr>
            <w:t>，</w:t>
          </w:r>
          <w:r>
            <w:t>存货成本包括采购成本</w:t>
          </w:r>
          <w:r>
            <w:rPr>
              <w:rFonts w:hint="eastAsia"/>
            </w:rPr>
            <w:t>、</w:t>
          </w:r>
          <w:r>
            <w:t>加工成本和其他使存货达到目前场所和状态所发生的支出</w:t>
          </w:r>
          <w:r>
            <w:rPr>
              <w:rFonts w:hint="eastAsia"/>
            </w:rPr>
            <w:t>。</w:t>
          </w:r>
        </w:p>
        <w:p w:rsidR="000C5659" w:rsidRDefault="000C5659"/>
        <w:p w:rsidR="000C5659" w:rsidRDefault="000E33C4">
          <w:r>
            <w:rPr>
              <w:rFonts w:hint="eastAsia"/>
            </w:rPr>
            <w:t>2、</w:t>
          </w:r>
          <w:r>
            <w:t>发出存货的计价方法</w:t>
          </w:r>
        </w:p>
        <w:p w:rsidR="000C5659" w:rsidRDefault="000E33C4">
          <w:r>
            <w:t>存货发出时按加权平均法计价。</w:t>
          </w:r>
        </w:p>
        <w:p w:rsidR="000C5659" w:rsidRDefault="000C5659"/>
        <w:p w:rsidR="000C5659" w:rsidRDefault="000E33C4">
          <w:r>
            <w:rPr>
              <w:rFonts w:hint="eastAsia"/>
            </w:rPr>
            <w:t>3、</w:t>
          </w:r>
          <w:r>
            <w:t>存货的盘存制度</w:t>
          </w:r>
        </w:p>
        <w:p w:rsidR="000C5659" w:rsidRDefault="000E33C4">
          <w:r>
            <w:t>采用永续盘存制。</w:t>
          </w:r>
        </w:p>
        <w:p w:rsidR="000C5659" w:rsidRDefault="000C5659"/>
        <w:p w:rsidR="000C5659" w:rsidRDefault="000E33C4">
          <w:r>
            <w:rPr>
              <w:rFonts w:hint="eastAsia"/>
            </w:rPr>
            <w:t>4、</w:t>
          </w:r>
          <w:r>
            <w:t>低值易耗品和包装物的摊销方法</w:t>
          </w:r>
        </w:p>
        <w:p w:rsidR="000C5659" w:rsidRDefault="000E33C4">
          <w:r>
            <w:t>（1）低值易耗品采用一次转销法</w:t>
          </w:r>
          <w:r>
            <w:rPr>
              <w:rFonts w:ascii="Arial" w:hAnsi="Arial" w:cs="Arial"/>
              <w:color w:val="0000FF"/>
              <w:sz w:val="16"/>
              <w:szCs w:val="16"/>
            </w:rPr>
            <w:t xml:space="preserve"> </w:t>
          </w:r>
        </w:p>
        <w:p w:rsidR="000C5659" w:rsidRDefault="000E33C4">
          <w:r>
            <w:lastRenderedPageBreak/>
            <w:t>（2）包装物采用一次转销法</w:t>
          </w:r>
          <w:r>
            <w:rPr>
              <w:rFonts w:ascii="Arial" w:hAnsi="Arial" w:cs="Arial"/>
              <w:color w:val="0000FF"/>
              <w:sz w:val="16"/>
              <w:szCs w:val="16"/>
            </w:rPr>
            <w:t xml:space="preserve"> </w:t>
          </w:r>
        </w:p>
        <w:p w:rsidR="000C5659" w:rsidRDefault="00220B84">
          <w:pPr>
            <w:rPr>
              <w:color w:val="000000" w:themeColor="text1"/>
            </w:rPr>
          </w:pPr>
        </w:p>
      </w:sdtContent>
    </w:sdt>
    <w:p w:rsidR="000C5659" w:rsidRDefault="000C5659">
      <w:pPr>
        <w:rPr>
          <w:rFonts w:cs="Times New Roman"/>
          <w:color w:val="000000" w:themeColor="text1"/>
        </w:rPr>
      </w:pPr>
    </w:p>
    <w:p w:rsidR="000C5659" w:rsidRDefault="000E33C4">
      <w:pPr>
        <w:rPr>
          <w:rFonts w:cs="Times New Roman"/>
          <w:b/>
          <w:color w:val="000000" w:themeColor="text1"/>
          <w:kern w:val="2"/>
          <w:szCs w:val="28"/>
        </w:rPr>
      </w:pPr>
      <w:r>
        <w:rPr>
          <w:rFonts w:cs="Times New Roman"/>
          <w:b/>
          <w:color w:val="000000" w:themeColor="text1"/>
          <w:kern w:val="2"/>
          <w:szCs w:val="28"/>
        </w:rPr>
        <w:t>存货跌价准备的确认标准和计提方法</w:t>
      </w:r>
    </w:p>
    <w:sdt>
      <w:sdtPr>
        <w:rPr>
          <w:color w:val="000000" w:themeColor="text1"/>
        </w:rPr>
        <w:alias w:val="是否适用：存货跌价准备的确认标准和计提方法[双击切换]"/>
        <w:tag w:val="_GBC_193ccfcb63424273902a6a08c94807b7"/>
        <w:id w:val="-708409970"/>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存货跌价准备的确认标准和计提方法"/>
        <w:tag w:val="_GBC_d61a6b98d0f44b4a8162d7dd318ee8d8"/>
        <w:id w:val="-107509461"/>
      </w:sdtPr>
      <w:sdtEndPr/>
      <w:sdtContent>
        <w:p w:rsidR="000C5659" w:rsidRDefault="000E33C4">
          <w:pPr>
            <w:rPr>
              <w:rFonts w:eastAsiaTheme="minorEastAsia"/>
            </w:rPr>
          </w:pPr>
          <w:r>
            <w:rPr>
              <w:rFonts w:hint="eastAsia"/>
              <w:color w:val="000000" w:themeColor="text1"/>
            </w:rPr>
            <w:t>资产负债表日，</w:t>
          </w:r>
          <w:r>
            <w:rPr>
              <w:rFonts w:eastAsiaTheme="minorEastAsia" w:hint="eastAsia"/>
            </w:rPr>
            <w:t>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rsidR="000C5659" w:rsidRDefault="000E33C4">
          <w:pPr>
            <w:pStyle w:val="Style230"/>
            <w:spacing w:line="240" w:lineRule="auto"/>
            <w:ind w:left="0"/>
            <w:rPr>
              <w:rFonts w:eastAsiaTheme="minorEastAsia"/>
            </w:rPr>
          </w:pPr>
          <w:r>
            <w:rPr>
              <w:rFonts w:eastAsiaTheme="minorEastAsia"/>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0C5659" w:rsidRDefault="000E33C4">
          <w:pPr>
            <w:rPr>
              <w:color w:val="000000" w:themeColor="text1"/>
            </w:rPr>
          </w:pPr>
          <w:r>
            <w:rPr>
              <w:rFonts w:eastAsiaTheme="minorEastAsia" w:hint="eastAsia"/>
            </w:rPr>
            <w:t>计提存货跌价准备后，如果以前减记存货价值的影响因素已经消失，导致存货的可变现净值高于其账面价值的，在原已计提的存货跌价准备金额内予以转回，转回的金额计入当期损益。</w:t>
          </w:r>
        </w:p>
      </w:sdtContent>
    </w:sdt>
    <w:p w:rsidR="000C5659" w:rsidRDefault="000C5659">
      <w:pPr>
        <w:rPr>
          <w:rFonts w:cs="Times New Roman"/>
          <w:b/>
          <w:color w:val="000000" w:themeColor="text1"/>
          <w:kern w:val="2"/>
          <w:szCs w:val="28"/>
        </w:rPr>
      </w:pPr>
    </w:p>
    <w:p w:rsidR="000C5659" w:rsidRDefault="000E33C4">
      <w:pPr>
        <w:rPr>
          <w:rFonts w:cs="Times New Roman"/>
          <w:b/>
          <w:color w:val="000000" w:themeColor="text1"/>
          <w:kern w:val="2"/>
          <w:szCs w:val="28"/>
        </w:rPr>
      </w:pPr>
      <w:r>
        <w:rPr>
          <w:rFonts w:cs="Times New Roman"/>
          <w:b/>
          <w:color w:val="000000" w:themeColor="text1"/>
          <w:kern w:val="2"/>
          <w:szCs w:val="28"/>
        </w:rPr>
        <w:t>按照组合计提存货跌价准备的组合类别及确定依据</w:t>
      </w:r>
      <w:r>
        <w:rPr>
          <w:rFonts w:cs="Times New Roman" w:hint="eastAsia"/>
          <w:b/>
          <w:color w:val="000000" w:themeColor="text1"/>
          <w:kern w:val="2"/>
          <w:szCs w:val="28"/>
        </w:rPr>
        <w:t>、</w:t>
      </w:r>
      <w:r>
        <w:rPr>
          <w:rFonts w:hint="eastAsia"/>
          <w:b/>
          <w:color w:val="000000" w:themeColor="text1"/>
        </w:rPr>
        <w:t>不同类别存货可变现净值的确定依据</w:t>
      </w:r>
    </w:p>
    <w:sdt>
      <w:sdtPr>
        <w:rPr>
          <w:color w:val="000000" w:themeColor="text1"/>
        </w:rPr>
        <w:alias w:val="是否适用：按照组合计提存货跌价准备的组合类别及确定依据、不同类别存货可变现净值的确定依据[双击切换]"/>
        <w:tag w:val="_GBC_6fb7683a95e64eb590d6d510a9774226"/>
        <w:id w:val="-1914080721"/>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imes New Roman"/>
          <w:b/>
          <w:color w:val="000000" w:themeColor="text1"/>
          <w:kern w:val="2"/>
          <w:szCs w:val="28"/>
        </w:rPr>
      </w:pPr>
    </w:p>
    <w:p w:rsidR="000C5659" w:rsidRDefault="000E33C4">
      <w:pPr>
        <w:rPr>
          <w:rFonts w:cs="Times New Roman"/>
          <w:b/>
          <w:color w:val="000000" w:themeColor="text1"/>
          <w:kern w:val="2"/>
          <w:szCs w:val="28"/>
        </w:rPr>
      </w:pPr>
      <w:r>
        <w:rPr>
          <w:rFonts w:cs="Times New Roman"/>
          <w:b/>
          <w:color w:val="000000" w:themeColor="text1"/>
          <w:kern w:val="2"/>
          <w:szCs w:val="28"/>
        </w:rPr>
        <w:t>基于库龄确认存货可变现净值的各库龄组合可变现净值的计算方法和确定依据</w:t>
      </w:r>
    </w:p>
    <w:sdt>
      <w:sdtPr>
        <w:rPr>
          <w:color w:val="000000" w:themeColor="text1"/>
        </w:rPr>
        <w:alias w:val="是否适用：基于库龄确认存货可变现净值的各库龄组合可变现净值的计算方法和确定依据[双击切换]"/>
        <w:tag w:val="_GBC_16ecfef990ce404c873906cd3cd4dea4"/>
        <w:id w:val="-734544583"/>
      </w:sdtPr>
      <w:sdtEndPr/>
      <w:sdtContent>
        <w:p w:rsidR="000C5659" w:rsidRDefault="000E33C4">
          <w:pPr>
            <w:pStyle w:val="Style325"/>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imes New Roman"/>
          <w:color w:val="000000" w:themeColor="text1"/>
        </w:rPr>
      </w:pPr>
    </w:p>
    <w:p w:rsidR="000C5659" w:rsidRDefault="000E33C4" w:rsidP="000743DD">
      <w:pPr>
        <w:pStyle w:val="35"/>
        <w:numPr>
          <w:ilvl w:val="0"/>
          <w:numId w:val="40"/>
        </w:numPr>
        <w:rPr>
          <w:color w:val="000000" w:themeColor="text1"/>
          <w:szCs w:val="21"/>
        </w:rPr>
      </w:pPr>
      <w:bookmarkStart w:id="123" w:name="_Hlk533667851"/>
      <w:r>
        <w:rPr>
          <w:rFonts w:hint="eastAsia"/>
          <w:color w:val="000000" w:themeColor="text1"/>
          <w:szCs w:val="21"/>
        </w:rPr>
        <w:t>合同资产</w:t>
      </w:r>
    </w:p>
    <w:sdt>
      <w:sdtPr>
        <w:rPr>
          <w:rFonts w:hint="eastAsia"/>
          <w:color w:val="000000" w:themeColor="text1"/>
        </w:rPr>
        <w:alias w:val="是否适用：合同资产_重要会计政策和估计[双击切换]"/>
        <w:tag w:val="_GBC_2975adaf2d6646238ccae8f732c465f0"/>
        <w:id w:val="-167794942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rPr>
          <w:rFonts w:cs="Times New Roman"/>
          <w:b/>
          <w:color w:val="000000" w:themeColor="text1"/>
          <w:kern w:val="2"/>
          <w:szCs w:val="28"/>
        </w:rPr>
      </w:pPr>
      <w:r>
        <w:rPr>
          <w:rFonts w:cs="Times New Roman" w:hint="eastAsia"/>
          <w:b/>
          <w:color w:val="000000" w:themeColor="text1"/>
          <w:kern w:val="2"/>
          <w:szCs w:val="28"/>
        </w:rPr>
        <w:t>合同资产的确认方法及标准</w:t>
      </w:r>
    </w:p>
    <w:sdt>
      <w:sdtPr>
        <w:rPr>
          <w:color w:val="000000" w:themeColor="text1"/>
        </w:rPr>
        <w:alias w:val="是否适用：合同资产的确定方法、摊销方法和减值测试方法[双击切换]"/>
        <w:tag w:val="_GBC_4c4f86076daf4596b0ff34199b55a09a"/>
        <w:id w:val="1917589814"/>
        <w:placeholder>
          <w:docPart w:val="GBC22222222222222222222222222222"/>
        </w:placeholder>
      </w:sdtPr>
      <w:sdtEndPr/>
      <w:sdtContent>
        <w:p w:rsidR="000C5659" w:rsidRDefault="000E33C4" w:rsidP="00C83B86">
          <w:pPr>
            <w:rPr>
              <w:color w:val="000000" w:themeColor="text1"/>
            </w:rPr>
          </w:pPr>
          <w:r>
            <w:rPr>
              <w:color w:val="000000" w:themeColor="text1"/>
            </w:rPr>
            <w:fldChar w:fldCharType="begin"/>
          </w:r>
          <w:r w:rsidR="00C83B8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C83B86">
            <w:rPr>
              <w:color w:val="000000" w:themeColor="text1"/>
            </w:rPr>
            <w:instrText xml:space="preserve"> MACROBUTTON  SnrToggleCheckbox □不适用 </w:instrText>
          </w:r>
          <w:r>
            <w:rPr>
              <w:color w:val="000000" w:themeColor="text1"/>
            </w:rPr>
            <w:fldChar w:fldCharType="end"/>
          </w:r>
        </w:p>
      </w:sdtContent>
    </w:sdt>
    <w:p w:rsidR="00C83B86" w:rsidRDefault="00220B84" w:rsidP="00C83B86">
      <w:sdt>
        <w:sdtPr>
          <w:rPr>
            <w:color w:val="000000" w:themeColor="text1"/>
          </w:rPr>
          <w:alias w:val="合同资产的确定方法、摊销方法和减值测试方法"/>
          <w:tag w:val="_GBC_3a321460bd2944c9b8bfb3131a9e1b86"/>
          <w:id w:val="-1503734133"/>
          <w:placeholder>
            <w:docPart w:val="9AF7C9BB72994BC39548669CFD7BE684"/>
          </w:placeholder>
        </w:sdtPr>
        <w:sdtEndPr/>
        <w:sdtContent>
          <w:r w:rsidR="00C83B86">
            <w:rPr>
              <w:rFonts w:hint="eastAsia"/>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sdtContent>
      </w:sdt>
    </w:p>
    <w:p w:rsidR="000C5659" w:rsidRDefault="000C5659">
      <w:pPr>
        <w:rPr>
          <w:color w:val="000000" w:themeColor="text1"/>
        </w:rPr>
      </w:pPr>
    </w:p>
    <w:bookmarkEnd w:id="123"/>
    <w:p w:rsidR="000C5659" w:rsidRDefault="000E33C4">
      <w:pPr>
        <w:rPr>
          <w:rFonts w:cs="Times New Roman"/>
          <w:b/>
          <w:color w:val="000000" w:themeColor="text1"/>
          <w:kern w:val="2"/>
          <w:szCs w:val="28"/>
        </w:rPr>
      </w:pPr>
      <w:r>
        <w:rPr>
          <w:rFonts w:cs="Times New Roman"/>
          <w:b/>
          <w:color w:val="000000" w:themeColor="text1"/>
          <w:kern w:val="2"/>
          <w:szCs w:val="28"/>
        </w:rPr>
        <w:t>按照信用风险特征组合计提坏账准备的组合类别及确定依据</w:t>
      </w:r>
    </w:p>
    <w:sdt>
      <w:sdtPr>
        <w:rPr>
          <w:color w:val="000000" w:themeColor="text1"/>
        </w:rPr>
        <w:alias w:val="是否适用：合同资产按照信用风险特征组合计提坏账准备的组合类别及确定依据[双击切换]"/>
        <w:tag w:val="_GBC_88801ad04a564fb2b7e709fd757fcda3"/>
        <w:id w:val="917461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imes New Roman"/>
          <w:b/>
          <w:color w:val="000000" w:themeColor="text1"/>
          <w:kern w:val="2"/>
          <w:szCs w:val="28"/>
        </w:rPr>
      </w:pPr>
    </w:p>
    <w:p w:rsidR="000C5659" w:rsidRDefault="000E33C4">
      <w:pPr>
        <w:rPr>
          <w:rFonts w:cs="Times New Roman"/>
          <w:b/>
          <w:color w:val="000000" w:themeColor="text1"/>
          <w:kern w:val="2"/>
          <w:szCs w:val="28"/>
        </w:rPr>
      </w:pPr>
      <w:r>
        <w:rPr>
          <w:rFonts w:cs="Times New Roman"/>
          <w:b/>
          <w:color w:val="000000" w:themeColor="text1"/>
          <w:kern w:val="2"/>
          <w:szCs w:val="28"/>
        </w:rPr>
        <w:t>基于账龄确认信用风险特征组合的账龄计算方法</w:t>
      </w:r>
    </w:p>
    <w:sdt>
      <w:sdtPr>
        <w:rPr>
          <w:color w:val="000000" w:themeColor="text1"/>
        </w:rPr>
        <w:alias w:val="是否适用：合同资产基于账龄确认信用风险特征组合的账龄计算方法[双击切换]"/>
        <w:tag w:val="_GBC_59be362629844c15946a32547bc25926"/>
        <w:id w:val="22819375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imes New Roman"/>
          <w:b/>
          <w:color w:val="000000" w:themeColor="text1"/>
          <w:kern w:val="2"/>
          <w:szCs w:val="28"/>
        </w:rPr>
      </w:pPr>
    </w:p>
    <w:p w:rsidR="000C5659" w:rsidRDefault="000E33C4">
      <w:pPr>
        <w:rPr>
          <w:rFonts w:cs="Times New Roman"/>
          <w:b/>
          <w:color w:val="000000" w:themeColor="text1"/>
          <w:kern w:val="2"/>
          <w:szCs w:val="28"/>
        </w:rPr>
      </w:pPr>
      <w:r>
        <w:rPr>
          <w:rFonts w:cs="Times New Roman"/>
          <w:b/>
          <w:color w:val="000000" w:themeColor="text1"/>
          <w:kern w:val="2"/>
          <w:szCs w:val="28"/>
        </w:rPr>
        <w:t>按照单项计提坏账准备的认定单项计提判断标准</w:t>
      </w:r>
    </w:p>
    <w:sdt>
      <w:sdtPr>
        <w:rPr>
          <w:color w:val="000000" w:themeColor="text1"/>
        </w:rPr>
        <w:alias w:val="是否适用：合同资产按照单项计提坏账准备的单项计提判断标准[双击切换]"/>
        <w:tag w:val="_GBC_0ad2d10f39624b3486cf825e91aa1d85"/>
        <w:id w:val="-212182950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40"/>
        </w:numPr>
        <w:ind w:left="450" w:hanging="450"/>
        <w:rPr>
          <w:color w:val="000000" w:themeColor="text1"/>
          <w:szCs w:val="21"/>
        </w:rPr>
      </w:pPr>
      <w:r>
        <w:rPr>
          <w:rFonts w:hint="eastAsia"/>
          <w:color w:val="000000" w:themeColor="text1"/>
        </w:rPr>
        <w:t>持有</w:t>
      </w:r>
      <w:r>
        <w:rPr>
          <w:rFonts w:ascii="宋体" w:hAnsi="宋体" w:hint="eastAsia"/>
          <w:color w:val="000000" w:themeColor="text1"/>
          <w:szCs w:val="21"/>
        </w:rPr>
        <w:t>待</w:t>
      </w:r>
      <w:r>
        <w:rPr>
          <w:rFonts w:ascii="宋体" w:hAnsi="宋体"/>
          <w:color w:val="000000" w:themeColor="text1"/>
          <w:szCs w:val="21"/>
        </w:rPr>
        <w:t>售的非流动资产或处置组</w:t>
      </w:r>
    </w:p>
    <w:bookmarkStart w:id="124" w:name="_Hlk533151067" w:displacedByCustomXml="next"/>
    <w:sdt>
      <w:sdtPr>
        <w:rPr>
          <w:color w:val="000000" w:themeColor="text1"/>
        </w:rPr>
        <w:alias w:val="是否适用：持有待售的非流动资产或处置组[双击切换]"/>
        <w:tag w:val="_GBC_f1f73a9983444ce2a24c3a748aa6178f"/>
        <w:id w:val="1727716340"/>
        <w:placeholder>
          <w:docPart w:val="GBC22222222222222222222222222222"/>
        </w:placeholder>
      </w:sdtPr>
      <w:sdtEndPr/>
      <w:sdtContent>
        <w:p w:rsidR="000C5659" w:rsidRDefault="000E33C4" w:rsidP="00C83B86">
          <w:pPr>
            <w:rPr>
              <w:color w:val="000000" w:themeColor="text1"/>
            </w:rPr>
          </w:pPr>
          <w:r>
            <w:rPr>
              <w:color w:val="000000" w:themeColor="text1"/>
            </w:rPr>
            <w:fldChar w:fldCharType="begin"/>
          </w:r>
          <w:r w:rsidR="00C83B8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C83B86">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持有待售的非流动资产或处置组"/>
        <w:tag w:val="_GBC_f73ce57cdf2f499aadf2d1abe9773623"/>
        <w:id w:val="1217939589"/>
        <w:placeholder>
          <w:docPart w:val="FC2BC4A6BCD240A099DE10B0EE2E6A22"/>
        </w:placeholder>
      </w:sdtPr>
      <w:sdtEndPr/>
      <w:sdtContent>
        <w:p w:rsidR="00C83B86" w:rsidRDefault="00C83B86" w:rsidP="00C83B86">
          <w:r>
            <w:rPr>
              <w:rFonts w:hint="eastAsia"/>
            </w:rPr>
            <w:t>主要通过出售（包括具有商业实质的非货币性资产交换）而非持续使用一项非流动资产或处置组收回其账面价值的，划分为持有待售类别。</w:t>
          </w:r>
        </w:p>
      </w:sdtContent>
    </w:sdt>
    <w:p w:rsidR="000C5659" w:rsidRDefault="000C5659">
      <w:pPr>
        <w:rPr>
          <w:color w:val="000000" w:themeColor="text1"/>
        </w:rPr>
      </w:pPr>
    </w:p>
    <w:bookmarkEnd w:id="124"/>
    <w:p w:rsidR="000C5659" w:rsidRDefault="000E33C4">
      <w:pPr>
        <w:rPr>
          <w:rFonts w:cs="Times New Roman"/>
          <w:b/>
          <w:color w:val="000000" w:themeColor="text1"/>
          <w:kern w:val="2"/>
        </w:rPr>
      </w:pPr>
      <w:r>
        <w:rPr>
          <w:rFonts w:cs="Times New Roman" w:hint="eastAsia"/>
          <w:b/>
          <w:color w:val="000000" w:themeColor="text1"/>
          <w:kern w:val="2"/>
        </w:rPr>
        <w:t>划分为持有待售的非流动资产或处置组的确认标准和会计处理方法</w:t>
      </w:r>
    </w:p>
    <w:sdt>
      <w:sdtPr>
        <w:rPr>
          <w:color w:val="000000" w:themeColor="text1"/>
        </w:rPr>
        <w:alias w:val="是否适用：划分为持有待售的非流动资产或处置组的确认标准和会计处理方法[双击切换]"/>
        <w:tag w:val="_GBC_6c531b0531914ce08b0f9e9ff03b4e9c"/>
        <w:id w:val="1893845407"/>
        <w:placeholder>
          <w:docPart w:val="GBC22222222222222222222222222222"/>
        </w:placeholder>
      </w:sdtPr>
      <w:sdtEndPr/>
      <w:sdtContent>
        <w:p w:rsidR="00C83B86" w:rsidRDefault="000E33C4" w:rsidP="00C83B86">
          <w:pPr>
            <w:rPr>
              <w:color w:val="000000" w:themeColor="text1"/>
            </w:rPr>
          </w:pPr>
          <w:r>
            <w:rPr>
              <w:color w:val="000000" w:themeColor="text1"/>
            </w:rPr>
            <w:fldChar w:fldCharType="begin"/>
          </w:r>
          <w:r w:rsidR="00C83B8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C83B86">
            <w:rPr>
              <w:color w:val="000000" w:themeColor="text1"/>
            </w:rPr>
            <w:instrText xml:space="preserve"> MACROBUTTON  SnrToggleCheckbox □不适用 </w:instrText>
          </w:r>
          <w:r>
            <w:rPr>
              <w:color w:val="000000" w:themeColor="text1"/>
            </w:rPr>
            <w:fldChar w:fldCharType="end"/>
          </w:r>
        </w:p>
      </w:sdtContent>
    </w:sdt>
    <w:sdt>
      <w:sdtPr>
        <w:rPr>
          <w:bCs/>
          <w:color w:val="000000" w:themeColor="text1"/>
        </w:rPr>
        <w:alias w:val="划分为持有待售的非流动资产或处置组的确认标准和会计处理方法"/>
        <w:tag w:val="_GBC_b7191fb064a643b298159d5d171b0856"/>
        <w:id w:val="1714234340"/>
        <w:placeholder>
          <w:docPart w:val="B13A217E0DAB450BAA4E1068227F051B"/>
        </w:placeholder>
      </w:sdtPr>
      <w:sdtEndPr/>
      <w:sdtContent>
        <w:p w:rsidR="00C83B86" w:rsidRDefault="00C83B86" w:rsidP="00C83B86">
          <w:r>
            <w:rPr>
              <w:rFonts w:hint="eastAsia"/>
            </w:rPr>
            <w:t>主要通过出售（包括具有商业实质的非货币性资产交换）而非持续使用一项非流动资产或处置组收回其账面价值的，划分为持有待售类别。</w:t>
          </w:r>
        </w:p>
        <w:p w:rsidR="00C83B86" w:rsidRDefault="00C83B86" w:rsidP="00C83B86">
          <w:r>
            <w:rPr>
              <w:rFonts w:hint="eastAsia"/>
            </w:rPr>
            <w:lastRenderedPageBreak/>
            <w:t>划分为持有待售的非流动资产（不包括金融资产、递延所得税资产、职工薪酬形成的资产）或处置组，其账面价值高于公允价值减去出售费用后的净额的，账面价值减记至公允价值减去出售费用后的净额，减记的金额确认为资产减值损失，计入当期损益，同时计提持有待售资产减值准备。</w:t>
          </w:r>
        </w:p>
      </w:sdtContent>
    </w:sdt>
    <w:p w:rsidR="000C5659" w:rsidRDefault="000C5659">
      <w:pPr>
        <w:rPr>
          <w:color w:val="000000" w:themeColor="text1"/>
        </w:rPr>
      </w:pPr>
    </w:p>
    <w:p w:rsidR="000C5659" w:rsidRDefault="000C5659">
      <w:pPr>
        <w:rPr>
          <w:color w:val="000000" w:themeColor="text1"/>
        </w:rPr>
      </w:pPr>
    </w:p>
    <w:p w:rsidR="000C5659" w:rsidRDefault="000E33C4">
      <w:pPr>
        <w:rPr>
          <w:rFonts w:cs="Times New Roman"/>
          <w:b/>
          <w:color w:val="000000" w:themeColor="text1"/>
          <w:kern w:val="2"/>
        </w:rPr>
      </w:pPr>
      <w:r>
        <w:rPr>
          <w:rFonts w:cs="Times New Roman"/>
          <w:b/>
          <w:color w:val="000000" w:themeColor="text1"/>
          <w:kern w:val="2"/>
        </w:rPr>
        <w:t>终止经营的认定标准和列报方法</w:t>
      </w:r>
    </w:p>
    <w:sdt>
      <w:sdtPr>
        <w:rPr>
          <w:color w:val="000000" w:themeColor="text1"/>
        </w:rPr>
        <w:alias w:val="是否适用：终止经营的认定标准和列报方法[双击切换]"/>
        <w:tag w:val="_GBC_4c502276dc0f4c08a09a2a83a4203533"/>
        <w:id w:val="93378645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116"/>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长期股权投资</w:t>
      </w:r>
    </w:p>
    <w:sdt>
      <w:sdtPr>
        <w:rPr>
          <w:color w:val="000000" w:themeColor="text1"/>
        </w:rPr>
        <w:alias w:val="是否适用：长期股权投资_重要会计政策和估计[双击切换]"/>
        <w:tag w:val="_GBC_a2b657853ac547afaaad118dec96d0e1"/>
        <w:id w:val="18254724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bCs/>
          <w:color w:val="000000" w:themeColor="text1"/>
          <w:sz w:val="21"/>
          <w:szCs w:val="21"/>
        </w:rPr>
        <w:alias w:val="长期股权投资的核算方法"/>
        <w:tag w:val="_GBC_3e77074cd50946b1bccdff9bc1c9556f"/>
        <w:id w:val="1704985758"/>
        <w:placeholder>
          <w:docPart w:val="GBC22222222222222222222222222222"/>
        </w:placeholder>
      </w:sdtPr>
      <w:sdtEndPr/>
      <w:sdtContent>
        <w:sdt>
          <w:sdtPr>
            <w:rPr>
              <w:bCs/>
              <w:sz w:val="21"/>
              <w:szCs w:val="21"/>
            </w:rPr>
            <w:alias w:val="长期股权投资的核算方法"/>
            <w:tag w:val="_GBC_3e77074cd50946b1bccdff9bc1c9556f"/>
            <w:id w:val="-2049601758"/>
            <w:lock w:val="sdtLocked"/>
          </w:sdtPr>
          <w:sdtEndPr/>
          <w:sdtContent>
            <w:p w:rsidR="000C5659" w:rsidRDefault="000E33C4">
              <w:pPr>
                <w:pStyle w:val="Style229"/>
                <w:rPr>
                  <w:sz w:val="21"/>
                  <w:szCs w:val="21"/>
                </w:rPr>
              </w:pPr>
              <w:r>
                <w:rPr>
                  <w:sz w:val="21"/>
                  <w:szCs w:val="21"/>
                </w:rPr>
                <w:t>1、共同控制、重大影响的判断标准</w:t>
              </w:r>
            </w:p>
            <w:p w:rsidR="000C5659" w:rsidRDefault="000E33C4">
              <w:pPr>
                <w:pStyle w:val="Style229"/>
                <w:rPr>
                  <w:sz w:val="21"/>
                  <w:szCs w:val="21"/>
                </w:rPr>
              </w:pPr>
              <w:r>
                <w:rPr>
                  <w:rFonts w:hint="eastAsia"/>
                  <w:sz w:val="21"/>
                  <w:szCs w:val="2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0C5659" w:rsidRDefault="000E33C4">
              <w:pPr>
                <w:pStyle w:val="Style229"/>
                <w:rPr>
                  <w:sz w:val="21"/>
                  <w:szCs w:val="21"/>
                </w:rPr>
              </w:pPr>
              <w:r>
                <w:rPr>
                  <w:rFonts w:hint="eastAsia"/>
                  <w:sz w:val="21"/>
                  <w:szCs w:val="21"/>
                </w:rPr>
                <w:t>重大影响，是指对被投资单位的财务和经营决策有参与决策的权力，但并不能够控制或者与其他方一起共同控制这些政策的制定。本公司能够对被投资单位施加重大影响的，被投资单位为本公司联营企业。</w:t>
              </w:r>
            </w:p>
            <w:p w:rsidR="000C5659" w:rsidRDefault="000C5659">
              <w:pPr>
                <w:pStyle w:val="Style229"/>
                <w:rPr>
                  <w:sz w:val="21"/>
                  <w:szCs w:val="21"/>
                </w:rPr>
              </w:pPr>
            </w:p>
            <w:p w:rsidR="000C5659" w:rsidRDefault="000E33C4">
              <w:pPr>
                <w:pStyle w:val="Style229"/>
                <w:rPr>
                  <w:sz w:val="21"/>
                  <w:szCs w:val="21"/>
                </w:rPr>
              </w:pPr>
              <w:r>
                <w:rPr>
                  <w:sz w:val="21"/>
                  <w:szCs w:val="21"/>
                </w:rPr>
                <w:t>2、初始投资成本的确定</w:t>
              </w:r>
            </w:p>
            <w:p w:rsidR="000C5659" w:rsidRDefault="000E33C4">
              <w:pPr>
                <w:pStyle w:val="Style229"/>
                <w:rPr>
                  <w:sz w:val="21"/>
                  <w:szCs w:val="21"/>
                </w:rPr>
              </w:pPr>
              <w:r>
                <w:rPr>
                  <w:rFonts w:hint="eastAsia"/>
                  <w:sz w:val="21"/>
                  <w:szCs w:val="21"/>
                </w:rPr>
                <w:t>（</w:t>
              </w:r>
              <w:r>
                <w:rPr>
                  <w:sz w:val="21"/>
                  <w:szCs w:val="21"/>
                </w:rPr>
                <w:t>1）企业合并形成的长期股权投资</w:t>
              </w:r>
            </w:p>
            <w:p w:rsidR="000C5659" w:rsidRDefault="000E33C4">
              <w:pPr>
                <w:pStyle w:val="Style229"/>
                <w:rPr>
                  <w:sz w:val="21"/>
                  <w:szCs w:val="21"/>
                </w:rPr>
              </w:pPr>
              <w:r>
                <w:rPr>
                  <w:rFonts w:hint="eastAsia"/>
                  <w:sz w:val="21"/>
                  <w:szCs w:val="21"/>
                </w:rPr>
                <w:t>对于同一控制下的企业合并形成的对子公司的长期股权投资，在合并日按照取得被合并方所有者权益在最终控制方合并财务报表中的账面价值的份额作为长期股权投资的初始投资成本。长期股权投资初始投资成本与支付对价账面价值之间的差额，调整资本公积中的股本溢价；资本公积中的股本溢价不足冲减时，调整留存收益。因追加投资等原因能够对同一控制下的被投资单位实施控制的，按上述原则确认的长期股权投资的初始投资成本与达到合并前的长期股权投资账面价值加上合并日进一步取得股份新支付对价的账面价值之和的差额，调整股本溢价，股本溢价不足冲减的，冲减留存收益。</w:t>
              </w:r>
            </w:p>
            <w:p w:rsidR="000C5659" w:rsidRDefault="000E33C4">
              <w:pPr>
                <w:pStyle w:val="Style229"/>
                <w:rPr>
                  <w:sz w:val="21"/>
                  <w:szCs w:val="21"/>
                </w:rPr>
              </w:pPr>
              <w:r>
                <w:rPr>
                  <w:rFonts w:hint="eastAsia"/>
                  <w:sz w:val="21"/>
                  <w:szCs w:val="21"/>
                </w:rPr>
                <w:t>对于非同一控制下的企业合并形成的对子公司的长期股权投资，按照购买日确定的合并成本作为长期股权投资的初始投资成本。因追加投资等原因能够对非同一控制下的被投资单位实施控制的，按照原持有的股权投资账面价值加上新增投资成本之和作为初始投资成本。</w:t>
              </w:r>
            </w:p>
            <w:p w:rsidR="000C5659" w:rsidRDefault="000E33C4">
              <w:pPr>
                <w:pStyle w:val="Style229"/>
                <w:rPr>
                  <w:sz w:val="21"/>
                  <w:szCs w:val="21"/>
                </w:rPr>
              </w:pPr>
              <w:r>
                <w:rPr>
                  <w:rFonts w:hint="eastAsia"/>
                  <w:sz w:val="21"/>
                  <w:szCs w:val="21"/>
                </w:rPr>
                <w:t>（</w:t>
              </w:r>
              <w:r>
                <w:rPr>
                  <w:sz w:val="21"/>
                  <w:szCs w:val="21"/>
                </w:rPr>
                <w:t>2）通过企业合并以外的其他方式取得的长期股权投资</w:t>
              </w:r>
            </w:p>
            <w:p w:rsidR="000C5659" w:rsidRDefault="000E33C4">
              <w:pPr>
                <w:pStyle w:val="Style229"/>
                <w:rPr>
                  <w:sz w:val="21"/>
                  <w:szCs w:val="21"/>
                </w:rPr>
              </w:pPr>
              <w:r>
                <w:rPr>
                  <w:rFonts w:hint="eastAsia"/>
                  <w:sz w:val="21"/>
                  <w:szCs w:val="21"/>
                </w:rPr>
                <w:t>以支付现金方式取得的长期股权投资，按照实际支付的购买价款作为初始投资成本。</w:t>
              </w:r>
            </w:p>
            <w:p w:rsidR="000C5659" w:rsidRDefault="000E33C4">
              <w:pPr>
                <w:pStyle w:val="Style229"/>
                <w:rPr>
                  <w:sz w:val="21"/>
                  <w:szCs w:val="21"/>
                </w:rPr>
              </w:pPr>
              <w:r>
                <w:rPr>
                  <w:rFonts w:hint="eastAsia"/>
                  <w:sz w:val="21"/>
                  <w:szCs w:val="21"/>
                </w:rPr>
                <w:t>以发行权益性证券取得的长期股权投资，按照发行权益性证券的公允价值作为初始投资成本。</w:t>
              </w:r>
            </w:p>
            <w:p w:rsidR="000C5659" w:rsidRDefault="000C5659">
              <w:pPr>
                <w:pStyle w:val="Style229"/>
                <w:rPr>
                  <w:sz w:val="21"/>
                  <w:szCs w:val="21"/>
                </w:rPr>
              </w:pPr>
            </w:p>
            <w:p w:rsidR="000C5659" w:rsidRDefault="000E33C4">
              <w:pPr>
                <w:pStyle w:val="Style229"/>
                <w:rPr>
                  <w:sz w:val="21"/>
                  <w:szCs w:val="21"/>
                </w:rPr>
              </w:pPr>
              <w:r>
                <w:rPr>
                  <w:sz w:val="21"/>
                  <w:szCs w:val="21"/>
                </w:rPr>
                <w:t>3、后续计量及损益确认方法</w:t>
              </w:r>
            </w:p>
            <w:p w:rsidR="000C5659" w:rsidRDefault="000E33C4">
              <w:pPr>
                <w:pStyle w:val="Style229"/>
                <w:rPr>
                  <w:sz w:val="21"/>
                  <w:szCs w:val="21"/>
                </w:rPr>
              </w:pPr>
              <w:r>
                <w:rPr>
                  <w:rFonts w:hint="eastAsia"/>
                  <w:sz w:val="21"/>
                  <w:szCs w:val="21"/>
                </w:rPr>
                <w:t>（</w:t>
              </w:r>
              <w:r>
                <w:rPr>
                  <w:sz w:val="21"/>
                  <w:szCs w:val="21"/>
                </w:rPr>
                <w:t>1）成本法核算的长期股权投资</w:t>
              </w:r>
            </w:p>
            <w:p w:rsidR="000C5659" w:rsidRDefault="000E33C4">
              <w:pPr>
                <w:pStyle w:val="Style229"/>
                <w:rPr>
                  <w:sz w:val="21"/>
                  <w:szCs w:val="21"/>
                </w:rPr>
              </w:pPr>
              <w:r>
                <w:rPr>
                  <w:rFonts w:hint="eastAsia"/>
                  <w:sz w:val="21"/>
                  <w:szCs w:val="21"/>
                </w:rPr>
                <w:t>公司对子公司的长期股权投资，采用成本法核算，除非投资符合持有待售的条件。除取得投资时实际支付的价款或对价中包含的已宣告但尚未发放的现金股利或利润外，公司按照享有被投资单位宣告发放的现金股利或利润确认当期投资收益。</w:t>
              </w:r>
            </w:p>
            <w:p w:rsidR="000C5659" w:rsidRDefault="000E33C4">
              <w:pPr>
                <w:pStyle w:val="Style229"/>
                <w:rPr>
                  <w:sz w:val="21"/>
                  <w:szCs w:val="21"/>
                </w:rPr>
              </w:pPr>
              <w:r>
                <w:rPr>
                  <w:rFonts w:hint="eastAsia"/>
                  <w:sz w:val="21"/>
                  <w:szCs w:val="21"/>
                </w:rPr>
                <w:t>（</w:t>
              </w:r>
              <w:r>
                <w:rPr>
                  <w:sz w:val="21"/>
                  <w:szCs w:val="21"/>
                </w:rPr>
                <w:t>2）权益法核算的长期股权投资</w:t>
              </w:r>
            </w:p>
            <w:p w:rsidR="000C5659" w:rsidRDefault="000E33C4">
              <w:pPr>
                <w:pStyle w:val="Style229"/>
                <w:rPr>
                  <w:sz w:val="21"/>
                  <w:szCs w:val="21"/>
                </w:rPr>
              </w:pPr>
              <w:r>
                <w:rPr>
                  <w:rFonts w:hint="eastAsia"/>
                  <w:sz w:val="21"/>
                  <w:szCs w:val="2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同时调整长期股权投资的成本。</w:t>
              </w:r>
            </w:p>
            <w:p w:rsidR="000C5659" w:rsidRDefault="000E33C4">
              <w:pPr>
                <w:pStyle w:val="Style229"/>
                <w:rPr>
                  <w:sz w:val="21"/>
                  <w:szCs w:val="21"/>
                </w:rPr>
              </w:pPr>
              <w:r>
                <w:rPr>
                  <w:rFonts w:hint="eastAsia"/>
                  <w:sz w:val="21"/>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简称“其他所有者权益变动”），调整长期股权投资的账面价值并计入所有者权益。</w:t>
              </w:r>
            </w:p>
            <w:p w:rsidR="000C5659" w:rsidRDefault="000E33C4">
              <w:pPr>
                <w:pStyle w:val="Style229"/>
                <w:rPr>
                  <w:sz w:val="21"/>
                  <w:szCs w:val="21"/>
                </w:rPr>
              </w:pPr>
              <w:r>
                <w:rPr>
                  <w:rFonts w:hint="eastAsia"/>
                  <w:sz w:val="21"/>
                  <w:szCs w:val="21"/>
                </w:rPr>
                <w:lastRenderedPageBreak/>
                <w:t>在确认应享有被投资单位净损益、其他综合收益及其他所有者权益变动的份额时，以取得投资时被投资单位可辨认净资产的公允价值为基础，并按照公司的会计政策及会计期间，对被投资单位的净利润和其他综合收益等进行调整后确认。</w:t>
              </w:r>
            </w:p>
            <w:p w:rsidR="000C5659" w:rsidRDefault="000E33C4">
              <w:pPr>
                <w:pStyle w:val="Style229"/>
                <w:rPr>
                  <w:sz w:val="21"/>
                  <w:szCs w:val="21"/>
                </w:rPr>
              </w:pPr>
              <w:r>
                <w:rPr>
                  <w:rFonts w:hint="eastAsia"/>
                  <w:sz w:val="21"/>
                  <w:szCs w:val="21"/>
                </w:rPr>
                <w:t>公司与联营企业、合营企业之间发生的未实现内部交易损益按照应享有的比例计算归属于公司的部分，予以抵销，在此基础上确认投资收益，但投出或出售的资产构成业务的除外。与被投资单位发生的未实现内部交易损失，属于资产减值损失的，全额确认。</w:t>
              </w:r>
            </w:p>
            <w:p w:rsidR="000C5659" w:rsidRDefault="000E33C4">
              <w:pPr>
                <w:pStyle w:val="Style229"/>
                <w:rPr>
                  <w:sz w:val="21"/>
                  <w:szCs w:val="21"/>
                </w:rPr>
              </w:pPr>
              <w:r>
                <w:rPr>
                  <w:rFonts w:hint="eastAsia"/>
                  <w:sz w:val="21"/>
                  <w:szCs w:val="21"/>
                </w:rPr>
                <w:t>公司对合营企业或联营企业发生的净亏损，除负有承担额外损失义务外，以长期股权投资的账面价值以及其他实质上构成对合营企业或联营企业净投资的长期权益减记至零为限。合营企业或联营企业以后实现净利润的，公司在收益分享额弥补未确认的亏损分担额后，恢复确认收益分享额。</w:t>
              </w:r>
            </w:p>
            <w:p w:rsidR="000C5659" w:rsidRDefault="000E33C4">
              <w:pPr>
                <w:pStyle w:val="Style229"/>
                <w:rPr>
                  <w:sz w:val="21"/>
                  <w:szCs w:val="21"/>
                </w:rPr>
              </w:pPr>
              <w:r>
                <w:rPr>
                  <w:rFonts w:hint="eastAsia"/>
                  <w:sz w:val="21"/>
                  <w:szCs w:val="21"/>
                </w:rPr>
                <w:t>（</w:t>
              </w:r>
              <w:r>
                <w:rPr>
                  <w:sz w:val="21"/>
                  <w:szCs w:val="21"/>
                </w:rPr>
                <w:t>3）长期股权投资的处置</w:t>
              </w:r>
            </w:p>
            <w:p w:rsidR="000C5659" w:rsidRDefault="000E33C4">
              <w:pPr>
                <w:pStyle w:val="Style229"/>
                <w:rPr>
                  <w:sz w:val="21"/>
                  <w:szCs w:val="21"/>
                </w:rPr>
              </w:pPr>
              <w:r>
                <w:rPr>
                  <w:rFonts w:hint="eastAsia"/>
                  <w:sz w:val="21"/>
                  <w:szCs w:val="21"/>
                </w:rPr>
                <w:t>处置长期股权投资，其账面价值与实际取得价款的差额，计入当期损益。</w:t>
              </w:r>
            </w:p>
            <w:p w:rsidR="000C5659" w:rsidRDefault="000E33C4">
              <w:pPr>
                <w:pStyle w:val="Style229"/>
                <w:rPr>
                  <w:sz w:val="21"/>
                  <w:szCs w:val="21"/>
                </w:rPr>
              </w:pPr>
              <w:r>
                <w:rPr>
                  <w:rFonts w:hint="eastAsia"/>
                  <w:sz w:val="21"/>
                  <w:szCs w:val="21"/>
                </w:rPr>
                <w:t>部分处置权益法核算的长期股权投资，剩余股权仍采用权益法核算的，原权益法核算确认的其他综合收益采用与被投资单位直接处置相关资产或负债相同的基础按相应比例结转，其他所有者权益变动按比例结转入当期损益。</w:t>
              </w:r>
              <w:r>
                <w:rPr>
                  <w:sz w:val="21"/>
                  <w:szCs w:val="21"/>
                </w:rPr>
                <w:t xml:space="preserve">  </w:t>
              </w:r>
            </w:p>
            <w:p w:rsidR="000C5659" w:rsidRDefault="000E33C4">
              <w:pPr>
                <w:pStyle w:val="Style229"/>
                <w:rPr>
                  <w:sz w:val="21"/>
                  <w:szCs w:val="21"/>
                </w:rPr>
              </w:pPr>
              <w:r>
                <w:rPr>
                  <w:rFonts w:hint="eastAsia"/>
                  <w:sz w:val="21"/>
                  <w:szCs w:val="21"/>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其他所有者权益变动在终止采用权益法核算时全部转入当期损益。</w:t>
              </w:r>
              <w:r>
                <w:rPr>
                  <w:sz w:val="21"/>
                  <w:szCs w:val="21"/>
                </w:rPr>
                <w:t xml:space="preserve">  </w:t>
              </w:r>
            </w:p>
            <w:p w:rsidR="000C5659" w:rsidRDefault="000E33C4">
              <w:pPr>
                <w:pStyle w:val="Style229"/>
                <w:rPr>
                  <w:sz w:val="21"/>
                  <w:szCs w:val="21"/>
                </w:rPr>
              </w:pPr>
              <w:r>
                <w:rPr>
                  <w:rFonts w:hint="eastAsia"/>
                  <w:sz w:val="21"/>
                  <w:szCs w:val="21"/>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对于取得被投资单位控制权之前确认的其他综合收益采用与被投资单位直接处置相关资产或负债相同的基础按比例结转，因采用权益法核算确认的其他所有者权益变动按比例结转入当期损益；剩余股权不能对被投资单位实施共同控制或施加重大影响的，确认为金融资产，其在丧失控制之日的公允价值与账面价值间的差额计入当期损益，对于取得被投资单位控制权之前确认的其他综合收益和其他所有者权益变动全部结转。</w:t>
              </w:r>
              <w:r>
                <w:rPr>
                  <w:sz w:val="21"/>
                  <w:szCs w:val="21"/>
                </w:rPr>
                <w:t xml:space="preserve">  </w:t>
              </w:r>
            </w:p>
            <w:p w:rsidR="000C5659" w:rsidRDefault="000E33C4">
              <w:pPr>
                <w:pStyle w:val="Style325"/>
              </w:pPr>
              <w:r>
                <w:rPr>
                  <w:rFonts w:hint="eastAsia"/>
                </w:rPr>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入丧失控制权的当期损益。不属于一揽子交易的，对每一项交易分别进行会计处理。</w:t>
              </w:r>
            </w:p>
          </w:sdtContent>
        </w:sdt>
        <w:p w:rsidR="000C5659" w:rsidRDefault="00220B84">
          <w:pPr>
            <w:rPr>
              <w:color w:val="000000" w:themeColor="text1"/>
            </w:rPr>
          </w:pPr>
        </w:p>
      </w:sdtContent>
    </w:sdt>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投资性房地产</w:t>
      </w:r>
    </w:p>
    <w:p w:rsidR="000C5659" w:rsidRDefault="000E33C4" w:rsidP="000743DD">
      <w:pPr>
        <w:pStyle w:val="43"/>
        <w:numPr>
          <w:ilvl w:val="0"/>
          <w:numId w:val="41"/>
        </w:numPr>
        <w:rPr>
          <w:rFonts w:ascii="宋体" w:hAnsi="宋体"/>
          <w:color w:val="000000" w:themeColor="text1"/>
        </w:rPr>
      </w:pPr>
      <w:r>
        <w:rPr>
          <w:rFonts w:ascii="宋体" w:hAnsi="宋体" w:cs="宋体" w:hint="eastAsia"/>
          <w:color w:val="000000" w:themeColor="text1"/>
          <w:kern w:val="0"/>
          <w:szCs w:val="24"/>
        </w:rPr>
        <w:t>如果</w:t>
      </w:r>
      <w:r>
        <w:rPr>
          <w:rFonts w:ascii="宋体" w:hAnsi="宋体" w:hint="eastAsia"/>
          <w:color w:val="000000" w:themeColor="text1"/>
        </w:rPr>
        <w:t>采用成本计量模式的</w:t>
      </w:r>
    </w:p>
    <w:p w:rsidR="000C5659" w:rsidRDefault="000E33C4">
      <w:pPr>
        <w:pStyle w:val="Style151"/>
        <w:rPr>
          <w:rFonts w:ascii="宋体" w:hAnsi="宋体"/>
          <w:b w:val="0"/>
          <w:color w:val="000000" w:themeColor="text1"/>
          <w:szCs w:val="21"/>
        </w:rPr>
      </w:pPr>
      <w:r>
        <w:rPr>
          <w:rFonts w:ascii="宋体" w:hAnsi="宋体" w:hint="eastAsia"/>
          <w:b w:val="0"/>
          <w:color w:val="000000" w:themeColor="text1"/>
          <w:szCs w:val="21"/>
        </w:rPr>
        <w:t>折旧或摊销方法</w:t>
      </w:r>
    </w:p>
    <w:sdt>
      <w:sdtPr>
        <w:rPr>
          <w:bCs/>
          <w:color w:val="000000" w:themeColor="text1"/>
          <w:sz w:val="21"/>
          <w:szCs w:val="21"/>
        </w:rPr>
        <w:alias w:val="采用成本计量模式的折旧或摊销方法"/>
        <w:tag w:val="_GBC_5b2898357289426780691d99ea19aa67"/>
        <w:id w:val="-1959480563"/>
        <w:placeholder>
          <w:docPart w:val="GBC22222222222222222222222222222"/>
        </w:placeholder>
      </w:sdtPr>
      <w:sdtEndPr/>
      <w:sdtContent>
        <w:sdt>
          <w:sdtPr>
            <w:rPr>
              <w:bCs/>
              <w:sz w:val="21"/>
              <w:szCs w:val="21"/>
            </w:rPr>
            <w:alias w:val="采用成本计量模式的折旧或摊销方法"/>
            <w:tag w:val="_GBC_5b2898357289426780691d99ea19aa67"/>
            <w:id w:val="1897158591"/>
            <w:lock w:val="sdtLocked"/>
          </w:sdtPr>
          <w:sdtEndPr/>
          <w:sdtContent>
            <w:p w:rsidR="000C5659" w:rsidRDefault="000E33C4">
              <w:pPr>
                <w:pStyle w:val="Style229"/>
                <w:rPr>
                  <w:sz w:val="21"/>
                  <w:szCs w:val="21"/>
                </w:rPr>
              </w:pPr>
              <w:r>
                <w:rPr>
                  <w:rFonts w:hint="eastAsia"/>
                  <w:sz w:val="21"/>
                  <w:szCs w:val="21"/>
                </w:rPr>
                <w:t>投资性房地产是指为赚取租金或资本增值，或两者兼有而持有的房地产，包括已出租的土地使用权、持有并准备增值后转让的土地使用权、已出租的建筑物（含自行建造或开发活动完成后用于出租的建筑物以及正在建造或开发过程中将来用于出租的建筑物）。</w:t>
              </w:r>
              <w:r>
                <w:rPr>
                  <w:sz w:val="21"/>
                  <w:szCs w:val="21"/>
                </w:rPr>
                <w:t xml:space="preserve">  </w:t>
              </w:r>
            </w:p>
            <w:p w:rsidR="000C5659" w:rsidRDefault="000E33C4">
              <w:pPr>
                <w:pStyle w:val="Style229"/>
                <w:rPr>
                  <w:sz w:val="21"/>
                  <w:szCs w:val="21"/>
                </w:rPr>
              </w:pPr>
              <w:r>
                <w:rPr>
                  <w:rFonts w:hint="eastAsia"/>
                  <w:sz w:val="21"/>
                  <w:szCs w:val="21"/>
                </w:rPr>
                <w:t>与投资性房地产有关的后续支出，在相关的经济利益很可能流入且其成本能够可靠的计量时，计入投资性房地产成本；否则，于发生时计入当期损益。</w:t>
              </w:r>
            </w:p>
            <w:p w:rsidR="000C5659" w:rsidRDefault="000E33C4">
              <w:pPr>
                <w:rPr>
                  <w:color w:val="000000" w:themeColor="text1"/>
                </w:rPr>
              </w:pPr>
              <w:r>
                <w:rPr>
                  <w:rFonts w:hint="eastAsia"/>
                </w:rPr>
                <w:t>本公司对现有投资性房地产采用成本模式计量。对按照成本模式计量的投资性房地产－出租用建筑物采用与本公司固定资产相同的折旧政策，出租用土地使用权按与无形资产相同的摊销政策执行。</w:t>
              </w:r>
            </w:p>
          </w:sdtContent>
        </w:sdt>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固定资产</w:t>
      </w:r>
    </w:p>
    <w:p w:rsidR="000C5659" w:rsidRDefault="000E33C4" w:rsidP="000743DD">
      <w:pPr>
        <w:pStyle w:val="43"/>
        <w:numPr>
          <w:ilvl w:val="0"/>
          <w:numId w:val="42"/>
        </w:numPr>
        <w:rPr>
          <w:rFonts w:ascii="宋体" w:hAnsi="宋体"/>
          <w:color w:val="000000" w:themeColor="text1"/>
        </w:rPr>
      </w:pPr>
      <w:r>
        <w:rPr>
          <w:rFonts w:ascii="宋体" w:hAnsi="宋体" w:hint="eastAsia"/>
          <w:color w:val="000000" w:themeColor="text1"/>
        </w:rPr>
        <w:t>确认条件</w:t>
      </w:r>
    </w:p>
    <w:sdt>
      <w:sdtPr>
        <w:rPr>
          <w:color w:val="000000" w:themeColor="text1"/>
        </w:rPr>
        <w:alias w:val="是否适用：固定资产确认条件[双击切换]"/>
        <w:tag w:val="_GBC_45cce032cd1f43bfad18a80dd94e9cc4"/>
        <w:id w:val="13472066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固定资产确认条件"/>
        <w:tag w:val="_GBC_3044d53470b143fa9477fa34b85d4ec5"/>
        <w:id w:val="1607462490"/>
        <w:placeholder>
          <w:docPart w:val="GBC22222222222222222222222222222"/>
        </w:placeholder>
      </w:sdtPr>
      <w:sdtEndPr>
        <w:rPr>
          <w:b/>
        </w:rPr>
      </w:sdtEndPr>
      <w:sdtContent>
        <w:sdt>
          <w:sdtPr>
            <w:rPr>
              <w:bCs/>
            </w:rPr>
            <w:alias w:val="固定资产确认条件"/>
            <w:tag w:val="_GBC_3044d53470b143fa9477fa34b85d4ec5"/>
            <w:id w:val="-751430417"/>
            <w:lock w:val="sdtLocked"/>
          </w:sdtPr>
          <w:sdtEndPr>
            <w:rPr>
              <w:b/>
            </w:rPr>
          </w:sdtEndPr>
          <w:sdtContent>
            <w:p w:rsidR="000C5659" w:rsidRDefault="000E33C4">
              <w:pPr>
                <w:pStyle w:val="Style325"/>
              </w:pPr>
              <w:r>
                <w:rPr>
                  <w:rFonts w:hint="eastAsia"/>
                </w:rPr>
                <w:t>固定资产指为生产商品、提供劳务、出租或经营管理而持有，并且使用寿命超过一个会计年度的有形资产。固定资产在同时满足下列条件时予以确认：</w:t>
              </w:r>
            </w:p>
            <w:p w:rsidR="000C5659" w:rsidRDefault="000E33C4">
              <w:pPr>
                <w:pStyle w:val="Style325"/>
              </w:pPr>
              <w:r>
                <w:rPr>
                  <w:rFonts w:hint="eastAsia"/>
                </w:rPr>
                <w:t>（</w:t>
              </w:r>
              <w:r>
                <w:t>1）与该固定资产有关的经济利益很可能流入企业；</w:t>
              </w:r>
            </w:p>
            <w:p w:rsidR="000C5659" w:rsidRDefault="000E33C4">
              <w:pPr>
                <w:pStyle w:val="Style325"/>
              </w:pPr>
              <w:r>
                <w:rPr>
                  <w:rFonts w:hint="eastAsia"/>
                </w:rPr>
                <w:lastRenderedPageBreak/>
                <w:t>（</w:t>
              </w:r>
              <w:r>
                <w:t>2）该固定资产的成本能够可靠地计量。</w:t>
              </w:r>
            </w:p>
            <w:p w:rsidR="000C5659" w:rsidRDefault="000E33C4">
              <w:pPr>
                <w:pStyle w:val="Style325"/>
              </w:pPr>
              <w:r>
                <w:rPr>
                  <w:rFonts w:hint="eastAsia"/>
                </w:rPr>
                <w:t>固定资产按成本（并考虑预计弃置费用因素的影响）进行初始计量。</w:t>
              </w:r>
              <w:r>
                <w:t xml:space="preserve"> </w:t>
              </w:r>
            </w:p>
            <w:p w:rsidR="000C5659" w:rsidRDefault="000E33C4">
              <w:pPr>
                <w:rPr>
                  <w:b/>
                  <w:color w:val="000000" w:themeColor="text1"/>
                </w:rPr>
              </w:pPr>
              <w:r>
                <w:rPr>
                  <w:rFonts w:hint="eastAsia"/>
                </w:rPr>
                <w:t>与固定资产有关的后续支出，在与其有关的经济利益很可能流入且其成本能够可靠计量时，计入固定资产成本；对于被替换的部分，终止确认其账面价值；所有其他后续支出于发生时计入当期损益。</w:t>
              </w:r>
            </w:p>
          </w:sdtContent>
        </w:sdt>
      </w:sdtContent>
    </w:sdt>
    <w:p w:rsidR="000C5659" w:rsidRDefault="000C5659">
      <w:pPr>
        <w:rPr>
          <w:color w:val="000000" w:themeColor="text1"/>
        </w:rPr>
      </w:pPr>
    </w:p>
    <w:p w:rsidR="000C5659" w:rsidRDefault="000E33C4" w:rsidP="000743DD">
      <w:pPr>
        <w:pStyle w:val="43"/>
        <w:numPr>
          <w:ilvl w:val="0"/>
          <w:numId w:val="42"/>
        </w:numPr>
        <w:rPr>
          <w:rFonts w:ascii="宋体" w:hAnsi="宋体"/>
          <w:color w:val="000000" w:themeColor="text1"/>
        </w:rPr>
      </w:pPr>
      <w:r>
        <w:rPr>
          <w:rFonts w:ascii="宋体" w:hAnsi="宋体" w:hint="eastAsia"/>
          <w:color w:val="000000" w:themeColor="text1"/>
        </w:rPr>
        <w:t>折旧方法</w:t>
      </w:r>
    </w:p>
    <w:sdt>
      <w:sdtPr>
        <w:rPr>
          <w:color w:val="000000" w:themeColor="text1"/>
        </w:rPr>
        <w:alias w:val="是否适用：固定资产折旧方法[双击切换]"/>
        <w:tag w:val="_GBC_c221ef38ff6a4242aab725946697311c"/>
        <w:id w:val="15807982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787"/>
        <w:gridCol w:w="1787"/>
        <w:gridCol w:w="1787"/>
        <w:gridCol w:w="1787"/>
      </w:tblGrid>
      <w:tr w:rsidR="000C5659">
        <w:sdt>
          <w:sdtPr>
            <w:rPr>
              <w:color w:val="000000" w:themeColor="text1"/>
            </w:rPr>
            <w:tag w:val="_PLD_d39db65ac15c4d7583d7fe75cb893517"/>
            <w:id w:val="-367763161"/>
          </w:sdtPr>
          <w:sdtEndPr/>
          <w:sdtContent>
            <w:tc>
              <w:tcPr>
                <w:tcW w:w="949" w:type="pct"/>
                <w:vAlign w:val="center"/>
              </w:tcPr>
              <w:p w:rsidR="000C5659" w:rsidRDefault="000E33C4">
                <w:pPr>
                  <w:jc w:val="center"/>
                  <w:rPr>
                    <w:color w:val="000000" w:themeColor="text1"/>
                  </w:rPr>
                </w:pPr>
                <w:r>
                  <w:rPr>
                    <w:color w:val="000000" w:themeColor="text1"/>
                  </w:rPr>
                  <w:t>类别</w:t>
                </w:r>
              </w:p>
            </w:tc>
          </w:sdtContent>
        </w:sdt>
        <w:sdt>
          <w:sdtPr>
            <w:rPr>
              <w:color w:val="000000" w:themeColor="text1"/>
            </w:rPr>
            <w:tag w:val="_PLD_1b5147121b9948e5a115c7a4d6c95995"/>
            <w:id w:val="1525670191"/>
          </w:sdtPr>
          <w:sdtEndPr/>
          <w:sdtContent>
            <w:tc>
              <w:tcPr>
                <w:tcW w:w="1012" w:type="pct"/>
                <w:vAlign w:val="center"/>
              </w:tcPr>
              <w:p w:rsidR="000C5659" w:rsidRDefault="000E33C4">
                <w:pPr>
                  <w:jc w:val="center"/>
                  <w:rPr>
                    <w:color w:val="000000" w:themeColor="text1"/>
                  </w:rPr>
                </w:pPr>
                <w:r>
                  <w:rPr>
                    <w:rFonts w:hint="eastAsia"/>
                    <w:color w:val="000000" w:themeColor="text1"/>
                  </w:rPr>
                  <w:t>折旧方法</w:t>
                </w:r>
              </w:p>
            </w:tc>
          </w:sdtContent>
        </w:sdt>
        <w:sdt>
          <w:sdtPr>
            <w:rPr>
              <w:color w:val="000000" w:themeColor="text1"/>
            </w:rPr>
            <w:tag w:val="_PLD_65441224aa3f4fd3be4ca0650b16b1aa"/>
            <w:id w:val="1046185156"/>
          </w:sdtPr>
          <w:sdtEndPr/>
          <w:sdtContent>
            <w:tc>
              <w:tcPr>
                <w:tcW w:w="1012" w:type="pct"/>
                <w:vAlign w:val="center"/>
              </w:tcPr>
              <w:p w:rsidR="000C5659" w:rsidRDefault="000E33C4">
                <w:pPr>
                  <w:jc w:val="center"/>
                  <w:rPr>
                    <w:color w:val="000000" w:themeColor="text1"/>
                  </w:rPr>
                </w:pPr>
                <w:r>
                  <w:rPr>
                    <w:color w:val="000000" w:themeColor="text1"/>
                  </w:rPr>
                  <w:t>折旧年限（年）</w:t>
                </w:r>
              </w:p>
            </w:tc>
          </w:sdtContent>
        </w:sdt>
        <w:sdt>
          <w:sdtPr>
            <w:rPr>
              <w:color w:val="000000" w:themeColor="text1"/>
            </w:rPr>
            <w:tag w:val="_PLD_1c82a37539a842289bf80f2937f33bee"/>
            <w:id w:val="-1070268847"/>
          </w:sdtPr>
          <w:sdtEndPr/>
          <w:sdtContent>
            <w:tc>
              <w:tcPr>
                <w:tcW w:w="1012" w:type="pct"/>
                <w:vAlign w:val="center"/>
              </w:tcPr>
              <w:p w:rsidR="000C5659" w:rsidRDefault="000E33C4">
                <w:pPr>
                  <w:jc w:val="center"/>
                  <w:rPr>
                    <w:color w:val="000000" w:themeColor="text1"/>
                  </w:rPr>
                </w:pPr>
                <w:r>
                  <w:rPr>
                    <w:color w:val="000000" w:themeColor="text1"/>
                  </w:rPr>
                  <w:t>残值率</w:t>
                </w:r>
              </w:p>
            </w:tc>
          </w:sdtContent>
        </w:sdt>
        <w:sdt>
          <w:sdtPr>
            <w:rPr>
              <w:color w:val="000000" w:themeColor="text1"/>
            </w:rPr>
            <w:tag w:val="_PLD_a67e8338c181496fa22b9944b63ec82c"/>
            <w:id w:val="-602795504"/>
          </w:sdtPr>
          <w:sdtEndPr/>
          <w:sdtContent>
            <w:tc>
              <w:tcPr>
                <w:tcW w:w="1012" w:type="pct"/>
                <w:vAlign w:val="center"/>
              </w:tcPr>
              <w:p w:rsidR="000C5659" w:rsidRDefault="000E33C4">
                <w:pPr>
                  <w:jc w:val="center"/>
                  <w:rPr>
                    <w:color w:val="000000" w:themeColor="text1"/>
                  </w:rPr>
                </w:pPr>
                <w:r>
                  <w:rPr>
                    <w:color w:val="000000" w:themeColor="text1"/>
                  </w:rPr>
                  <w:t>年折旧率</w:t>
                </w:r>
              </w:p>
            </w:tc>
          </w:sdtContent>
        </w:sdt>
      </w:tr>
      <w:tr w:rsidR="000C5659">
        <w:tc>
          <w:tcPr>
            <w:tcW w:w="949" w:type="pct"/>
          </w:tcPr>
          <w:p w:rsidR="000C5659" w:rsidRDefault="000E33C4">
            <w:pPr>
              <w:pStyle w:val="Style325"/>
            </w:pPr>
            <w:r>
              <w:t>房屋建筑物</w:t>
            </w:r>
          </w:p>
        </w:tc>
        <w:tc>
          <w:tcPr>
            <w:tcW w:w="1012" w:type="pct"/>
          </w:tcPr>
          <w:p w:rsidR="000C5659" w:rsidRDefault="000E33C4">
            <w:pPr>
              <w:pStyle w:val="Style325"/>
            </w:pPr>
            <w:r>
              <w:t>年限平均法</w:t>
            </w:r>
          </w:p>
        </w:tc>
        <w:tc>
          <w:tcPr>
            <w:tcW w:w="1012" w:type="pct"/>
          </w:tcPr>
          <w:p w:rsidR="000C5659" w:rsidRDefault="000E33C4">
            <w:pPr>
              <w:pStyle w:val="Style325"/>
              <w:jc w:val="right"/>
            </w:pPr>
            <w:r>
              <w:t>20</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4.75</w:t>
            </w:r>
          </w:p>
        </w:tc>
      </w:tr>
      <w:tr w:rsidR="000C5659">
        <w:tc>
          <w:tcPr>
            <w:tcW w:w="949" w:type="pct"/>
          </w:tcPr>
          <w:p w:rsidR="000C5659" w:rsidRDefault="000E33C4">
            <w:pPr>
              <w:pStyle w:val="Style325"/>
            </w:pPr>
            <w:r>
              <w:t>机械设备</w:t>
            </w:r>
          </w:p>
        </w:tc>
        <w:tc>
          <w:tcPr>
            <w:tcW w:w="1012" w:type="pct"/>
          </w:tcPr>
          <w:p w:rsidR="000C5659" w:rsidRDefault="000E33C4">
            <w:pPr>
              <w:pStyle w:val="Style325"/>
            </w:pPr>
            <w:r>
              <w:t>年限平均法</w:t>
            </w:r>
          </w:p>
        </w:tc>
        <w:tc>
          <w:tcPr>
            <w:tcW w:w="1012" w:type="pct"/>
          </w:tcPr>
          <w:p w:rsidR="000C5659" w:rsidRDefault="000E33C4">
            <w:pPr>
              <w:pStyle w:val="Style325"/>
              <w:jc w:val="right"/>
            </w:pPr>
            <w:r>
              <w:t>10</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9.5</w:t>
            </w:r>
          </w:p>
        </w:tc>
      </w:tr>
      <w:tr w:rsidR="000C5659">
        <w:tc>
          <w:tcPr>
            <w:tcW w:w="949" w:type="pct"/>
          </w:tcPr>
          <w:p w:rsidR="000C5659" w:rsidRDefault="000E33C4">
            <w:pPr>
              <w:pStyle w:val="Style325"/>
            </w:pPr>
            <w:r>
              <w:t>运输设备</w:t>
            </w:r>
          </w:p>
        </w:tc>
        <w:tc>
          <w:tcPr>
            <w:tcW w:w="1012" w:type="pct"/>
          </w:tcPr>
          <w:p w:rsidR="000C5659" w:rsidRDefault="000E33C4">
            <w:pPr>
              <w:pStyle w:val="Style325"/>
            </w:pPr>
            <w:r>
              <w:t>年限平均法</w:t>
            </w:r>
          </w:p>
        </w:tc>
        <w:tc>
          <w:tcPr>
            <w:tcW w:w="1012" w:type="pct"/>
          </w:tcPr>
          <w:p w:rsidR="000C5659" w:rsidRDefault="000E33C4">
            <w:pPr>
              <w:pStyle w:val="Style325"/>
              <w:jc w:val="right"/>
            </w:pPr>
            <w:r>
              <w:t>4</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23.75</w:t>
            </w:r>
          </w:p>
        </w:tc>
      </w:tr>
      <w:tr w:rsidR="000C5659">
        <w:tc>
          <w:tcPr>
            <w:tcW w:w="949" w:type="pct"/>
          </w:tcPr>
          <w:p w:rsidR="000C5659" w:rsidRDefault="000E33C4">
            <w:pPr>
              <w:pStyle w:val="Style325"/>
            </w:pPr>
            <w:r>
              <w:t>办公及仪器设备</w:t>
            </w:r>
          </w:p>
        </w:tc>
        <w:tc>
          <w:tcPr>
            <w:tcW w:w="1012" w:type="pct"/>
          </w:tcPr>
          <w:p w:rsidR="000C5659" w:rsidRDefault="000E33C4">
            <w:pPr>
              <w:pStyle w:val="Style325"/>
            </w:pPr>
            <w:r>
              <w:t>年限平均法</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19</w:t>
            </w:r>
          </w:p>
        </w:tc>
      </w:tr>
      <w:tr w:rsidR="000C5659">
        <w:tc>
          <w:tcPr>
            <w:tcW w:w="949" w:type="pct"/>
          </w:tcPr>
          <w:p w:rsidR="000C5659" w:rsidRDefault="000E33C4">
            <w:pPr>
              <w:pStyle w:val="Style325"/>
            </w:pPr>
            <w:r>
              <w:t>电子设备</w:t>
            </w:r>
          </w:p>
        </w:tc>
        <w:tc>
          <w:tcPr>
            <w:tcW w:w="1012" w:type="pct"/>
          </w:tcPr>
          <w:p w:rsidR="000C5659" w:rsidRDefault="000E33C4">
            <w:pPr>
              <w:pStyle w:val="Style325"/>
            </w:pPr>
            <w:r>
              <w:t>年限平均法</w:t>
            </w:r>
          </w:p>
        </w:tc>
        <w:tc>
          <w:tcPr>
            <w:tcW w:w="1012" w:type="pct"/>
          </w:tcPr>
          <w:p w:rsidR="000C5659" w:rsidRDefault="000E33C4">
            <w:pPr>
              <w:pStyle w:val="Style325"/>
              <w:jc w:val="right"/>
            </w:pPr>
            <w:r>
              <w:t>3</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31.67</w:t>
            </w:r>
          </w:p>
        </w:tc>
      </w:tr>
      <w:tr w:rsidR="000C5659">
        <w:tc>
          <w:tcPr>
            <w:tcW w:w="949" w:type="pct"/>
          </w:tcPr>
          <w:p w:rsidR="000C5659" w:rsidRDefault="000E33C4">
            <w:pPr>
              <w:pStyle w:val="Style325"/>
            </w:pPr>
            <w:r>
              <w:t>房屋附属设施</w:t>
            </w:r>
          </w:p>
        </w:tc>
        <w:tc>
          <w:tcPr>
            <w:tcW w:w="1012" w:type="pct"/>
          </w:tcPr>
          <w:p w:rsidR="000C5659" w:rsidRDefault="000E33C4">
            <w:pPr>
              <w:pStyle w:val="Style325"/>
            </w:pPr>
            <w:r>
              <w:t>年限平均法</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5</w:t>
            </w:r>
          </w:p>
        </w:tc>
        <w:tc>
          <w:tcPr>
            <w:tcW w:w="1012" w:type="pct"/>
          </w:tcPr>
          <w:p w:rsidR="000C5659" w:rsidRDefault="000E33C4">
            <w:pPr>
              <w:pStyle w:val="Style325"/>
              <w:jc w:val="right"/>
            </w:pPr>
            <w:r>
              <w:t>19</w:t>
            </w:r>
          </w:p>
        </w:tc>
      </w:tr>
      <w:tr w:rsidR="000C5659">
        <w:tc>
          <w:tcPr>
            <w:tcW w:w="949" w:type="pct"/>
          </w:tcPr>
          <w:p w:rsidR="000C5659" w:rsidRDefault="000E33C4">
            <w:pPr>
              <w:pStyle w:val="Style325"/>
            </w:pPr>
            <w:r>
              <w:t>光伏设备</w:t>
            </w:r>
          </w:p>
        </w:tc>
        <w:tc>
          <w:tcPr>
            <w:tcW w:w="1012" w:type="pct"/>
          </w:tcPr>
          <w:p w:rsidR="000C5659" w:rsidRDefault="000E33C4">
            <w:pPr>
              <w:pStyle w:val="Style325"/>
            </w:pPr>
            <w:r>
              <w:t>年限平均法</w:t>
            </w:r>
          </w:p>
        </w:tc>
        <w:tc>
          <w:tcPr>
            <w:tcW w:w="1012" w:type="pct"/>
          </w:tcPr>
          <w:p w:rsidR="000C5659" w:rsidRDefault="000E33C4">
            <w:pPr>
              <w:pStyle w:val="Style325"/>
              <w:jc w:val="right"/>
            </w:pPr>
            <w:r>
              <w:t>20</w:t>
            </w:r>
          </w:p>
        </w:tc>
        <w:tc>
          <w:tcPr>
            <w:tcW w:w="1012" w:type="pct"/>
          </w:tcPr>
          <w:p w:rsidR="000C5659" w:rsidRDefault="000E33C4">
            <w:pPr>
              <w:pStyle w:val="Style325"/>
              <w:jc w:val="right"/>
            </w:pPr>
            <w:r>
              <w:t>1</w:t>
            </w:r>
          </w:p>
        </w:tc>
        <w:tc>
          <w:tcPr>
            <w:tcW w:w="1012" w:type="pct"/>
          </w:tcPr>
          <w:p w:rsidR="000C5659" w:rsidRDefault="000E33C4">
            <w:pPr>
              <w:pStyle w:val="Style325"/>
              <w:jc w:val="right"/>
            </w:pPr>
            <w:r>
              <w:t>4.95</w:t>
            </w:r>
          </w:p>
        </w:tc>
      </w:tr>
    </w:tbl>
    <w:p w:rsidR="000C5659" w:rsidRDefault="000E33C4">
      <w:pPr>
        <w:pStyle w:val="Style325"/>
      </w:pPr>
      <w:r>
        <w:rPr>
          <w:rFonts w:eastAsiaTheme="minorEastAsia"/>
        </w:rPr>
        <w:t>固定资产折旧采用年限平均法分类计提，根据固定资产类别、预计使用寿命和预计净残值率确定折旧率。</w:t>
      </w:r>
      <w:r>
        <w:rPr>
          <w:rFonts w:eastAsiaTheme="minorEastAsia" w:hint="eastAsia"/>
        </w:rPr>
        <w:t>对计提了减值准备的固定资产，则在未来期间按扣除减值准备后的账面价值及依据尚可使用年限确定折旧额。</w:t>
      </w:r>
      <w:r>
        <w:rPr>
          <w:rFonts w:eastAsiaTheme="minorEastAsia"/>
        </w:rPr>
        <w:t>如固定资产各组成部分的使用寿命不同或者以不同方式为企业提供经济利益，则选择不同折旧率或折旧方法，分别计提折旧。</w:t>
      </w:r>
    </w:p>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在建工程</w:t>
      </w:r>
    </w:p>
    <w:p w:rsidR="000C5659" w:rsidRDefault="00220B84">
      <w:pPr>
        <w:rPr>
          <w:color w:val="000000" w:themeColor="text1"/>
        </w:rPr>
      </w:pPr>
      <w:sdt>
        <w:sdtPr>
          <w:rPr>
            <w:rFonts w:hint="eastAsia"/>
            <w:color w:val="000000" w:themeColor="text1"/>
          </w:rPr>
          <w:alias w:val="是否适用：在建工程_重要会计政策和估计[双击切换]"/>
          <w:tag w:val="_GBC_d9803b41f65e4a7fbebb412a259d9bf9"/>
          <w:id w:val="1286624709"/>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220B84">
      <w:pPr>
        <w:rPr>
          <w:color w:val="000000" w:themeColor="text1"/>
        </w:rPr>
      </w:pPr>
      <w:sdt>
        <w:sdtPr>
          <w:rPr>
            <w:rFonts w:hint="eastAsia"/>
            <w:color w:val="000000" w:themeColor="text1"/>
          </w:rPr>
          <w:alias w:val="在建工程核算方法"/>
          <w:tag w:val="_GBC_ed79f983df814c58add61776fe84c76e"/>
          <w:id w:val="-702093461"/>
          <w:placeholder>
            <w:docPart w:val="GBC22222222222222222222222222222"/>
          </w:placeholder>
        </w:sdtPr>
        <w:sdtEndPr/>
        <w:sdtContent>
          <w:sdt>
            <w:sdtPr>
              <w:rPr>
                <w:rFonts w:hint="eastAsia"/>
              </w:rPr>
              <w:alias w:val="在建工程核算方法"/>
              <w:tag w:val="_GBC_ed79f983df814c58add61776fe84c76e"/>
              <w:id w:val="-1416394832"/>
              <w:lock w:val="sdtLocked"/>
            </w:sdtPr>
            <w:sdtEndPr/>
            <w:sdtContent>
              <w:r w:rsidR="000E33C4">
                <w:rPr>
                  <w:rFonts w:hint="eastAsia"/>
                </w:rPr>
                <w:t>在建工程按实际发生的成本计量。实际成本包括建筑成本、安装成本、符合资本化条件的借款费用以及其他为使在建工程达到预定可使用状态前所发生的必要支出。在建工程在达到预定可使用状态时，转入固定资产并自次月起开始计提折旧。</w:t>
              </w:r>
            </w:sdtContent>
          </w:sdt>
        </w:sdtContent>
      </w:sdt>
    </w:p>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借款费用</w:t>
      </w:r>
    </w:p>
    <w:sdt>
      <w:sdtPr>
        <w:rPr>
          <w:rFonts w:hint="eastAsia"/>
          <w:color w:val="000000" w:themeColor="text1"/>
        </w:rPr>
        <w:alias w:val="是否适用：借款费用_重要会计政策和估计[双击切换]"/>
        <w:tag w:val="_GBC_3f3db73e5cb247009b3840143b5e6627"/>
        <w:id w:val="176341301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bCs/>
          <w:color w:val="000000" w:themeColor="text1"/>
          <w:sz w:val="21"/>
          <w:szCs w:val="21"/>
        </w:rPr>
        <w:alias w:val="借款费用的会计处理方法"/>
        <w:tag w:val="_GBC_2101c32d32c64f39a8b8fcd2b72dbb0a"/>
        <w:id w:val="-278177114"/>
        <w:placeholder>
          <w:docPart w:val="GBC22222222222222222222222222222"/>
        </w:placeholder>
      </w:sdtPr>
      <w:sdtEndPr/>
      <w:sdtContent>
        <w:sdt>
          <w:sdtPr>
            <w:rPr>
              <w:rFonts w:hint="eastAsia"/>
              <w:bCs/>
              <w:sz w:val="21"/>
              <w:szCs w:val="21"/>
            </w:rPr>
            <w:alias w:val="借款费用的会计处理方法"/>
            <w:tag w:val="_GBC_2101c32d32c64f39a8b8fcd2b72dbb0a"/>
            <w:id w:val="946355152"/>
            <w:lock w:val="sdtLocked"/>
          </w:sdtPr>
          <w:sdtEndPr/>
          <w:sdtContent>
            <w:p w:rsidR="000C5659" w:rsidRDefault="000E33C4">
              <w:pPr>
                <w:pStyle w:val="Style229"/>
                <w:rPr>
                  <w:sz w:val="21"/>
                  <w:szCs w:val="21"/>
                </w:rPr>
              </w:pPr>
              <w:r>
                <w:rPr>
                  <w:sz w:val="21"/>
                  <w:szCs w:val="21"/>
                </w:rPr>
                <w:t>1、借款费用资本化的确认原则</w:t>
              </w:r>
            </w:p>
            <w:p w:rsidR="000C5659" w:rsidRDefault="000E33C4">
              <w:pPr>
                <w:pStyle w:val="Style229"/>
                <w:rPr>
                  <w:sz w:val="21"/>
                  <w:szCs w:val="21"/>
                </w:rPr>
              </w:pPr>
              <w:r>
                <w:rPr>
                  <w:rFonts w:hint="eastAsia"/>
                  <w:sz w:val="21"/>
                  <w:szCs w:val="21"/>
                </w:rPr>
                <w:t>公司发生的借款费用，可直接归属于符合资本化条件的资产的购建或者生产的，予以资本化，计入相关资产成本；其他借款费用，在发生时根据其发生额确认为费用，计入当期损益。</w:t>
              </w:r>
            </w:p>
            <w:p w:rsidR="000C5659" w:rsidRDefault="000E33C4">
              <w:pPr>
                <w:pStyle w:val="Style229"/>
                <w:rPr>
                  <w:sz w:val="21"/>
                  <w:szCs w:val="21"/>
                </w:rPr>
              </w:pPr>
              <w:r>
                <w:rPr>
                  <w:rFonts w:hint="eastAsia"/>
                  <w:sz w:val="21"/>
                  <w:szCs w:val="21"/>
                </w:rPr>
                <w:t>符合资本化条件的资产，是指需要经过相当长时间的购建或者生产活动才能达到预定可使用或者可销售状态的固定资产、投资性房地产和存货等资产。</w:t>
              </w:r>
            </w:p>
            <w:p w:rsidR="000C5659" w:rsidRDefault="000E33C4">
              <w:pPr>
                <w:pStyle w:val="Style229"/>
                <w:rPr>
                  <w:sz w:val="21"/>
                  <w:szCs w:val="21"/>
                </w:rPr>
              </w:pPr>
              <w:r>
                <w:rPr>
                  <w:sz w:val="21"/>
                  <w:szCs w:val="21"/>
                </w:rPr>
                <w:t>2、借款费用资本化期间</w:t>
              </w:r>
            </w:p>
            <w:p w:rsidR="000C5659" w:rsidRDefault="000E33C4">
              <w:pPr>
                <w:pStyle w:val="Style229"/>
                <w:rPr>
                  <w:sz w:val="21"/>
                  <w:szCs w:val="21"/>
                </w:rPr>
              </w:pPr>
              <w:r>
                <w:rPr>
                  <w:rFonts w:hint="eastAsia"/>
                  <w:sz w:val="21"/>
                  <w:szCs w:val="21"/>
                </w:rPr>
                <w:t>资本化期间，指从借款费用开始资本化时点到停止资本化时点的期间，借款费用暂停资本化的期间不包括在内。</w:t>
              </w:r>
            </w:p>
            <w:p w:rsidR="000C5659" w:rsidRDefault="000E33C4">
              <w:pPr>
                <w:pStyle w:val="Style229"/>
                <w:rPr>
                  <w:sz w:val="21"/>
                  <w:szCs w:val="21"/>
                </w:rPr>
              </w:pPr>
              <w:r>
                <w:rPr>
                  <w:rFonts w:hint="eastAsia"/>
                  <w:sz w:val="21"/>
                  <w:szCs w:val="21"/>
                </w:rPr>
                <w:t>借款费用同时满足下列条件时开始资本化：</w:t>
              </w:r>
              <w:r>
                <w:rPr>
                  <w:sz w:val="21"/>
                  <w:szCs w:val="21"/>
                </w:rPr>
                <w:t xml:space="preserve"> </w:t>
              </w:r>
            </w:p>
            <w:p w:rsidR="000C5659" w:rsidRDefault="000E33C4">
              <w:pPr>
                <w:pStyle w:val="Style229"/>
                <w:rPr>
                  <w:sz w:val="21"/>
                  <w:szCs w:val="21"/>
                </w:rPr>
              </w:pPr>
              <w:r>
                <w:rPr>
                  <w:rFonts w:hint="eastAsia"/>
                  <w:sz w:val="21"/>
                  <w:szCs w:val="21"/>
                </w:rPr>
                <w:t>（</w:t>
              </w:r>
              <w:r>
                <w:rPr>
                  <w:sz w:val="21"/>
                  <w:szCs w:val="21"/>
                </w:rPr>
                <w:t xml:space="preserve">1）资产支出已经发生，资产支出包括为购建或者生产符合资本化条件的资产而以支付现金、转移非现金资产或者承担带息债务形式发生的支出； </w:t>
              </w:r>
            </w:p>
            <w:p w:rsidR="000C5659" w:rsidRDefault="000E33C4">
              <w:pPr>
                <w:pStyle w:val="Style229"/>
                <w:rPr>
                  <w:sz w:val="21"/>
                  <w:szCs w:val="21"/>
                </w:rPr>
              </w:pPr>
              <w:r>
                <w:rPr>
                  <w:rFonts w:hint="eastAsia"/>
                  <w:sz w:val="21"/>
                  <w:szCs w:val="21"/>
                </w:rPr>
                <w:t>（</w:t>
              </w:r>
              <w:r>
                <w:rPr>
                  <w:sz w:val="21"/>
                  <w:szCs w:val="21"/>
                </w:rPr>
                <w:t xml:space="preserve">2）借款费用已经发生； </w:t>
              </w:r>
            </w:p>
            <w:p w:rsidR="000C5659" w:rsidRDefault="000E33C4">
              <w:pPr>
                <w:pStyle w:val="Style229"/>
                <w:rPr>
                  <w:sz w:val="21"/>
                  <w:szCs w:val="21"/>
                </w:rPr>
              </w:pPr>
              <w:r>
                <w:rPr>
                  <w:rFonts w:hint="eastAsia"/>
                  <w:sz w:val="21"/>
                  <w:szCs w:val="21"/>
                </w:rPr>
                <w:t>（</w:t>
              </w:r>
              <w:r>
                <w:rPr>
                  <w:sz w:val="21"/>
                  <w:szCs w:val="21"/>
                </w:rPr>
                <w:t>3）为使资产达到预定可使用或者可销售状态所必要的购建或者生产活动已经开始。</w:t>
              </w:r>
            </w:p>
            <w:p w:rsidR="000C5659" w:rsidRDefault="000E33C4">
              <w:pPr>
                <w:pStyle w:val="Style229"/>
                <w:rPr>
                  <w:sz w:val="21"/>
                  <w:szCs w:val="21"/>
                </w:rPr>
              </w:pPr>
              <w:r>
                <w:rPr>
                  <w:rFonts w:hint="eastAsia"/>
                  <w:sz w:val="21"/>
                  <w:szCs w:val="21"/>
                </w:rPr>
                <w:t>当购建或者生产符合资本化条件的资产达到预定可使用或者可销售状态时，借款费用停止资本化。</w:t>
              </w:r>
            </w:p>
            <w:p w:rsidR="000C5659" w:rsidRDefault="000E33C4">
              <w:pPr>
                <w:pStyle w:val="Style229"/>
                <w:rPr>
                  <w:sz w:val="21"/>
                  <w:szCs w:val="21"/>
                </w:rPr>
              </w:pPr>
              <w:r>
                <w:rPr>
                  <w:sz w:val="21"/>
                  <w:szCs w:val="21"/>
                </w:rPr>
                <w:t>3、暂停资本化期间</w:t>
              </w:r>
            </w:p>
            <w:p w:rsidR="000C5659" w:rsidRDefault="000E33C4">
              <w:pPr>
                <w:pStyle w:val="Style229"/>
                <w:rPr>
                  <w:sz w:val="21"/>
                  <w:szCs w:val="21"/>
                </w:rPr>
              </w:pPr>
              <w:r>
                <w:rPr>
                  <w:rFonts w:hint="eastAsia"/>
                  <w:sz w:val="21"/>
                  <w:szCs w:val="21"/>
                </w:rPr>
                <w:t>符合资本化条件的资产在购建或生产过程中发生的非正常中断、且中断时间连续超过</w:t>
              </w:r>
              <w:r>
                <w:rPr>
                  <w:sz w:val="21"/>
                  <w:szCs w:val="21"/>
                </w:rPr>
                <w:t>3个月的，则借款费用暂停资本化；该项中断如是所购建或生产的符合资本化条件的资产达到预定可使用状</w:t>
              </w:r>
              <w:r>
                <w:rPr>
                  <w:sz w:val="21"/>
                  <w:szCs w:val="21"/>
                </w:rPr>
                <w:lastRenderedPageBreak/>
                <w:t>态或者可销售状态必要的程序，则借款费用继续资本化。在中断期间发生的借款费用确认为当期损益，直至资产的购建或者生产活动重新开始后借款费用继续资本化。</w:t>
              </w:r>
            </w:p>
            <w:p w:rsidR="000C5659" w:rsidRDefault="000E33C4">
              <w:pPr>
                <w:pStyle w:val="Style229"/>
                <w:rPr>
                  <w:sz w:val="21"/>
                  <w:szCs w:val="21"/>
                </w:rPr>
              </w:pPr>
              <w:r>
                <w:rPr>
                  <w:sz w:val="21"/>
                  <w:szCs w:val="21"/>
                </w:rPr>
                <w:t>4、借款费用资本化率、资本化金额的计算方法</w:t>
              </w:r>
            </w:p>
            <w:p w:rsidR="000C5659" w:rsidRDefault="000E33C4">
              <w:pPr>
                <w:pStyle w:val="Style229"/>
                <w:rPr>
                  <w:sz w:val="21"/>
                  <w:szCs w:val="21"/>
                </w:rPr>
              </w:pPr>
              <w:r>
                <w:rPr>
                  <w:rFonts w:hint="eastAsia"/>
                  <w:sz w:val="21"/>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0C5659" w:rsidRDefault="000E33C4">
              <w:pPr>
                <w:pStyle w:val="Style229"/>
                <w:rPr>
                  <w:sz w:val="21"/>
                  <w:szCs w:val="21"/>
                </w:rPr>
              </w:pPr>
              <w:r>
                <w:rPr>
                  <w:rFonts w:hint="eastAsia"/>
                  <w:sz w:val="21"/>
                  <w:szCs w:val="21"/>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实际利率计算确定。</w:t>
              </w:r>
            </w:p>
            <w:p w:rsidR="000C5659" w:rsidRDefault="000E33C4">
              <w:pPr>
                <w:pStyle w:val="Style229"/>
                <w:rPr>
                  <w:sz w:val="21"/>
                  <w:szCs w:val="21"/>
                </w:rPr>
              </w:pPr>
              <w:r>
                <w:rPr>
                  <w:rFonts w:hint="eastAsia"/>
                  <w:sz w:val="21"/>
                  <w:szCs w:val="21"/>
                </w:rPr>
                <w:t>在资本化期间内，外币专门借款本金及利息的汇兑差额，予以资本化，计入符合资本化条件的资产的成本。除外币专门借款之外的其他外币借款本金及其利息所产生的汇兑差额计入当期损益。</w:t>
              </w:r>
            </w:p>
            <w:p w:rsidR="000C5659" w:rsidRDefault="00220B84">
              <w:pPr>
                <w:rPr>
                  <w:color w:val="000000" w:themeColor="text1"/>
                </w:rPr>
              </w:pPr>
            </w:p>
          </w:sdtContent>
        </w:sdt>
      </w:sdtContent>
    </w:sdt>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生物资产</w:t>
      </w:r>
    </w:p>
    <w:sdt>
      <w:sdtPr>
        <w:rPr>
          <w:rFonts w:hint="eastAsia"/>
          <w:color w:val="000000" w:themeColor="text1"/>
        </w:rPr>
        <w:alias w:val="是否适用：生物资产_重要会计政策和估计[双击切换]"/>
        <w:tag w:val="_GBC_3c525bb9dd0340978b83e74317a40315"/>
        <w:id w:val="-32467257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油气资产</w:t>
      </w:r>
    </w:p>
    <w:sdt>
      <w:sdtPr>
        <w:rPr>
          <w:rFonts w:hint="eastAsia"/>
          <w:color w:val="000000" w:themeColor="text1"/>
        </w:rPr>
        <w:alias w:val="是否适用：油气资产_重要会计政策和估计[双击切换]"/>
        <w:tag w:val="_GBC_60d99a70431c4b868b6e953077cbfe88"/>
        <w:id w:val="-173314998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imes New Roman"/>
          <w:color w:val="000000" w:themeColor="text1"/>
          <w:kern w:val="2"/>
        </w:rPr>
      </w:pPr>
    </w:p>
    <w:p w:rsidR="000C5659" w:rsidRDefault="000E33C4" w:rsidP="000743DD">
      <w:pPr>
        <w:pStyle w:val="35"/>
        <w:numPr>
          <w:ilvl w:val="0"/>
          <w:numId w:val="40"/>
        </w:numPr>
        <w:rPr>
          <w:rFonts w:ascii="宋体" w:hAnsi="宋体"/>
          <w:color w:val="000000" w:themeColor="text1"/>
        </w:rPr>
      </w:pPr>
      <w:bookmarkStart w:id="125" w:name="_Hlk169007443"/>
      <w:r>
        <w:rPr>
          <w:rFonts w:ascii="宋体" w:hAnsi="宋体"/>
          <w:color w:val="000000" w:themeColor="text1"/>
        </w:rPr>
        <w:t>无形资产</w:t>
      </w:r>
    </w:p>
    <w:p w:rsidR="000C5659" w:rsidRDefault="000E33C4" w:rsidP="000743DD">
      <w:pPr>
        <w:pStyle w:val="43"/>
        <w:numPr>
          <w:ilvl w:val="3"/>
          <w:numId w:val="43"/>
        </w:numPr>
        <w:tabs>
          <w:tab w:val="left" w:pos="448"/>
        </w:tabs>
        <w:rPr>
          <w:rFonts w:ascii="宋体" w:hAnsi="宋体"/>
          <w:color w:val="000000" w:themeColor="text1"/>
        </w:rPr>
      </w:pPr>
      <w:r>
        <w:rPr>
          <w:rFonts w:ascii="宋体" w:hAnsi="宋体" w:hint="eastAsia"/>
          <w:color w:val="000000" w:themeColor="text1"/>
        </w:rPr>
        <w:t>使用寿命</w:t>
      </w:r>
      <w:r>
        <w:rPr>
          <w:rFonts w:hint="eastAsia"/>
          <w:color w:val="000000" w:themeColor="text1"/>
        </w:rPr>
        <w:t>及其确定依据、估计情况、摊销方法</w:t>
      </w:r>
      <w:r>
        <w:rPr>
          <w:rStyle w:val="Style156"/>
          <w:rFonts w:hint="eastAsia"/>
          <w:color w:val="000000" w:themeColor="text1"/>
        </w:rPr>
        <w:t>或复核程序</w:t>
      </w:r>
    </w:p>
    <w:sdt>
      <w:sdtPr>
        <w:rPr>
          <w:rFonts w:hint="eastAsia"/>
          <w:color w:val="000000" w:themeColor="text1"/>
        </w:rPr>
        <w:alias w:val="是否适用：无形资产计价方法、使用寿命、减值测试[双击切换]"/>
        <w:tag w:val="_GBC_a82698fb1ffd4e75b46a9c35938b4cf4"/>
        <w:id w:val="161247102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无形资产计价方法、使用寿命、减值测试"/>
        <w:tag w:val="_GBC_a9e64b18f452482eb6674ec605618dcc"/>
        <w:id w:val="-1959868589"/>
        <w:placeholder>
          <w:docPart w:val="GBC22222222222222222222222222222"/>
        </w:placeholder>
      </w:sdtPr>
      <w:sdtEndPr/>
      <w:sdtContent>
        <w:p w:rsidR="000C5659" w:rsidRDefault="000E33C4">
          <w:pPr>
            <w:pStyle w:val="Style229"/>
            <w:rPr>
              <w:sz w:val="21"/>
              <w:szCs w:val="21"/>
            </w:rPr>
          </w:pPr>
          <w:r>
            <w:rPr>
              <w:rFonts w:hint="eastAsia"/>
              <w:sz w:val="21"/>
              <w:szCs w:val="21"/>
            </w:rPr>
            <w:t>（</w:t>
          </w:r>
          <w:r>
            <w:rPr>
              <w:sz w:val="21"/>
              <w:szCs w:val="21"/>
            </w:rPr>
            <w:t>1）公司取得无形资产时按成本进行初始计量；</w:t>
          </w:r>
        </w:p>
        <w:p w:rsidR="000C5659" w:rsidRDefault="000E33C4">
          <w:pPr>
            <w:pStyle w:val="Style229"/>
            <w:rPr>
              <w:sz w:val="21"/>
              <w:szCs w:val="21"/>
            </w:rPr>
          </w:pPr>
          <w:r>
            <w:rPr>
              <w:rFonts w:hint="eastAsia"/>
              <w:sz w:val="21"/>
              <w:szCs w:val="21"/>
            </w:rPr>
            <w:t>外购无形资产的成本，包括购买价款、相关税费以及直接归属于使该项资产达到预定用途所发生的其他支出。</w:t>
          </w:r>
        </w:p>
        <w:p w:rsidR="000C5659" w:rsidRDefault="000E33C4">
          <w:pPr>
            <w:pStyle w:val="Style229"/>
            <w:rPr>
              <w:sz w:val="21"/>
              <w:szCs w:val="21"/>
            </w:rPr>
          </w:pPr>
          <w:r>
            <w:rPr>
              <w:rFonts w:hint="eastAsia"/>
              <w:sz w:val="21"/>
              <w:szCs w:val="21"/>
            </w:rPr>
            <w:t>（</w:t>
          </w:r>
          <w:r>
            <w:rPr>
              <w:sz w:val="21"/>
              <w:szCs w:val="21"/>
            </w:rPr>
            <w:t>2）后续计量</w:t>
          </w:r>
        </w:p>
        <w:p w:rsidR="000C5659" w:rsidRDefault="000E33C4">
          <w:pPr>
            <w:pStyle w:val="Style229"/>
            <w:rPr>
              <w:sz w:val="21"/>
              <w:szCs w:val="21"/>
            </w:rPr>
          </w:pPr>
          <w:r>
            <w:rPr>
              <w:rFonts w:hint="eastAsia"/>
              <w:sz w:val="21"/>
              <w:szCs w:val="21"/>
            </w:rPr>
            <w:t>在取得无形资产时分析判断其使用寿命。</w:t>
          </w:r>
        </w:p>
        <w:p w:rsidR="000C5659" w:rsidRDefault="000E33C4">
          <w:pPr>
            <w:pStyle w:val="Style325"/>
          </w:pPr>
          <w:r>
            <w:rPr>
              <w:rFonts w:hint="eastAsia"/>
            </w:rPr>
            <w:t>对于使用寿命有限的无形资产，在为企业带来经济利益的期限内摊销；无法预见无形资产为企业带来经济利益期限的，视为使用寿命不确定的无形资产，不予摊销。</w:t>
          </w:r>
        </w:p>
        <w:p w:rsidR="000C5659" w:rsidRDefault="000E33C4">
          <w:pPr>
            <w:pStyle w:val="Style229"/>
            <w:rPr>
              <w:sz w:val="21"/>
              <w:szCs w:val="21"/>
            </w:rPr>
          </w:pPr>
          <w:r>
            <w:rPr>
              <w:rFonts w:hint="eastAsia"/>
              <w:sz w:val="21"/>
              <w:szCs w:val="21"/>
            </w:rPr>
            <w:t>（</w:t>
          </w:r>
          <w:r>
            <w:rPr>
              <w:sz w:val="21"/>
              <w:szCs w:val="21"/>
            </w:rPr>
            <w:t>3）使用寿命有限的无形资产的使用寿命估计情况</w:t>
          </w:r>
        </w:p>
        <w:tbl>
          <w:tblPr>
            <w:tblW w:w="6720" w:type="dxa"/>
            <w:tblInd w:w="108" w:type="dxa"/>
            <w:tblLook w:val="04A0" w:firstRow="1" w:lastRow="0" w:firstColumn="1" w:lastColumn="0" w:noHBand="0" w:noVBand="1"/>
          </w:tblPr>
          <w:tblGrid>
            <w:gridCol w:w="2320"/>
            <w:gridCol w:w="2200"/>
            <w:gridCol w:w="2200"/>
          </w:tblGrid>
          <w:tr w:rsidR="000C5659">
            <w:trPr>
              <w:trHeight w:val="28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项目</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预计使用寿命</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依据</w:t>
                </w:r>
              </w:p>
            </w:tc>
          </w:tr>
          <w:tr w:rsidR="000C5659">
            <w:trPr>
              <w:trHeight w:val="280"/>
            </w:trPr>
            <w:tc>
              <w:tcPr>
                <w:tcW w:w="2320" w:type="dxa"/>
                <w:tcBorders>
                  <w:top w:val="nil"/>
                  <w:left w:val="single" w:sz="4" w:space="0" w:color="auto"/>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土地使用权</w:t>
                </w:r>
              </w:p>
            </w:tc>
            <w:tc>
              <w:tcPr>
                <w:tcW w:w="2200" w:type="dxa"/>
                <w:tcBorders>
                  <w:top w:val="nil"/>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50年</w:t>
                </w:r>
              </w:p>
            </w:tc>
            <w:tc>
              <w:tcPr>
                <w:tcW w:w="2200" w:type="dxa"/>
                <w:tcBorders>
                  <w:top w:val="nil"/>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土地使用权证记载使用年限</w:t>
                </w:r>
              </w:p>
            </w:tc>
          </w:tr>
          <w:tr w:rsidR="000C5659">
            <w:trPr>
              <w:trHeight w:val="280"/>
            </w:trPr>
            <w:tc>
              <w:tcPr>
                <w:tcW w:w="2320" w:type="dxa"/>
                <w:tcBorders>
                  <w:top w:val="nil"/>
                  <w:left w:val="single" w:sz="4" w:space="0" w:color="auto"/>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软件</w:t>
                </w:r>
              </w:p>
            </w:tc>
            <w:tc>
              <w:tcPr>
                <w:tcW w:w="2200" w:type="dxa"/>
                <w:tcBorders>
                  <w:top w:val="nil"/>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2年</w:t>
                </w:r>
              </w:p>
            </w:tc>
            <w:tc>
              <w:tcPr>
                <w:tcW w:w="2200" w:type="dxa"/>
                <w:tcBorders>
                  <w:top w:val="nil"/>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预计可产生经济利益的年限</w:t>
                </w:r>
              </w:p>
            </w:tc>
          </w:tr>
          <w:tr w:rsidR="000C5659">
            <w:trPr>
              <w:trHeight w:val="28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659" w:rsidRDefault="000E33C4">
                <w:pPr>
                  <w:rPr>
                    <w:color w:val="000000"/>
                  </w:rPr>
                </w:pPr>
                <w:r>
                  <w:rPr>
                    <w:rFonts w:hint="eastAsia"/>
                  </w:rPr>
                  <w:t>专利权</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1</w:t>
                </w:r>
                <w:r>
                  <w:rPr>
                    <w:color w:val="000000"/>
                  </w:rPr>
                  <w:t>0</w:t>
                </w:r>
                <w:r>
                  <w:rPr>
                    <w:rFonts w:hint="eastAsia"/>
                    <w:color w:val="000000"/>
                  </w:rPr>
                  <w:t>年</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预计可产生经济利益的年限</w:t>
                </w:r>
              </w:p>
            </w:tc>
          </w:tr>
          <w:tr w:rsidR="000C5659">
            <w:trPr>
              <w:trHeight w:val="28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659" w:rsidRDefault="000E33C4">
                <w:pPr>
                  <w:rPr>
                    <w:color w:val="000000"/>
                  </w:rPr>
                </w:pPr>
                <w:r>
                  <w:rPr>
                    <w:rFonts w:hint="eastAsia"/>
                  </w:rPr>
                  <w:t>专利使用权</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rPr>
                  <w:t>3年与授予使用到期日孰短</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预计可产生经济利益的年限</w:t>
                </w:r>
              </w:p>
            </w:tc>
          </w:tr>
          <w:tr w:rsidR="000C5659">
            <w:trPr>
              <w:trHeight w:val="28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659" w:rsidRDefault="000E33C4">
                <w:r>
                  <w:rPr>
                    <w:rFonts w:hint="eastAsia"/>
                  </w:rPr>
                  <w:t>商标</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r>
                  <w:rPr>
                    <w:rFonts w:hint="eastAsia"/>
                    <w:color w:val="000000"/>
                  </w:rPr>
                  <w:t>1</w:t>
                </w:r>
                <w:r>
                  <w:rPr>
                    <w:color w:val="000000"/>
                  </w:rPr>
                  <w:t>0</w:t>
                </w:r>
                <w:r>
                  <w:rPr>
                    <w:rFonts w:hint="eastAsia"/>
                    <w:color w:val="000000"/>
                  </w:rPr>
                  <w:t>年</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0C5659" w:rsidRDefault="000E33C4">
                <w:pPr>
                  <w:rPr>
                    <w:color w:val="000000"/>
                  </w:rPr>
                </w:pPr>
                <w:r>
                  <w:rPr>
                    <w:rFonts w:hint="eastAsia"/>
                    <w:color w:val="000000"/>
                  </w:rPr>
                  <w:t>预计可产生经济利益的年限</w:t>
                </w:r>
              </w:p>
            </w:tc>
          </w:tr>
        </w:tbl>
        <w:p w:rsidR="000C5659" w:rsidRDefault="00220B84">
          <w:pPr>
            <w:pStyle w:val="Style229"/>
            <w:rPr>
              <w:sz w:val="21"/>
              <w:szCs w:val="21"/>
            </w:rPr>
          </w:pPr>
        </w:p>
      </w:sdtContent>
    </w:sdt>
    <w:p w:rsidR="000C5659" w:rsidRDefault="000E33C4" w:rsidP="000743DD">
      <w:pPr>
        <w:pStyle w:val="43"/>
        <w:numPr>
          <w:ilvl w:val="3"/>
          <w:numId w:val="43"/>
        </w:numPr>
        <w:tabs>
          <w:tab w:val="left" w:pos="448"/>
        </w:tabs>
        <w:rPr>
          <w:rFonts w:ascii="宋体" w:hAnsi="宋体"/>
          <w:color w:val="000000" w:themeColor="text1"/>
        </w:rPr>
      </w:pPr>
      <w:r>
        <w:rPr>
          <w:rFonts w:ascii="宋体" w:hAnsi="宋体" w:hint="eastAsia"/>
          <w:color w:val="000000" w:themeColor="text1"/>
        </w:rPr>
        <w:t>研发支出的归集范围及相关会计处理方法</w:t>
      </w:r>
    </w:p>
    <w:sdt>
      <w:sdtPr>
        <w:rPr>
          <w:rFonts w:hint="eastAsia"/>
          <w:color w:val="000000" w:themeColor="text1"/>
        </w:rPr>
        <w:alias w:val="是否适用：无形资产内部研究开发支出会计政策[双击切换]"/>
        <w:tag w:val="_GBC_c3cef4c9f19749b8a53b7f49d3b7bac3"/>
        <w:id w:val="54433216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无形资产内部研究、开发支出会计政策"/>
        <w:tag w:val="_GBC_af7b1338d88344dfb8cd34ed66bfe672"/>
        <w:id w:val="155583990"/>
        <w:placeholder>
          <w:docPart w:val="GBC22222222222222222222222222222"/>
        </w:placeholder>
      </w:sdtPr>
      <w:sdtEndPr/>
      <w:sdtContent>
        <w:sdt>
          <w:sdtPr>
            <w:rPr>
              <w:sz w:val="21"/>
              <w:szCs w:val="21"/>
            </w:rPr>
            <w:alias w:val="无形资产内部研究、开发支出会计政策"/>
            <w:tag w:val="_GBC_af7b1338d88344dfb8cd34ed66bfe672"/>
            <w:id w:val="-2129925541"/>
            <w:lock w:val="sdtLocked"/>
          </w:sdtPr>
          <w:sdtEndPr/>
          <w:sdtContent>
            <w:p w:rsidR="000C5659" w:rsidRDefault="000E33C4">
              <w:pPr>
                <w:pStyle w:val="Style229"/>
                <w:rPr>
                  <w:sz w:val="21"/>
                  <w:szCs w:val="21"/>
                </w:rPr>
              </w:pPr>
              <w:r>
                <w:rPr>
                  <w:rFonts w:hint="eastAsia"/>
                  <w:sz w:val="21"/>
                  <w:szCs w:val="21"/>
                </w:rPr>
                <w:t>1、公司内部研究开发项目的支出分为研究阶段支出和开发阶段支出。</w:t>
              </w:r>
            </w:p>
            <w:p w:rsidR="000C5659" w:rsidRDefault="000E33C4">
              <w:pPr>
                <w:pStyle w:val="Style229"/>
                <w:rPr>
                  <w:sz w:val="21"/>
                  <w:szCs w:val="21"/>
                </w:rPr>
              </w:pPr>
              <w:r>
                <w:rPr>
                  <w:rFonts w:hint="eastAsia"/>
                  <w:sz w:val="21"/>
                  <w:szCs w:val="21"/>
                </w:rPr>
                <w:t>研究阶段：为获取并理解新的科学或技术知识等而进行的独创性的有计划调查、研究活动的阶段。</w:t>
              </w:r>
            </w:p>
            <w:p w:rsidR="000C5659" w:rsidRDefault="000E33C4">
              <w:pPr>
                <w:pStyle w:val="Style229"/>
                <w:rPr>
                  <w:sz w:val="21"/>
                  <w:szCs w:val="21"/>
                </w:rPr>
              </w:pPr>
              <w:r>
                <w:rPr>
                  <w:rFonts w:hint="eastAsia"/>
                  <w:sz w:val="21"/>
                  <w:szCs w:val="21"/>
                </w:rPr>
                <w:t>开发阶段：在进行商业性生产或使用前，将研究成果或其他知识应用于某项计划或设计，以生产出新的或具有实质性改进的材料、装置、产品等活动的阶段。</w:t>
              </w:r>
            </w:p>
            <w:p w:rsidR="000C5659" w:rsidRDefault="000E33C4">
              <w:pPr>
                <w:pStyle w:val="Style229"/>
                <w:rPr>
                  <w:sz w:val="21"/>
                  <w:szCs w:val="21"/>
                </w:rPr>
              </w:pPr>
              <w:r>
                <w:rPr>
                  <w:rFonts w:hint="eastAsia"/>
                  <w:sz w:val="21"/>
                  <w:szCs w:val="21"/>
                </w:rPr>
                <w:lastRenderedPageBreak/>
                <w:t>2、研究阶段的支出，于发生时计入当期损益。开发阶段的支出同时满足下列条件的，确认为无形资产，不能满足下述条件的开发阶段的支出计入当期损益：</w:t>
              </w:r>
            </w:p>
            <w:p w:rsidR="000C5659" w:rsidRDefault="000E33C4">
              <w:pPr>
                <w:pStyle w:val="Style229"/>
                <w:rPr>
                  <w:sz w:val="21"/>
                  <w:szCs w:val="21"/>
                </w:rPr>
              </w:pPr>
              <w:r>
                <w:rPr>
                  <w:sz w:val="21"/>
                  <w:szCs w:val="21"/>
                </w:rPr>
                <w:t>(1) 完成该无形资产以使其能够使用或出售在技术上具有可行性；</w:t>
              </w:r>
            </w:p>
            <w:p w:rsidR="000C5659" w:rsidRDefault="000E33C4">
              <w:pPr>
                <w:pStyle w:val="Style229"/>
                <w:rPr>
                  <w:sz w:val="21"/>
                  <w:szCs w:val="21"/>
                </w:rPr>
              </w:pPr>
              <w:r>
                <w:rPr>
                  <w:sz w:val="21"/>
                  <w:szCs w:val="21"/>
                </w:rPr>
                <w:t>(2) 具有完成该无形资产并使用或出售的意图；</w:t>
              </w:r>
            </w:p>
            <w:p w:rsidR="000C5659" w:rsidRDefault="000E33C4">
              <w:pPr>
                <w:pStyle w:val="Style229"/>
                <w:rPr>
                  <w:sz w:val="21"/>
                  <w:szCs w:val="21"/>
                </w:rPr>
              </w:pPr>
              <w:r>
                <w:rPr>
                  <w:sz w:val="21"/>
                  <w:szCs w:val="21"/>
                </w:rPr>
                <w:t>(3) 无形资产产生经济利益的方式，包括能够证明运用该无形资产生产的产品存在市场或无形资产自身存在市场，无形资产将在内部使用的，能够证明其有用性；</w:t>
              </w:r>
            </w:p>
            <w:p w:rsidR="000C5659" w:rsidRDefault="000E33C4">
              <w:pPr>
                <w:pStyle w:val="Style229"/>
                <w:rPr>
                  <w:sz w:val="21"/>
                  <w:szCs w:val="21"/>
                </w:rPr>
              </w:pPr>
              <w:r>
                <w:rPr>
                  <w:sz w:val="21"/>
                  <w:szCs w:val="21"/>
                </w:rPr>
                <w:t>(4) 有足够的技术、财务资源和其他资源支持，以完成该无形资产的开发，并有能力使用或出售该无形资产；</w:t>
              </w:r>
            </w:p>
            <w:p w:rsidR="000C5659" w:rsidRDefault="000E33C4">
              <w:pPr>
                <w:pStyle w:val="Style229"/>
                <w:rPr>
                  <w:sz w:val="21"/>
                  <w:szCs w:val="21"/>
                </w:rPr>
              </w:pPr>
              <w:r>
                <w:rPr>
                  <w:sz w:val="21"/>
                  <w:szCs w:val="21"/>
                </w:rPr>
                <w:t>(5) 归属于该无形资产开发阶段的支出能够可靠地计量。</w:t>
              </w:r>
            </w:p>
            <w:p w:rsidR="000C5659" w:rsidRDefault="000E33C4">
              <w:pPr>
                <w:pStyle w:val="Style229"/>
                <w:rPr>
                  <w:color w:val="000000" w:themeColor="text1"/>
                </w:rPr>
              </w:pPr>
              <w:r>
                <w:rPr>
                  <w:rFonts w:hint="eastAsia"/>
                  <w:sz w:val="21"/>
                  <w:szCs w:val="21"/>
                </w:rPr>
                <w:t>无法区分研究阶段支出和开发阶段支出的，将发生的研发支出全部计入当期损益。</w:t>
              </w:r>
            </w:p>
          </w:sdtContent>
        </w:sdt>
      </w:sdtContent>
    </w:sdt>
    <w:bookmarkEnd w:id="125"/>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szCs w:val="21"/>
        </w:rPr>
      </w:pPr>
      <w:bookmarkStart w:id="126" w:name="_Hlk44405424"/>
      <w:r>
        <w:rPr>
          <w:rFonts w:ascii="宋体" w:hAnsi="宋体" w:hint="eastAsia"/>
          <w:color w:val="000000" w:themeColor="text1"/>
          <w:szCs w:val="21"/>
        </w:rPr>
        <w:t>长期资产减值</w:t>
      </w:r>
    </w:p>
    <w:sdt>
      <w:sdtPr>
        <w:rPr>
          <w:rFonts w:hint="eastAsia"/>
          <w:color w:val="000000" w:themeColor="text1"/>
        </w:rPr>
        <w:alias w:val="是否适用：长期资产减值_重要会计政策和估计[双击切换]"/>
        <w:tag w:val="_GBC_d0feb744f96144ffa5335cd194c6cdf9"/>
        <w:id w:val="-1414345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非金融长期资产减值测试方法及会计处理方法"/>
        <w:tag w:val="_GBC_e8cb396d7101453b9e9cd1bc11b8633e"/>
        <w:id w:val="1680623294"/>
        <w:placeholder>
          <w:docPart w:val="GBC22222222222222222222222222222"/>
        </w:placeholder>
      </w:sdtPr>
      <w:sdtEndPr/>
      <w:sdtContent>
        <w:p w:rsidR="000C5659" w:rsidRDefault="000E33C4">
          <w:pPr>
            <w:rPr>
              <w:rFonts w:eastAsiaTheme="minorEastAsia"/>
            </w:rPr>
          </w:pPr>
          <w:r>
            <w:rPr>
              <w:rFonts w:eastAsiaTheme="minorEastAsia"/>
            </w:rPr>
            <w:t>长期股权投资、采用成本模式计量的投资性房地产</w:t>
          </w:r>
          <w:r>
            <w:rPr>
              <w:rFonts w:eastAsiaTheme="minorEastAsia" w:hint="eastAsia"/>
            </w:rPr>
            <w:t>、</w:t>
          </w:r>
          <w:r>
            <w:rPr>
              <w:rFonts w:eastAsiaTheme="minorEastAsia"/>
            </w:rPr>
            <w:t>固定资产、在建工程、</w:t>
          </w:r>
          <w:r>
            <w:rPr>
              <w:rFonts w:eastAsiaTheme="minorEastAsia" w:hint="eastAsia"/>
            </w:rPr>
            <w:t>使用权资产</w:t>
          </w:r>
          <w:r>
            <w:rPr>
              <w:rFonts w:eastAsiaTheme="minorEastAsia"/>
            </w:rPr>
            <w:t>、使用寿命有限的无形资产</w:t>
          </w:r>
          <w:r>
            <w:rPr>
              <w:rFonts w:eastAsiaTheme="minorEastAsia" w:hint="eastAsia"/>
            </w:rPr>
            <w:t>、油气资产</w:t>
          </w:r>
          <w:r>
            <w:rPr>
              <w:rFonts w:eastAsiaTheme="minorEastAsia"/>
            </w:rPr>
            <w:t>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0C5659" w:rsidRDefault="000E33C4">
          <w:pPr>
            <w:rPr>
              <w:rFonts w:eastAsiaTheme="minorEastAsia"/>
            </w:rPr>
          </w:pPr>
          <w:r>
            <w:rPr>
              <w:rFonts w:eastAsiaTheme="minorEastAsia" w:hint="eastAsia"/>
            </w:rPr>
            <w:t>对于因企业合并形成的商誉、使用寿命不确定的无形资产、尚未达到可使用状态的无形资产，无论是否存在减值迹象，至少在每年年度终了进行减值测试。</w:t>
          </w:r>
          <w:r>
            <w:rPr>
              <w:rFonts w:ascii="Arial" w:hAnsi="Arial" w:cs="Arial"/>
              <w:color w:val="0000FF"/>
            </w:rPr>
            <w:t xml:space="preserve">  </w:t>
          </w:r>
        </w:p>
        <w:p w:rsidR="000C5659" w:rsidRDefault="000E33C4">
          <w:pPr>
            <w:rPr>
              <w:rFonts w:eastAsiaTheme="minorEastAsia"/>
            </w:rPr>
          </w:pPr>
          <w:r>
            <w:rPr>
              <w:rFonts w:eastAsiaTheme="minorEastAsia"/>
            </w:rPr>
            <w:t>本公司进行商誉减值测试，对于因企业合并形成的商誉的账面价值，自购买日起按照合理的方法分摊至相关的资产组；难以分摊至相关的资产组的，将其分摊至相关的资产组组合。</w:t>
          </w:r>
          <w:r>
            <w:rPr>
              <w:rFonts w:eastAsiaTheme="minorEastAsia" w:hint="eastAsia"/>
            </w:rPr>
            <w:t>相关的资产组或者资产组组合，是能够从企业合并的协同效应中受益的资产组或者资产组组合。</w:t>
          </w:r>
          <w:r>
            <w:rPr>
              <w:rFonts w:ascii="Arial" w:hAnsi="Arial" w:cs="Arial"/>
              <w:color w:val="0000FF"/>
            </w:rPr>
            <w:t xml:space="preserve">  </w:t>
          </w:r>
        </w:p>
        <w:p w:rsidR="000C5659" w:rsidRDefault="000E33C4">
          <w:pPr>
            <w:rPr>
              <w:color w:val="000000" w:themeColor="text1"/>
            </w:rPr>
          </w:pPr>
          <w:r>
            <w:rPr>
              <w:rFonts w:eastAsiaTheme="minorEastAsia"/>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w:t>
          </w:r>
          <w:r>
            <w:rPr>
              <w:rFonts w:eastAsiaTheme="minorEastAsia" w:hint="eastAsia"/>
            </w:rPr>
            <w:t>然后</w:t>
          </w:r>
          <w:r>
            <w:rPr>
              <w:rFonts w:eastAsiaTheme="minorEastAsia"/>
            </w:rPr>
            <w:t>对包含商誉的资产组或者资产组组合进行减值测试，比较</w:t>
          </w:r>
          <w:r>
            <w:rPr>
              <w:rFonts w:eastAsiaTheme="minorEastAsia" w:hint="eastAsia"/>
            </w:rPr>
            <w:t>其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r>
            <w:rPr>
              <w:rFonts w:eastAsiaTheme="minorEastAsia"/>
            </w:rPr>
            <w:cr/>
            <w:t>上述资产减值损失一经确认，在以后会计期间不予转回。</w:t>
          </w:r>
        </w:p>
      </w:sdtContent>
    </w:sdt>
    <w:bookmarkEnd w:id="126"/>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bookmarkStart w:id="127" w:name="_Hlk44405475"/>
      <w:r>
        <w:rPr>
          <w:rFonts w:ascii="宋体" w:hAnsi="宋体"/>
          <w:color w:val="000000" w:themeColor="text1"/>
        </w:rPr>
        <w:t>长期待摊费用</w:t>
      </w:r>
    </w:p>
    <w:sdt>
      <w:sdtPr>
        <w:rPr>
          <w:rFonts w:hint="eastAsia"/>
          <w:color w:val="000000" w:themeColor="text1"/>
        </w:rPr>
        <w:alias w:val="是否适用：长期待摊费用_重要会计政策和估计[双击切换]"/>
        <w:tag w:val="_GBC_75739ccc62204f0490525060b33e330f"/>
        <w:id w:val="8916972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开办费、长期待摊费用摊销方法"/>
        <w:tag w:val="_GBC_e4e695ce4aea4c878acb6f8ad7190139"/>
        <w:id w:val="1201825707"/>
        <w:placeholder>
          <w:docPart w:val="GBC22222222222222222222222222222"/>
        </w:placeholder>
      </w:sdtPr>
      <w:sdtEndPr/>
      <w:sdtContent>
        <w:sdt>
          <w:sdtPr>
            <w:rPr>
              <w:rFonts w:hint="eastAsia"/>
            </w:rPr>
            <w:alias w:val="开办费、长期待摊费用摊销方法"/>
            <w:tag w:val="_GBC_e4e695ce4aea4c878acb6f8ad7190139"/>
            <w:id w:val="1395468324"/>
            <w:lock w:val="sdtLocked"/>
          </w:sdtPr>
          <w:sdtEndPr/>
          <w:sdtContent>
            <w:p w:rsidR="000C5659" w:rsidRDefault="000E33C4">
              <w:pPr>
                <w:rPr>
                  <w:rFonts w:eastAsiaTheme="minorEastAsia"/>
                </w:rPr>
              </w:pPr>
              <w:r>
                <w:rPr>
                  <w:rFonts w:eastAsiaTheme="minorEastAsia"/>
                </w:rPr>
                <w:t>长期待摊费用为已经发生但应由本期和以后各期负担的分摊期限在一年以上的各项费用。</w:t>
              </w:r>
            </w:p>
            <w:p w:rsidR="000C5659" w:rsidRDefault="000E33C4">
              <w:pPr>
                <w:rPr>
                  <w:rFonts w:eastAsiaTheme="minorEastAsia"/>
                </w:rPr>
              </w:pPr>
              <w:r>
                <w:rPr>
                  <w:rFonts w:eastAsiaTheme="minorEastAsia" w:hint="eastAsia"/>
                </w:rPr>
                <w:t>各项费用的摊销期限及摊销方法为：</w:t>
              </w:r>
            </w:p>
            <w:tbl>
              <w:tblPr>
                <w:tblStyle w:val="g4"/>
                <w:tblW w:w="458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3333"/>
              </w:tblGrid>
              <w:tr w:rsidR="000C5659">
                <w:trPr>
                  <w:tblHeader/>
                </w:trPr>
                <w:tc>
                  <w:tcPr>
                    <w:tcW w:w="2938" w:type="pct"/>
                    <w:vAlign w:val="center"/>
                  </w:tcPr>
                  <w:p w:rsidR="000C5659" w:rsidRDefault="000E33C4">
                    <w:pPr>
                      <w:adjustRightInd w:val="0"/>
                      <w:snapToGrid w:val="0"/>
                      <w:ind w:leftChars="63" w:left="132"/>
                      <w:jc w:val="center"/>
                      <w:rPr>
                        <w:rFonts w:ascii="Times New Roman" w:hAnsi="Times New Roman" w:cs="Times New Roman"/>
                      </w:rPr>
                    </w:pPr>
                    <w:r>
                      <w:rPr>
                        <w:rFonts w:ascii="Times New Roman" w:hAnsi="Times New Roman" w:cs="Times New Roman" w:hint="eastAsia"/>
                      </w:rPr>
                      <w:t>类</w:t>
                    </w:r>
                    <w:r>
                      <w:rPr>
                        <w:rFonts w:ascii="Times New Roman" w:hAnsi="Times New Roman" w:cs="Times New Roman"/>
                      </w:rPr>
                      <w:t xml:space="preserve">  </w:t>
                    </w:r>
                    <w:r>
                      <w:rPr>
                        <w:rFonts w:ascii="Times New Roman" w:hAnsi="Times New Roman" w:cs="Times New Roman" w:hint="eastAsia"/>
                      </w:rPr>
                      <w:t>别</w:t>
                    </w:r>
                  </w:p>
                </w:tc>
                <w:tc>
                  <w:tcPr>
                    <w:tcW w:w="2062" w:type="pct"/>
                    <w:vAlign w:val="center"/>
                  </w:tcPr>
                  <w:p w:rsidR="000C5659" w:rsidRDefault="000E33C4">
                    <w:pPr>
                      <w:adjustRightInd w:val="0"/>
                      <w:snapToGrid w:val="0"/>
                      <w:ind w:leftChars="63" w:left="132"/>
                      <w:jc w:val="center"/>
                      <w:rPr>
                        <w:rFonts w:ascii="Times New Roman" w:hAnsi="Times New Roman" w:cs="Times New Roman"/>
                      </w:rPr>
                    </w:pPr>
                    <w:r>
                      <w:rPr>
                        <w:rFonts w:ascii="Times New Roman" w:hAnsi="Times New Roman" w:cs="Times New Roman" w:hint="eastAsia"/>
                      </w:rPr>
                      <w:t>摊销年限（年）</w:t>
                    </w:r>
                  </w:p>
                </w:tc>
              </w:tr>
              <w:tr w:rsidR="000C5659">
                <w:tc>
                  <w:tcPr>
                    <w:tcW w:w="2938" w:type="pct"/>
                    <w:vAlign w:val="center"/>
                  </w:tcPr>
                  <w:p w:rsidR="000C5659" w:rsidRDefault="000E33C4">
                    <w:pPr>
                      <w:adjustRightInd w:val="0"/>
                      <w:snapToGrid w:val="0"/>
                      <w:rPr>
                        <w:rFonts w:ascii="Times New Roman" w:hAnsi="Times New Roman" w:cs="Times New Roman"/>
                      </w:rPr>
                    </w:pPr>
                    <w:r>
                      <w:rPr>
                        <w:rFonts w:ascii="Times New Roman" w:hAnsi="Times New Roman" w:cs="Times New Roman" w:hint="eastAsia"/>
                      </w:rPr>
                      <w:t>模具费</w:t>
                    </w:r>
                  </w:p>
                </w:tc>
                <w:tc>
                  <w:tcPr>
                    <w:tcW w:w="2062" w:type="pct"/>
                    <w:vAlign w:val="center"/>
                  </w:tcPr>
                  <w:p w:rsidR="000C5659" w:rsidRDefault="000E33C4">
                    <w:pPr>
                      <w:adjustRightInd w:val="0"/>
                      <w:snapToGrid w:val="0"/>
                      <w:ind w:leftChars="63" w:left="132"/>
                      <w:jc w:val="center"/>
                      <w:rPr>
                        <w:rFonts w:ascii="Times New Roman" w:hAnsi="Times New Roman" w:cs="Times New Roman"/>
                      </w:rPr>
                    </w:pPr>
                    <w:r>
                      <w:rPr>
                        <w:rFonts w:ascii="Times New Roman" w:hAnsi="Times New Roman" w:cs="Times New Roman"/>
                      </w:rPr>
                      <w:t>3</w:t>
                    </w:r>
                  </w:p>
                </w:tc>
              </w:tr>
              <w:tr w:rsidR="000C5659">
                <w:tc>
                  <w:tcPr>
                    <w:tcW w:w="2938" w:type="pct"/>
                    <w:vAlign w:val="center"/>
                  </w:tcPr>
                  <w:p w:rsidR="000C5659" w:rsidRDefault="000E33C4">
                    <w:pPr>
                      <w:adjustRightInd w:val="0"/>
                      <w:snapToGrid w:val="0"/>
                      <w:rPr>
                        <w:rFonts w:ascii="Times New Roman" w:hAnsi="Times New Roman" w:cs="Times New Roman"/>
                      </w:rPr>
                    </w:pPr>
                    <w:r>
                      <w:rPr>
                        <w:rFonts w:ascii="Times New Roman" w:hAnsi="Times New Roman" w:cs="Times New Roman" w:hint="eastAsia"/>
                      </w:rPr>
                      <w:t>租入固定资产改良支出</w:t>
                    </w:r>
                  </w:p>
                </w:tc>
                <w:tc>
                  <w:tcPr>
                    <w:tcW w:w="2062" w:type="pct"/>
                    <w:vAlign w:val="center"/>
                  </w:tcPr>
                  <w:p w:rsidR="000C5659" w:rsidRDefault="000E33C4">
                    <w:pPr>
                      <w:adjustRightInd w:val="0"/>
                      <w:snapToGrid w:val="0"/>
                      <w:ind w:leftChars="63" w:left="132"/>
                      <w:jc w:val="center"/>
                      <w:rPr>
                        <w:rFonts w:ascii="Times New Roman" w:hAnsi="Times New Roman" w:cs="Times New Roman"/>
                      </w:rPr>
                    </w:pPr>
                    <w:r>
                      <w:rPr>
                        <w:rFonts w:ascii="Times New Roman" w:hAnsi="Times New Roman" w:cs="Times New Roman"/>
                      </w:rPr>
                      <w:t>3</w:t>
                    </w:r>
                  </w:p>
                </w:tc>
              </w:tr>
              <w:tr w:rsidR="000C5659">
                <w:tc>
                  <w:tcPr>
                    <w:tcW w:w="2938" w:type="pct"/>
                    <w:vAlign w:val="center"/>
                  </w:tcPr>
                  <w:p w:rsidR="000C5659" w:rsidRDefault="000E33C4">
                    <w:pPr>
                      <w:adjustRightInd w:val="0"/>
                      <w:snapToGrid w:val="0"/>
                      <w:rPr>
                        <w:rFonts w:ascii="Times New Roman" w:hAnsi="Times New Roman" w:cs="Times New Roman"/>
                      </w:rPr>
                    </w:pPr>
                    <w:r>
                      <w:rPr>
                        <w:rFonts w:ascii="Times New Roman" w:hAnsi="Times New Roman" w:cs="Times New Roman" w:hint="eastAsia"/>
                      </w:rPr>
                      <w:t>软件服务费</w:t>
                    </w:r>
                  </w:p>
                </w:tc>
                <w:tc>
                  <w:tcPr>
                    <w:tcW w:w="2062" w:type="pct"/>
                    <w:vAlign w:val="center"/>
                  </w:tcPr>
                  <w:p w:rsidR="000C5659" w:rsidRDefault="000E33C4">
                    <w:pPr>
                      <w:adjustRightInd w:val="0"/>
                      <w:snapToGrid w:val="0"/>
                      <w:ind w:leftChars="63" w:left="132"/>
                      <w:jc w:val="center"/>
                      <w:rPr>
                        <w:rFonts w:ascii="Times New Roman" w:hAnsi="Times New Roman" w:cs="Times New Roman"/>
                      </w:rPr>
                    </w:pPr>
                    <w:r>
                      <w:rPr>
                        <w:rFonts w:ascii="Times New Roman" w:hAnsi="Times New Roman" w:cs="Times New Roman" w:hint="eastAsia"/>
                      </w:rPr>
                      <w:t>3</w:t>
                    </w:r>
                  </w:p>
                </w:tc>
              </w:tr>
            </w:tbl>
            <w:p w:rsidR="000C5659" w:rsidRDefault="00220B84">
              <w:pPr>
                <w:rPr>
                  <w:rFonts w:cs="Times New Roman"/>
                  <w:color w:val="000000" w:themeColor="text1"/>
                  <w:kern w:val="2"/>
                </w:rPr>
              </w:pPr>
            </w:p>
          </w:sdtContent>
        </w:sdt>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szCs w:val="21"/>
        </w:rPr>
      </w:pPr>
      <w:bookmarkStart w:id="128" w:name="_Hlk10465482"/>
      <w:bookmarkEnd w:id="127"/>
      <w:r>
        <w:rPr>
          <w:rFonts w:ascii="宋体" w:hAnsi="宋体" w:hint="eastAsia"/>
          <w:color w:val="000000" w:themeColor="text1"/>
          <w:szCs w:val="21"/>
        </w:rPr>
        <w:t>合同负债</w:t>
      </w:r>
    </w:p>
    <w:sdt>
      <w:sdtPr>
        <w:rPr>
          <w:color w:val="000000" w:themeColor="text1"/>
        </w:rPr>
        <w:alias w:val="是否适用：合同负债的确定方法、摊销方法和减值测试方法[双击切换]"/>
        <w:tag w:val="_GBC_f210968f2ea04a338a3253827b172c25"/>
        <w:id w:val="177675000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220B84">
      <w:pPr>
        <w:rPr>
          <w:color w:val="000000" w:themeColor="text1"/>
        </w:rPr>
      </w:pPr>
      <w:sdt>
        <w:sdtPr>
          <w:rPr>
            <w:color w:val="000000" w:themeColor="text1"/>
          </w:rPr>
          <w:alias w:val="合同负债的确定方法、摊销方法和减值测试方法"/>
          <w:tag w:val="_GBC_adbfb902bae348178906cb42c1932267"/>
          <w:id w:val="-1816949225"/>
          <w:placeholder>
            <w:docPart w:val="GBC22222222222222222222222222222"/>
          </w:placeholder>
        </w:sdtPr>
        <w:sdtEndPr/>
        <w:sdtContent>
          <w:sdt>
            <w:sdtPr>
              <w:alias w:val="合同负债的确定方法、摊销方法和减值测试方法"/>
              <w:tag w:val="_GBC_adbfb902bae348178906cb42c1932267"/>
              <w:id w:val="1877193600"/>
              <w:lock w:val="sdtLocked"/>
            </w:sdtPr>
            <w:sdtEndPr/>
            <w:sdtContent>
              <w:r w:rsidR="000E33C4">
                <w:rPr>
                  <w:rFonts w:hint="eastAsia"/>
                </w:rPr>
                <w:t>本公司根据履行履约义务与客户付款之间的关系在资产负债表中列示合同资产或合同负债。本公司已收或应收客户对价而应向客户转让商品或提供服务的义务列示为合同负债。同一合同下的合同资产和合同负债以净额列示。</w:t>
              </w:r>
            </w:sdtContent>
          </w:sdt>
        </w:sdtContent>
      </w:sdt>
    </w:p>
    <w:p w:rsidR="000C5659" w:rsidRDefault="000C5659">
      <w:pPr>
        <w:rPr>
          <w:color w:val="000000" w:themeColor="text1"/>
        </w:rPr>
      </w:pPr>
    </w:p>
    <w:bookmarkEnd w:id="128"/>
    <w:p w:rsidR="000C5659" w:rsidRDefault="000E33C4" w:rsidP="000743DD">
      <w:pPr>
        <w:pStyle w:val="35"/>
        <w:numPr>
          <w:ilvl w:val="0"/>
          <w:numId w:val="40"/>
        </w:numPr>
        <w:rPr>
          <w:rFonts w:ascii="宋体" w:hAnsi="宋体"/>
          <w:color w:val="000000" w:themeColor="text1"/>
        </w:rPr>
      </w:pPr>
      <w:r>
        <w:rPr>
          <w:rFonts w:ascii="宋体" w:hAnsi="宋体" w:hint="eastAsia"/>
          <w:color w:val="000000" w:themeColor="text1"/>
        </w:rPr>
        <w:t>职工薪酬</w:t>
      </w:r>
    </w:p>
    <w:p w:rsidR="000C5659" w:rsidRDefault="000E33C4" w:rsidP="000743DD">
      <w:pPr>
        <w:pStyle w:val="43"/>
        <w:numPr>
          <w:ilvl w:val="0"/>
          <w:numId w:val="44"/>
        </w:numPr>
        <w:rPr>
          <w:rFonts w:ascii="宋体" w:hAnsi="宋体"/>
          <w:color w:val="000000" w:themeColor="text1"/>
        </w:rPr>
      </w:pPr>
      <w:r>
        <w:rPr>
          <w:rFonts w:ascii="宋体" w:hAnsi="宋体" w:hint="eastAsia"/>
          <w:color w:val="000000" w:themeColor="text1"/>
        </w:rPr>
        <w:t>短期薪酬的会计处理方法</w:t>
      </w:r>
    </w:p>
    <w:sdt>
      <w:sdtPr>
        <w:rPr>
          <w:color w:val="000000" w:themeColor="text1"/>
        </w:rPr>
        <w:alias w:val="是否适用：短期薪酬的会计处理方法[双击切换]"/>
        <w:tag w:val="_GBC_eefed2a465e349b6a35598930bd9541d"/>
        <w:id w:val="187534215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bCs/>
          <w:color w:val="000000" w:themeColor="text1"/>
          <w:sz w:val="21"/>
          <w:szCs w:val="21"/>
        </w:rPr>
        <w:alias w:val="短期薪酬的会计处理方法"/>
        <w:tag w:val="_GBC_8fdf44b194ac45fb945d36b9896df796"/>
        <w:id w:val="774603524"/>
        <w:placeholder>
          <w:docPart w:val="GBC22222222222222222222222222222"/>
        </w:placeholder>
      </w:sdtPr>
      <w:sdtEndPr/>
      <w:sdtContent>
        <w:sdt>
          <w:sdtPr>
            <w:rPr>
              <w:bCs/>
              <w:sz w:val="21"/>
              <w:szCs w:val="21"/>
            </w:rPr>
            <w:alias w:val="短期薪酬的会计处理方法"/>
            <w:tag w:val="_GBC_8fdf44b194ac45fb945d36b9896df796"/>
            <w:id w:val="-962185740"/>
            <w:lock w:val="sdtLocked"/>
          </w:sdtPr>
          <w:sdtEndPr/>
          <w:sdtContent>
            <w:p w:rsidR="000C5659" w:rsidRDefault="000E33C4">
              <w:pPr>
                <w:pStyle w:val="Style229"/>
                <w:rPr>
                  <w:sz w:val="21"/>
                  <w:szCs w:val="21"/>
                </w:rPr>
              </w:pPr>
              <w:r>
                <w:rPr>
                  <w:rFonts w:hint="eastAsia"/>
                  <w:sz w:val="21"/>
                  <w:szCs w:val="21"/>
                </w:rPr>
                <w:t>本公司在职工为本公司提供服务的会计期间，将实际发生的短期薪酬确认为负债，并计入当期损益或相关资产成本。</w:t>
              </w:r>
            </w:p>
            <w:p w:rsidR="000C5659" w:rsidRDefault="000E33C4">
              <w:pPr>
                <w:pStyle w:val="Style229"/>
                <w:rPr>
                  <w:sz w:val="21"/>
                  <w:szCs w:val="21"/>
                </w:rPr>
              </w:pPr>
              <w:r>
                <w:rPr>
                  <w:rFonts w:hint="eastAsia"/>
                  <w:sz w:val="21"/>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rsidR="000C5659" w:rsidRDefault="000E33C4">
              <w:pPr>
                <w:rPr>
                  <w:color w:val="000000" w:themeColor="text1"/>
                </w:rPr>
              </w:pPr>
              <w:r>
                <w:rPr>
                  <w:rFonts w:hint="eastAsia"/>
                </w:rPr>
                <w:t>本公司发生的职工福利费，在实际发生时根据实际发生额计入当期损益或相关资产成本，其中，非货币性福利按照公允价值计量。</w:t>
              </w:r>
            </w:p>
          </w:sdtContent>
        </w:sdt>
      </w:sdtContent>
    </w:sdt>
    <w:p w:rsidR="000C5659" w:rsidRDefault="000C5659">
      <w:pPr>
        <w:rPr>
          <w:color w:val="000000" w:themeColor="text1"/>
        </w:rPr>
      </w:pPr>
    </w:p>
    <w:p w:rsidR="000C5659" w:rsidRDefault="000E33C4" w:rsidP="000743DD">
      <w:pPr>
        <w:pStyle w:val="43"/>
        <w:numPr>
          <w:ilvl w:val="0"/>
          <w:numId w:val="44"/>
        </w:numPr>
        <w:rPr>
          <w:rFonts w:ascii="宋体" w:hAnsi="宋体"/>
          <w:color w:val="000000" w:themeColor="text1"/>
        </w:rPr>
      </w:pPr>
      <w:r>
        <w:rPr>
          <w:rFonts w:ascii="宋体" w:hAnsi="宋体" w:hint="eastAsia"/>
          <w:color w:val="000000" w:themeColor="text1"/>
        </w:rPr>
        <w:t>离职后福利的会计处理方法</w:t>
      </w:r>
    </w:p>
    <w:sdt>
      <w:sdtPr>
        <w:rPr>
          <w:rFonts w:hint="eastAsia"/>
          <w:color w:val="000000" w:themeColor="text1"/>
        </w:rPr>
        <w:alias w:val="是否适用：离职后福利的会计处理方法[双击切换]"/>
        <w:tag w:val="_GBC_35bbae299fda438d9e595058bbecbcdc"/>
        <w:id w:val="-181371717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bCs/>
          <w:color w:val="000000" w:themeColor="text1"/>
          <w:sz w:val="21"/>
          <w:szCs w:val="21"/>
        </w:rPr>
        <w:alias w:val="离职后福利的会计处理方法"/>
        <w:tag w:val="_GBC_3b0bafa6ef784ba99c829e2f60cf828e"/>
        <w:id w:val="69850648"/>
        <w:placeholder>
          <w:docPart w:val="GBC22222222222222222222222222222"/>
        </w:placeholder>
      </w:sdtPr>
      <w:sdtEndPr/>
      <w:sdtContent>
        <w:p w:rsidR="000C5659" w:rsidRDefault="000E33C4">
          <w:pPr>
            <w:pStyle w:val="Style229"/>
            <w:rPr>
              <w:sz w:val="21"/>
              <w:szCs w:val="21"/>
            </w:rPr>
          </w:pPr>
          <w:r>
            <w:rPr>
              <w:sz w:val="21"/>
              <w:szCs w:val="21"/>
            </w:rPr>
            <w:t>1）设定提存计划</w:t>
          </w:r>
        </w:p>
        <w:p w:rsidR="000C5659" w:rsidRDefault="000E33C4">
          <w:pPr>
            <w:pStyle w:val="Style229"/>
            <w:rPr>
              <w:sz w:val="21"/>
              <w:szCs w:val="21"/>
            </w:rPr>
          </w:pPr>
          <w:r>
            <w:rPr>
              <w:rFonts w:hint="eastAsia"/>
              <w:sz w:val="21"/>
              <w:szCs w:val="21"/>
            </w:rPr>
            <w:t>本公司按当地政府的相关规定为职工缴纳基本养老保险和失业保险，在职工为本公司提供服务的会计期间，按以当地规定的缴纳基数和比例计算应缴纳金额，确认为负债，并计入当期损益或相关资产成本。此外，本公司还参与了由国家相关部门批准的企业年金计划</w:t>
          </w:r>
          <w:r>
            <w:rPr>
              <w:sz w:val="21"/>
              <w:szCs w:val="21"/>
            </w:rPr>
            <w:t>/补充养老保险基金。本公司按职工工资总额的一定比例向年金计划/当地社会保险机构缴费，相应支出计入当期损益或相关资产成本。</w:t>
          </w:r>
        </w:p>
        <w:p w:rsidR="000C5659" w:rsidRDefault="000E33C4">
          <w:pPr>
            <w:pStyle w:val="Style229"/>
            <w:rPr>
              <w:sz w:val="21"/>
              <w:szCs w:val="21"/>
            </w:rPr>
          </w:pPr>
          <w:r>
            <w:rPr>
              <w:rFonts w:hint="eastAsia"/>
              <w:sz w:val="21"/>
              <w:szCs w:val="21"/>
            </w:rPr>
            <w:t>（</w:t>
          </w:r>
          <w:r>
            <w:rPr>
              <w:sz w:val="21"/>
              <w:szCs w:val="21"/>
            </w:rPr>
            <w:t>2）设定受益计划</w:t>
          </w:r>
        </w:p>
        <w:p w:rsidR="000C5659" w:rsidRDefault="000E33C4">
          <w:pPr>
            <w:pStyle w:val="Style229"/>
            <w:rPr>
              <w:sz w:val="21"/>
              <w:szCs w:val="21"/>
            </w:rPr>
          </w:pPr>
          <w:r>
            <w:rPr>
              <w:rFonts w:hint="eastAsia"/>
              <w:sz w:val="21"/>
              <w:szCs w:val="21"/>
            </w:rPr>
            <w:t>本公司根据预期累计福利单位法确定的公式将设定受益计划产生的福利义务归属于职工提供服务的期间，并计入当期损益或相关资产成本。</w:t>
          </w:r>
        </w:p>
        <w:p w:rsidR="000C5659" w:rsidRDefault="000E33C4">
          <w:pPr>
            <w:pStyle w:val="Style229"/>
            <w:rPr>
              <w:sz w:val="21"/>
              <w:szCs w:val="21"/>
            </w:rPr>
          </w:pPr>
          <w:r>
            <w:rPr>
              <w:rFonts w:hint="eastAsia"/>
              <w:sz w:val="21"/>
              <w:szCs w:val="2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rsidR="000C5659" w:rsidRDefault="000E33C4">
          <w:pPr>
            <w:pStyle w:val="Style229"/>
            <w:rPr>
              <w:sz w:val="21"/>
              <w:szCs w:val="21"/>
            </w:rPr>
          </w:pPr>
          <w:r>
            <w:rPr>
              <w:rFonts w:hint="eastAsia"/>
              <w:sz w:val="21"/>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0C5659" w:rsidRDefault="000E33C4">
          <w:pPr>
            <w:pStyle w:val="Style229"/>
            <w:rPr>
              <w:sz w:val="21"/>
              <w:szCs w:val="21"/>
            </w:rPr>
          </w:pPr>
          <w:r>
            <w:rPr>
              <w:rFonts w:hint="eastAsia"/>
              <w:sz w:val="21"/>
              <w:szCs w:val="21"/>
            </w:rPr>
            <w:t>设定受益计划产生的服务成本和设定受益计划净负债或净资产的利息净额计入当期损益或相关资产成本；重新计量设定受益计划净负债或净资产所产生的变动计入其他综合收益，并且在后续会计期间不转回至损益，在原设定受益计划终止时在权益范围内将原计入其他综合收益的部分全部结转至未分配利润。</w:t>
          </w:r>
        </w:p>
        <w:p w:rsidR="000C5659" w:rsidRDefault="000E33C4">
          <w:pPr>
            <w:rPr>
              <w:color w:val="000000" w:themeColor="text1"/>
            </w:rPr>
          </w:pPr>
          <w:r>
            <w:rPr>
              <w:rFonts w:hint="eastAsia"/>
            </w:rPr>
            <w:t>在设定受益计划结算时，按在结算日确定的设定受益计划义务现值和结算价格两者的差额，确认结算利得或损失。</w:t>
          </w:r>
        </w:p>
      </w:sdtContent>
    </w:sdt>
    <w:p w:rsidR="000C5659" w:rsidRDefault="000C5659">
      <w:pPr>
        <w:rPr>
          <w:color w:val="000000" w:themeColor="text1"/>
        </w:rPr>
      </w:pPr>
    </w:p>
    <w:p w:rsidR="000C5659" w:rsidRDefault="000E33C4" w:rsidP="000743DD">
      <w:pPr>
        <w:pStyle w:val="43"/>
        <w:numPr>
          <w:ilvl w:val="0"/>
          <w:numId w:val="44"/>
        </w:numPr>
        <w:rPr>
          <w:rFonts w:ascii="宋体" w:hAnsi="宋体"/>
          <w:color w:val="000000" w:themeColor="text1"/>
        </w:rPr>
      </w:pPr>
      <w:r>
        <w:rPr>
          <w:rFonts w:ascii="宋体" w:hAnsi="宋体" w:hint="eastAsia"/>
          <w:color w:val="000000" w:themeColor="text1"/>
        </w:rPr>
        <w:t>辞退福利的会计处理方法</w:t>
      </w:r>
    </w:p>
    <w:sdt>
      <w:sdtPr>
        <w:rPr>
          <w:rFonts w:hint="eastAsia"/>
          <w:color w:val="000000" w:themeColor="text1"/>
        </w:rPr>
        <w:alias w:val="是否适用：辞退福利的会计处理方法[双击切换]"/>
        <w:tag w:val="_GBC_b6be1c30b6144d54b0e20b3cb9d3a691"/>
        <w:id w:val="-9976425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辞退福利的会计处理方法"/>
        <w:tag w:val="_GBC_a93705fb60b24bceb25c88a68ed87432"/>
        <w:id w:val="-1970282275"/>
        <w:placeholder>
          <w:docPart w:val="GBC22222222222222222222222222222"/>
        </w:placeholder>
      </w:sdtPr>
      <w:sdtEndPr/>
      <w:sdtContent>
        <w:sdt>
          <w:sdtPr>
            <w:alias w:val="辞退福利的会计处理方法"/>
            <w:tag w:val="_GBC_a93705fb60b24bceb25c88a68ed87432"/>
            <w:id w:val="1950582469"/>
            <w:lock w:val="sdtLocked"/>
          </w:sdtPr>
          <w:sdtEndPr/>
          <w:sdtContent>
            <w:p w:rsidR="000C5659" w:rsidRDefault="000E33C4">
              <w:pPr>
                <w:rPr>
                  <w:color w:val="000000" w:themeColor="text1"/>
                </w:rPr>
              </w:pPr>
              <w:r>
                <w:rPr>
                  <w:rFonts w:hint="eastAsia"/>
                </w:rPr>
                <w:t>本公司向职工提供辞退福利的，在下列两者孰早日确认辞退福利产生的职工薪酬负债，并计入当期损益：公司不能单方面撤回因解除劳动关系计划或裁减建议所提供的辞退福利时；公司确认与涉及支付辞退福利的重组相关的成本或费用时。</w:t>
              </w:r>
            </w:p>
          </w:sdtContent>
        </w:sdt>
      </w:sdtContent>
    </w:sdt>
    <w:p w:rsidR="000C5659" w:rsidRDefault="000C5659">
      <w:pPr>
        <w:rPr>
          <w:color w:val="000000" w:themeColor="text1"/>
        </w:rPr>
      </w:pPr>
    </w:p>
    <w:p w:rsidR="000C5659" w:rsidRDefault="000E33C4" w:rsidP="000743DD">
      <w:pPr>
        <w:pStyle w:val="43"/>
        <w:numPr>
          <w:ilvl w:val="0"/>
          <w:numId w:val="44"/>
        </w:numPr>
        <w:rPr>
          <w:rFonts w:ascii="宋体" w:hAnsi="宋体"/>
          <w:color w:val="000000" w:themeColor="text1"/>
        </w:rPr>
      </w:pPr>
      <w:r>
        <w:rPr>
          <w:rFonts w:ascii="宋体" w:hAnsi="宋体" w:hint="eastAsia"/>
          <w:color w:val="000000" w:themeColor="text1"/>
        </w:rPr>
        <w:t>其他长期职工福利的会计处理方法</w:t>
      </w:r>
    </w:p>
    <w:sdt>
      <w:sdtPr>
        <w:rPr>
          <w:rFonts w:hint="eastAsia"/>
          <w:color w:val="000000" w:themeColor="text1"/>
        </w:rPr>
        <w:alias w:val="是否适用：其他长期职工福利的会计处理方法[双击切换]"/>
        <w:tag w:val="_GBC_6650f3bc6a474b318e05b9d60314cb7f"/>
        <w:id w:val="-374853064"/>
        <w:placeholder>
          <w:docPart w:val="GBC22222222222222222222222222222"/>
        </w:placeholder>
      </w:sdtPr>
      <w:sdtEndPr/>
      <w:sdtContent>
        <w:p w:rsidR="000C5659" w:rsidRDefault="000E33C4">
          <w:pPr>
            <w:rPr>
              <w:rFonts w:cs="Times New Roman"/>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lastRenderedPageBreak/>
        <w:t>预计负债</w:t>
      </w:r>
    </w:p>
    <w:sdt>
      <w:sdtPr>
        <w:rPr>
          <w:rFonts w:hint="eastAsia"/>
          <w:color w:val="000000" w:themeColor="text1"/>
        </w:rPr>
        <w:alias w:val="是否适用：预计负债_重要会计政策和估计[双击切换]"/>
        <w:tag w:val="_GBC_60f7f598e5d5458986c0f06775dc38fd"/>
        <w:id w:val="-5589394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bCs/>
          <w:color w:val="000000" w:themeColor="text1"/>
          <w:sz w:val="21"/>
          <w:szCs w:val="21"/>
        </w:rPr>
        <w:alias w:val="预计负债的核算方法"/>
        <w:tag w:val="_GBC_d6934772e41e485d9e00e349486f9d7e"/>
        <w:id w:val="1203750612"/>
        <w:placeholder>
          <w:docPart w:val="GBC22222222222222222222222222222"/>
        </w:placeholder>
      </w:sdtPr>
      <w:sdtEndPr/>
      <w:sdtContent>
        <w:sdt>
          <w:sdtPr>
            <w:rPr>
              <w:rFonts w:hint="eastAsia"/>
              <w:bCs/>
              <w:sz w:val="21"/>
              <w:szCs w:val="21"/>
            </w:rPr>
            <w:alias w:val="预计负债的核算方法"/>
            <w:tag w:val="_GBC_d6934772e41e485d9e00e349486f9d7e"/>
            <w:id w:val="-566574856"/>
            <w:lock w:val="sdtLocked"/>
          </w:sdtPr>
          <w:sdtEndPr/>
          <w:sdtContent>
            <w:p w:rsidR="000C5659" w:rsidRDefault="000E33C4">
              <w:pPr>
                <w:pStyle w:val="Style229"/>
                <w:rPr>
                  <w:sz w:val="21"/>
                  <w:szCs w:val="21"/>
                </w:rPr>
              </w:pPr>
              <w:r>
                <w:rPr>
                  <w:rFonts w:hint="eastAsia"/>
                  <w:sz w:val="21"/>
                  <w:szCs w:val="21"/>
                </w:rPr>
                <w:t>与或有事项相关的义务同时满足下列条件时，本公司将其确认为预计负债：</w:t>
              </w:r>
              <w:r>
                <w:rPr>
                  <w:sz w:val="21"/>
                  <w:szCs w:val="21"/>
                </w:rPr>
                <w:t xml:space="preserve">  </w:t>
              </w:r>
            </w:p>
            <w:p w:rsidR="000C5659" w:rsidRDefault="000E33C4">
              <w:pPr>
                <w:pStyle w:val="Style229"/>
                <w:rPr>
                  <w:sz w:val="21"/>
                  <w:szCs w:val="21"/>
                </w:rPr>
              </w:pPr>
              <w:r>
                <w:rPr>
                  <w:rFonts w:hint="eastAsia"/>
                  <w:sz w:val="21"/>
                  <w:szCs w:val="21"/>
                </w:rPr>
                <w:t>（</w:t>
              </w:r>
              <w:r>
                <w:rPr>
                  <w:sz w:val="21"/>
                  <w:szCs w:val="21"/>
                </w:rPr>
                <w:t>1）该义务是本公司承担的现时义务；</w:t>
              </w:r>
            </w:p>
            <w:p w:rsidR="000C5659" w:rsidRDefault="000E33C4">
              <w:pPr>
                <w:pStyle w:val="Style229"/>
                <w:rPr>
                  <w:sz w:val="21"/>
                  <w:szCs w:val="21"/>
                </w:rPr>
              </w:pPr>
              <w:r>
                <w:rPr>
                  <w:rFonts w:hint="eastAsia"/>
                  <w:sz w:val="21"/>
                  <w:szCs w:val="21"/>
                </w:rPr>
                <w:t>（</w:t>
              </w:r>
              <w:r>
                <w:rPr>
                  <w:sz w:val="21"/>
                  <w:szCs w:val="21"/>
                </w:rPr>
                <w:t>2）履行该义务很可能导致经济利益流出本公司；</w:t>
              </w:r>
            </w:p>
            <w:p w:rsidR="000C5659" w:rsidRDefault="000E33C4">
              <w:pPr>
                <w:pStyle w:val="Style229"/>
                <w:rPr>
                  <w:sz w:val="21"/>
                  <w:szCs w:val="21"/>
                </w:rPr>
              </w:pPr>
              <w:r>
                <w:rPr>
                  <w:rFonts w:hint="eastAsia"/>
                  <w:sz w:val="21"/>
                  <w:szCs w:val="21"/>
                </w:rPr>
                <w:t>（</w:t>
              </w:r>
              <w:r>
                <w:rPr>
                  <w:sz w:val="21"/>
                  <w:szCs w:val="21"/>
                </w:rPr>
                <w:t>3）该义务的金额能够可靠地计量。</w:t>
              </w:r>
            </w:p>
            <w:p w:rsidR="000C5659" w:rsidRDefault="000C5659">
              <w:pPr>
                <w:pStyle w:val="Style229"/>
                <w:rPr>
                  <w:sz w:val="21"/>
                  <w:szCs w:val="21"/>
                </w:rPr>
              </w:pPr>
            </w:p>
            <w:p w:rsidR="000C5659" w:rsidRDefault="000E33C4">
              <w:pPr>
                <w:pStyle w:val="Style229"/>
                <w:rPr>
                  <w:sz w:val="21"/>
                  <w:szCs w:val="21"/>
                </w:rPr>
              </w:pPr>
              <w:r>
                <w:rPr>
                  <w:rFonts w:hint="eastAsia"/>
                  <w:sz w:val="21"/>
                  <w:szCs w:val="21"/>
                </w:rPr>
                <w:t>预计负债按履行相关现时义务所需的支出的最佳估计数进行初始计量。</w:t>
              </w:r>
            </w:p>
            <w:p w:rsidR="000C5659" w:rsidRDefault="000E33C4">
              <w:pPr>
                <w:pStyle w:val="Style229"/>
                <w:rPr>
                  <w:sz w:val="21"/>
                  <w:szCs w:val="21"/>
                </w:rPr>
              </w:pPr>
              <w:r>
                <w:rPr>
                  <w:rFonts w:hint="eastAsia"/>
                  <w:sz w:val="21"/>
                  <w:szCs w:val="21"/>
                </w:rPr>
                <w:t>在确定最佳估计数时，综合考虑与或有事项有关的风险、不确定性和货币时间价值等因素。对于货币时间价值影响重大的，通过对相关未来现金流出进行折现后确定最佳估计数。</w:t>
              </w:r>
            </w:p>
            <w:p w:rsidR="000C5659" w:rsidRDefault="000E33C4">
              <w:pPr>
                <w:pStyle w:val="Style229"/>
                <w:rPr>
                  <w:sz w:val="21"/>
                  <w:szCs w:val="21"/>
                </w:rPr>
              </w:pPr>
              <w:r>
                <w:rPr>
                  <w:rFonts w:hint="eastAsia"/>
                  <w:sz w:val="21"/>
                  <w:szCs w:val="21"/>
                </w:rPr>
                <w:t>所需支出存在一个连续范围，且该范围内各种结果发生的可能性相同的，最佳估计数按照该范围内的中间值确定；在其他情况下，最佳估计数分别下列情况处理：</w:t>
              </w:r>
            </w:p>
            <w:p w:rsidR="000C5659" w:rsidRDefault="000E33C4">
              <w:pPr>
                <w:pStyle w:val="Style229"/>
                <w:rPr>
                  <w:sz w:val="21"/>
                  <w:szCs w:val="21"/>
                </w:rPr>
              </w:pPr>
              <w:r>
                <w:rPr>
                  <w:rFonts w:hint="eastAsia"/>
                  <w:sz w:val="21"/>
                  <w:szCs w:val="21"/>
                </w:rPr>
                <w:t>•</w:t>
              </w:r>
              <w:r>
                <w:rPr>
                  <w:sz w:val="21"/>
                  <w:szCs w:val="21"/>
                </w:rPr>
                <w:t xml:space="preserve"> 或有事项涉及单个项目的，按照最可能发生金额确定。</w:t>
              </w:r>
            </w:p>
            <w:p w:rsidR="000C5659" w:rsidRDefault="000E33C4">
              <w:pPr>
                <w:pStyle w:val="Style229"/>
                <w:rPr>
                  <w:sz w:val="21"/>
                  <w:szCs w:val="21"/>
                </w:rPr>
              </w:pPr>
              <w:r>
                <w:rPr>
                  <w:rFonts w:hint="eastAsia"/>
                  <w:sz w:val="21"/>
                  <w:szCs w:val="21"/>
                </w:rPr>
                <w:t>•</w:t>
              </w:r>
              <w:r>
                <w:rPr>
                  <w:sz w:val="21"/>
                  <w:szCs w:val="21"/>
                </w:rPr>
                <w:t xml:space="preserve"> 或有事项涉及多个项目的，按照各种可能结果及相关概率计算确定。  </w:t>
              </w:r>
            </w:p>
            <w:p w:rsidR="000C5659" w:rsidRDefault="000E33C4">
              <w:pPr>
                <w:pStyle w:val="Style229"/>
                <w:rPr>
                  <w:sz w:val="21"/>
                  <w:szCs w:val="21"/>
                </w:rPr>
              </w:pPr>
              <w:r>
                <w:rPr>
                  <w:rFonts w:hint="eastAsia"/>
                  <w:sz w:val="21"/>
                  <w:szCs w:val="21"/>
                </w:rPr>
                <w:t>清偿预计负债所需支出全部或部分预期由第三方补偿的，补偿金额在基本确定能够收到时，作为资产单独确认，确认的补偿金额不超过预计负债的账面价值。</w:t>
              </w:r>
            </w:p>
            <w:p w:rsidR="000C5659" w:rsidRDefault="000C5659">
              <w:pPr>
                <w:pStyle w:val="Style229"/>
                <w:rPr>
                  <w:sz w:val="21"/>
                  <w:szCs w:val="21"/>
                </w:rPr>
              </w:pPr>
            </w:p>
            <w:p w:rsidR="000C5659" w:rsidRDefault="000E33C4">
              <w:pPr>
                <w:rPr>
                  <w:color w:val="000000" w:themeColor="text1"/>
                </w:rPr>
              </w:pPr>
              <w:r>
                <w:rPr>
                  <w:rFonts w:hint="eastAsia"/>
                </w:rPr>
                <w:t>本公司在资产负债表日对预计负债的账面价值进行复核，有确凿证据表明该账面价值不能反映当前最佳估计数的，按照当前最佳估计数对该账面价值进行调整。</w:t>
              </w:r>
            </w:p>
          </w:sdtContent>
        </w:sdt>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hint="eastAsia"/>
          <w:color w:val="000000" w:themeColor="text1"/>
        </w:rPr>
        <w:t>股份支付</w:t>
      </w:r>
    </w:p>
    <w:sdt>
      <w:sdtPr>
        <w:rPr>
          <w:rFonts w:hint="eastAsia"/>
          <w:color w:val="000000" w:themeColor="text1"/>
        </w:rPr>
        <w:alias w:val="是否适用：股份支付_重要会计政策和估计[双击切换]"/>
        <w:tag w:val="_GBC_cfe00a6b35f24950855f2412f34bcf7a"/>
        <w:id w:val="12982651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股份支付的核算方法"/>
        <w:tag w:val="_GBC_99e197c555ed4cf8aa00bbd5da2fe98b"/>
        <w:id w:val="1784919720"/>
        <w:placeholder>
          <w:docPart w:val="GBC22222222222222222222222222222"/>
        </w:placeholder>
      </w:sdtPr>
      <w:sdtEndPr/>
      <w:sdtContent>
        <w:sdt>
          <w:sdtPr>
            <w:rPr>
              <w:sz w:val="21"/>
              <w:szCs w:val="21"/>
            </w:rPr>
            <w:alias w:val="股份支付的核算方法"/>
            <w:tag w:val="_GBC_99e197c555ed4cf8aa00bbd5da2fe98b"/>
            <w:id w:val="185270816"/>
            <w:lock w:val="sdtLocked"/>
          </w:sdtPr>
          <w:sdtEndPr/>
          <w:sdtContent>
            <w:p w:rsidR="000C5659" w:rsidRDefault="000E33C4">
              <w:pPr>
                <w:pStyle w:val="Style229"/>
                <w:rPr>
                  <w:sz w:val="21"/>
                  <w:szCs w:val="21"/>
                </w:rPr>
              </w:pPr>
              <w:r>
                <w:rPr>
                  <w:rFonts w:hint="eastAsia"/>
                  <w:sz w:val="21"/>
                  <w:szCs w:val="21"/>
                </w:rPr>
                <w:t>以权益结算的股份支付换取职工提供服务的，以授予职工权益工具的公允价值计量。对于授予后立即可行权的股份支付交易，在授予日按照权益工具的公允价值计入相关成本或费用，相应增加资本公积。对于授予后完成等待期内的服务或达到规定业绩条件才可行权的股份支付交易，在等待期内每个资产负债表日，本公司根据对可行权权益工具数量的最佳估计，按照授予日公允价值，将当期取得的服务计入相关成本或费用，相应增加资本公积。</w:t>
              </w:r>
            </w:p>
            <w:p w:rsidR="000C5659" w:rsidRDefault="000E33C4">
              <w:pPr>
                <w:pStyle w:val="Style229"/>
                <w:rPr>
                  <w:sz w:val="21"/>
                  <w:szCs w:val="21"/>
                </w:rPr>
              </w:pPr>
              <w:r>
                <w:rPr>
                  <w:rFonts w:hint="eastAsia"/>
                  <w:sz w:val="21"/>
                  <w:szCs w:val="21"/>
                </w:rPr>
                <w:t>如果修改了以权益结算的股份支付的条款，至少按照未修改条款的情况确认取得的服务。此外，任何增加所授予权益工具公允价值的修改，或在修改日对职工有利的变更，均确认取得服务的增加。</w:t>
              </w:r>
            </w:p>
            <w:p w:rsidR="000C5659" w:rsidRDefault="000E33C4">
              <w:pPr>
                <w:pStyle w:val="Style229"/>
                <w:rPr>
                  <w:color w:val="000000" w:themeColor="text1"/>
                </w:rPr>
              </w:pPr>
              <w:r>
                <w:rPr>
                  <w:rFonts w:hint="eastAsia"/>
                  <w:sz w:val="21"/>
                  <w:szCs w:val="21"/>
                </w:rPr>
                <w:t>在等待期内，如果取消了授予的权益工具，则本公司对取消所授予的权益性工具作为加速行权处理，将剩余等待期内应确认的金额立即计入当期损益，同时确认资本公积。但是，如果授予新的权益工具，并在新权益工具授予日认定所授予的新权益工具是用于替代被取消的权益工具的，则以与处理原权益工具条款和条件修改相同的方式，对所授予的替代权益工具进行处理。</w:t>
              </w:r>
            </w:p>
          </w:sdtContent>
        </w:sdt>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hint="eastAsia"/>
          <w:color w:val="000000" w:themeColor="text1"/>
        </w:rPr>
        <w:t>优先股、永续债等其他金融工具</w:t>
      </w:r>
    </w:p>
    <w:sdt>
      <w:sdtPr>
        <w:rPr>
          <w:rFonts w:hint="eastAsia"/>
          <w:color w:val="000000" w:themeColor="text1"/>
        </w:rPr>
        <w:alias w:val="是否适用：优先股、永续债等其他金融工具[双击切换]"/>
        <w:tag w:val="_GBC_34eb80e2168144958293aa1351780303"/>
        <w:id w:val="-107111521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优先股、永续债等其他金融工具的核算方法"/>
        <w:tag w:val="_GBC_4d72f974ad08467694c4c547d6e1f03b"/>
        <w:id w:val="-267080037"/>
        <w:placeholder>
          <w:docPart w:val="GBC22222222222222222222222222222"/>
        </w:placeholder>
      </w:sdtPr>
      <w:sdtEndPr/>
      <w:sdtContent>
        <w:sdt>
          <w:sdtPr>
            <w:rPr>
              <w:sz w:val="21"/>
              <w:szCs w:val="21"/>
            </w:rPr>
            <w:alias w:val="优先股、永续债等其他金融工具的核算方法"/>
            <w:tag w:val="_GBC_4d72f974ad08467694c4c547d6e1f03b"/>
            <w:id w:val="576337073"/>
            <w:lock w:val="sdtLocked"/>
          </w:sdtPr>
          <w:sdtEndPr/>
          <w:sdtContent>
            <w:p w:rsidR="000C5659" w:rsidRDefault="000E33C4">
              <w:pPr>
                <w:pStyle w:val="Style229"/>
                <w:rPr>
                  <w:sz w:val="21"/>
                  <w:szCs w:val="21"/>
                </w:rPr>
              </w:pPr>
              <w:r>
                <w:rPr>
                  <w:rFonts w:hint="eastAsia"/>
                  <w:sz w:val="21"/>
                  <w:szCs w:val="21"/>
                </w:rPr>
                <w:t>本公司根据所发行优先股</w:t>
              </w:r>
              <w:r>
                <w:rPr>
                  <w:sz w:val="21"/>
                  <w:szCs w:val="21"/>
                </w:rPr>
                <w:t>/永续债的合同条款及其所反映的经济实质而非仅以法律形式，在初始确认时将该金融工具或其组成部分分类为金融资产、金融负债或权益工具。</w:t>
              </w:r>
            </w:p>
            <w:p w:rsidR="000C5659" w:rsidRDefault="000E33C4">
              <w:pPr>
                <w:pStyle w:val="Style229"/>
                <w:rPr>
                  <w:sz w:val="21"/>
                  <w:szCs w:val="21"/>
                </w:rPr>
              </w:pPr>
              <w:r>
                <w:rPr>
                  <w:rFonts w:hint="eastAsia"/>
                  <w:sz w:val="21"/>
                  <w:szCs w:val="21"/>
                </w:rPr>
                <w:t>本公司发行的永续债</w:t>
              </w:r>
              <w:r>
                <w:rPr>
                  <w:sz w:val="21"/>
                  <w:szCs w:val="21"/>
                </w:rPr>
                <w:t xml:space="preserve">/优先股等金融工具满足以下条件之一，在初始确认时将该金融工具整体或其组成部分分类为金融负债：  </w:t>
              </w:r>
            </w:p>
            <w:p w:rsidR="000C5659" w:rsidRDefault="000E33C4">
              <w:pPr>
                <w:pStyle w:val="Style229"/>
                <w:rPr>
                  <w:sz w:val="21"/>
                  <w:szCs w:val="21"/>
                </w:rPr>
              </w:pPr>
              <w:r>
                <w:rPr>
                  <w:rFonts w:hint="eastAsia"/>
                  <w:sz w:val="21"/>
                  <w:szCs w:val="21"/>
                </w:rPr>
                <w:t>（</w:t>
              </w:r>
              <w:r>
                <w:rPr>
                  <w:sz w:val="21"/>
                  <w:szCs w:val="21"/>
                </w:rPr>
                <w:t>1）存在本公司不能无条件地避免以交付现金或其他金融资产履行的合同义务；</w:t>
              </w:r>
            </w:p>
            <w:p w:rsidR="000C5659" w:rsidRDefault="000E33C4">
              <w:pPr>
                <w:pStyle w:val="Style229"/>
                <w:rPr>
                  <w:sz w:val="21"/>
                  <w:szCs w:val="21"/>
                </w:rPr>
              </w:pPr>
              <w:r>
                <w:rPr>
                  <w:rFonts w:hint="eastAsia"/>
                  <w:sz w:val="21"/>
                  <w:szCs w:val="21"/>
                </w:rPr>
                <w:t>（</w:t>
              </w:r>
              <w:r>
                <w:rPr>
                  <w:sz w:val="21"/>
                  <w:szCs w:val="21"/>
                </w:rPr>
                <w:t>2）包含交付可变数量的自身权益工具进行结算的合同义务；</w:t>
              </w:r>
            </w:p>
            <w:p w:rsidR="000C5659" w:rsidRDefault="000E33C4">
              <w:pPr>
                <w:pStyle w:val="Style229"/>
                <w:rPr>
                  <w:sz w:val="21"/>
                  <w:szCs w:val="21"/>
                </w:rPr>
              </w:pPr>
              <w:r>
                <w:rPr>
                  <w:rFonts w:hint="eastAsia"/>
                  <w:sz w:val="21"/>
                  <w:szCs w:val="21"/>
                </w:rPr>
                <w:t>（</w:t>
              </w:r>
              <w:r>
                <w:rPr>
                  <w:sz w:val="21"/>
                  <w:szCs w:val="21"/>
                </w:rPr>
                <w:t>3）包含以自身权益进行结算的衍生工具（例如转股权等），且该衍生工具不以固定数量的自身权益工具交换固定金额的现金或其他金融资产进行结算；</w:t>
              </w:r>
            </w:p>
            <w:p w:rsidR="000C5659" w:rsidRDefault="000E33C4">
              <w:pPr>
                <w:pStyle w:val="Style229"/>
                <w:rPr>
                  <w:sz w:val="21"/>
                  <w:szCs w:val="21"/>
                </w:rPr>
              </w:pPr>
              <w:r>
                <w:rPr>
                  <w:rFonts w:hint="eastAsia"/>
                  <w:sz w:val="21"/>
                  <w:szCs w:val="21"/>
                </w:rPr>
                <w:t>（</w:t>
              </w:r>
              <w:r>
                <w:rPr>
                  <w:sz w:val="21"/>
                  <w:szCs w:val="21"/>
                </w:rPr>
                <w:t>4）存在间接地形成合同义务的合同条款；</w:t>
              </w:r>
            </w:p>
            <w:p w:rsidR="000C5659" w:rsidRDefault="000E33C4">
              <w:pPr>
                <w:pStyle w:val="Style229"/>
                <w:rPr>
                  <w:sz w:val="21"/>
                  <w:szCs w:val="21"/>
                </w:rPr>
              </w:pPr>
              <w:r>
                <w:rPr>
                  <w:rFonts w:hint="eastAsia"/>
                  <w:sz w:val="21"/>
                  <w:szCs w:val="21"/>
                </w:rPr>
                <w:t>（</w:t>
              </w:r>
              <w:r>
                <w:rPr>
                  <w:sz w:val="21"/>
                  <w:szCs w:val="21"/>
                </w:rPr>
                <w:t>5）发行方清算时永续债与发行方发行的普通债券和其他债务处于相同清偿顺序的。</w:t>
              </w:r>
            </w:p>
            <w:p w:rsidR="000C5659" w:rsidRDefault="000E33C4">
              <w:pPr>
                <w:pStyle w:val="Style229"/>
                <w:rPr>
                  <w:sz w:val="21"/>
                  <w:szCs w:val="21"/>
                </w:rPr>
              </w:pPr>
              <w:r>
                <w:rPr>
                  <w:rFonts w:hint="eastAsia"/>
                  <w:sz w:val="21"/>
                  <w:szCs w:val="21"/>
                </w:rPr>
                <w:t>不满足上述任何一项条件的永续债</w:t>
              </w:r>
              <w:r>
                <w:rPr>
                  <w:sz w:val="21"/>
                  <w:szCs w:val="21"/>
                </w:rPr>
                <w:t>/优先股等金融工具，在初始确认时将该金融工具整体或其组成部分分类为权益工具。</w:t>
              </w:r>
            </w:p>
          </w:sdtContent>
        </w:sdt>
        <w:sdt>
          <w:sdtPr>
            <w:rPr>
              <w:sz w:val="21"/>
              <w:szCs w:val="21"/>
            </w:rPr>
            <w:alias w:val="优先股、永续债等其他金融工具的核算方法"/>
            <w:tag w:val="_GBC_4d72f974ad08467694c4c547d6e1f03b"/>
            <w:id w:val="-1245188908"/>
            <w:lock w:val="sdtLocked"/>
          </w:sdtPr>
          <w:sdtEndPr/>
          <w:sdtContent>
            <w:p w:rsidR="000C5659" w:rsidRDefault="000E33C4">
              <w:pPr>
                <w:pStyle w:val="Style229"/>
                <w:rPr>
                  <w:sz w:val="21"/>
                  <w:szCs w:val="21"/>
                </w:rPr>
              </w:pPr>
              <w:r>
                <w:rPr>
                  <w:rFonts w:hint="eastAsia"/>
                  <w:sz w:val="21"/>
                  <w:szCs w:val="21"/>
                </w:rPr>
                <w:t>本公司根据所发行优先股</w:t>
              </w:r>
              <w:r>
                <w:rPr>
                  <w:sz w:val="21"/>
                  <w:szCs w:val="21"/>
                </w:rPr>
                <w:t>/永续债的合同条款及其所反映的经济实质而非仅以法律形式，在初始确认时将该金融工具或其组成部分分类为金融资产、金融负债或权益工具。</w:t>
              </w:r>
            </w:p>
            <w:p w:rsidR="000C5659" w:rsidRDefault="00220B84">
              <w:pPr>
                <w:pStyle w:val="Style229"/>
                <w:rPr>
                  <w:color w:val="000000" w:themeColor="text1"/>
                </w:rPr>
              </w:pPr>
            </w:p>
          </w:sdtContent>
        </w:sdt>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bookmarkStart w:id="129" w:name="_Hlk10465559"/>
      <w:r>
        <w:rPr>
          <w:rFonts w:ascii="宋体" w:hAnsi="宋体"/>
          <w:color w:val="000000" w:themeColor="text1"/>
        </w:rPr>
        <w:t>收入</w:t>
      </w:r>
    </w:p>
    <w:p w:rsidR="000C5659" w:rsidRDefault="000E33C4" w:rsidP="000743DD">
      <w:pPr>
        <w:pStyle w:val="43"/>
        <w:numPr>
          <w:ilvl w:val="3"/>
          <w:numId w:val="45"/>
        </w:numPr>
        <w:ind w:left="426" w:hanging="426"/>
        <w:rPr>
          <w:rFonts w:ascii="宋体" w:hAnsi="宋体"/>
          <w:color w:val="000000" w:themeColor="text1"/>
          <w:szCs w:val="21"/>
        </w:rPr>
      </w:pPr>
      <w:r>
        <w:rPr>
          <w:rFonts w:ascii="宋体" w:hAnsi="宋体" w:hint="eastAsia"/>
          <w:color w:val="000000" w:themeColor="text1"/>
          <w:szCs w:val="21"/>
        </w:rPr>
        <w:t>按照业务类型披露收入确认和计量所采用的会计政策</w:t>
      </w:r>
    </w:p>
    <w:sdt>
      <w:sdtPr>
        <w:rPr>
          <w:color w:val="000000" w:themeColor="text1"/>
        </w:rPr>
        <w:alias w:val="是否适用：收入确认和计量所采用的会计政策[双击切换]"/>
        <w:tag w:val="_GBC_b6eb71cc057645f3b05fb68d8273c681"/>
        <w:id w:val="-5586396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220B84">
      <w:pPr>
        <w:rPr>
          <w:sz w:val="24"/>
          <w:szCs w:val="24"/>
        </w:rPr>
      </w:pPr>
      <w:sdt>
        <w:sdtPr>
          <w:rPr>
            <w:color w:val="000000" w:themeColor="text1"/>
          </w:rPr>
          <w:alias w:val="收入确认和计量所采用的会计政策"/>
          <w:tag w:val="_GBC_c9c2b3029c08405387c460d2d7eacc7d"/>
          <w:id w:val="-1147742250"/>
          <w:placeholder>
            <w:docPart w:val="GBC22222222222222222222222222222"/>
          </w:placeholder>
        </w:sdtPr>
        <w:sdtEndPr/>
        <w:sdtContent>
          <w:sdt>
            <w:sdtPr>
              <w:rPr>
                <w:sz w:val="24"/>
                <w:szCs w:val="24"/>
              </w:rPr>
              <w:alias w:val="收入确认和计量所采用的会计政策"/>
              <w:tag w:val="_GBC_c9c2b3029c08405387c460d2d7eacc7d"/>
              <w:id w:val="-1951159290"/>
              <w:lock w:val="sdtLocked"/>
            </w:sdtPr>
            <w:sdtEndPr/>
            <w:sdtContent>
              <w:r w:rsidR="000E33C4">
                <w:rPr>
                  <w:rFonts w:hint="eastAsia"/>
                </w:rPr>
                <w:t>本公司在履行了合同中的履约义务，即在客户取得相关商品或服务控制权时确认收入。取得相关商品或服务控制权，是指能够主导该商品或服务的使用并从中获得几乎全部的经济利益。 合同中包含两项或多项履约义务的，本公司在合同开始日，按照各单项履约义务所承诺商品或服务的单独售价的相对比例，将交易价格分摊至各单项履约义务。本公司按照分摊至各单项履约义务的交易价格计量收入。                                                                    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满足下列条件之一的，属于在某一时段内履行履约义务，否则，属于在某一时点履行履约义务：                                                 •</w:t>
              </w:r>
              <w:r w:rsidR="000E33C4">
                <w:rPr>
                  <w:rFonts w:hint="eastAsia"/>
                </w:rPr>
                <w:tab/>
                <w:t>客户在本公司履约的同时即取得并消耗本公司履约所带来的经济利益。                   •</w:t>
              </w:r>
              <w:r w:rsidR="000E33C4">
                <w:rPr>
                  <w:rFonts w:hint="eastAsia"/>
                </w:rPr>
                <w:tab/>
                <w:t>客户能够控制本公司履约过程中在建的商品。                                         •</w:t>
              </w:r>
              <w:r w:rsidR="000E33C4">
                <w:rPr>
                  <w:rFonts w:hint="eastAsia"/>
                </w:rPr>
                <w:tab/>
                <w:t>本公司履约过程中所产出的商品具有不可替代用途，且本公司在整个合同期内有权就累计至今已完成的履约部分收取款项。                                                         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                                           对于在某一时点履行的履约义务，本公司在客户取得相关商品或服务控制权时点确认收入。在判断客户是否已取得商品或服务控制权时，本公司考虑下列迹象：                              •</w:t>
              </w:r>
              <w:r w:rsidR="000E33C4">
                <w:rPr>
                  <w:rFonts w:hint="eastAsia"/>
                </w:rPr>
                <w:tab/>
                <w:t>本公司就该商品或服务享有现时收款权利，即客户就该商品或服务负有现时付款义务。      •</w:t>
              </w:r>
              <w:r w:rsidR="000E33C4">
                <w:rPr>
                  <w:rFonts w:hint="eastAsia"/>
                </w:rPr>
                <w:tab/>
                <w:t>本公司已将该商品的法定所有权转移给客户，即客户已拥有该商品的法定所有权。          •</w:t>
              </w:r>
              <w:r w:rsidR="000E33C4">
                <w:rPr>
                  <w:rFonts w:hint="eastAsia"/>
                </w:rPr>
                <w:tab/>
                <w:t>本公司已将该商品实物转移给客户，即客户已实物占有该商品。                          •</w:t>
              </w:r>
              <w:r w:rsidR="000E33C4">
                <w:rPr>
                  <w:rFonts w:hint="eastAsia"/>
                </w:rPr>
                <w:tab/>
                <w:t>本公司已将该商品所有权上的主要风险和报酬转移给客户，即客户已取得该商品所有权上的主要风险和报酬。                                                                     •</w:t>
              </w:r>
              <w:r w:rsidR="000E33C4">
                <w:rPr>
                  <w:rFonts w:hint="eastAsia"/>
                </w:rPr>
                <w:tab/>
                <w:t>客户已接受该商品或服务等。                                                      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w:t>
              </w:r>
            </w:sdtContent>
          </w:sdt>
        </w:sdtContent>
      </w:sdt>
    </w:p>
    <w:p w:rsidR="000C5659" w:rsidRDefault="000C5659">
      <w:pPr>
        <w:rPr>
          <w:color w:val="000000" w:themeColor="text1"/>
        </w:rPr>
      </w:pPr>
    </w:p>
    <w:p w:rsidR="000C5659" w:rsidRDefault="000C5659">
      <w:pPr>
        <w:rPr>
          <w:color w:val="000000" w:themeColor="text1"/>
        </w:rPr>
      </w:pPr>
    </w:p>
    <w:p w:rsidR="000C5659" w:rsidRDefault="000E33C4" w:rsidP="000743DD">
      <w:pPr>
        <w:pStyle w:val="43"/>
        <w:numPr>
          <w:ilvl w:val="3"/>
          <w:numId w:val="45"/>
        </w:numPr>
        <w:ind w:left="426" w:hanging="426"/>
        <w:rPr>
          <w:rFonts w:ascii="宋体" w:hAnsi="宋体"/>
          <w:color w:val="000000" w:themeColor="text1"/>
          <w:szCs w:val="21"/>
        </w:rPr>
      </w:pPr>
      <w:bookmarkStart w:id="130" w:name="_Hlk10465594"/>
      <w:bookmarkEnd w:id="129"/>
      <w:r>
        <w:rPr>
          <w:rFonts w:ascii="宋体" w:hAnsi="宋体" w:hint="eastAsia"/>
          <w:color w:val="000000" w:themeColor="text1"/>
          <w:szCs w:val="21"/>
        </w:rPr>
        <w:t>同类业务采用不同经营模式涉及不同收入确认方式及计量方法</w:t>
      </w:r>
    </w:p>
    <w:sdt>
      <w:sdtPr>
        <w:rPr>
          <w:color w:val="000000" w:themeColor="text1"/>
        </w:rPr>
        <w:alias w:val="是否适用：同类业务采用不同经营模式导致收入确认会计政策存在差异的情况[双击切换]"/>
        <w:tag w:val="_GBC_f4f4337356c44180a833322bec4248a8"/>
        <w:id w:val="-17359257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szCs w:val="21"/>
        </w:rPr>
      </w:pPr>
      <w:bookmarkStart w:id="131" w:name="_Hlk10465679"/>
      <w:bookmarkEnd w:id="130"/>
      <w:r>
        <w:rPr>
          <w:rFonts w:ascii="宋体" w:hAnsi="宋体" w:hint="eastAsia"/>
          <w:color w:val="000000" w:themeColor="text1"/>
          <w:szCs w:val="21"/>
        </w:rPr>
        <w:t>合同成本</w:t>
      </w:r>
    </w:p>
    <w:sdt>
      <w:sdtPr>
        <w:rPr>
          <w:color w:val="000000" w:themeColor="text1"/>
        </w:rPr>
        <w:alias w:val="是否适用：合同成本_重要会计政策和估计[双击切换]"/>
        <w:tag w:val="_GBC_d7752b20e4914f04bf87bad019929fe8"/>
        <w:id w:val="133041280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220B84">
      <w:pPr>
        <w:rPr>
          <w:color w:val="000000" w:themeColor="text1"/>
        </w:rPr>
      </w:pPr>
      <w:sdt>
        <w:sdtPr>
          <w:rPr>
            <w:color w:val="000000" w:themeColor="text1"/>
          </w:rPr>
          <w:alias w:val="合同成本_重要会计政策和估计"/>
          <w:tag w:val="_GBC_6936a4a013d94bae8da35405dbef11fd"/>
          <w:id w:val="263648100"/>
          <w:placeholder>
            <w:docPart w:val="GBC22222222222222222222222222222"/>
          </w:placeholder>
        </w:sdtPr>
        <w:sdtEndPr/>
        <w:sdtContent>
          <w:sdt>
            <w:sdtPr>
              <w:rPr>
                <w:sz w:val="24"/>
                <w:szCs w:val="24"/>
              </w:rPr>
              <w:alias w:val="合同成本_重要会计政策和估计"/>
              <w:tag w:val="_GBC_6936a4a013d94bae8da35405dbef11fd"/>
              <w:id w:val="-534658205"/>
              <w:lock w:val="sdtLocked"/>
            </w:sdtPr>
            <w:sdtEndPr>
              <w:rPr>
                <w:sz w:val="21"/>
                <w:szCs w:val="21"/>
              </w:rPr>
            </w:sdtEndPr>
            <w:sdtContent>
              <w:r w:rsidR="000E33C4">
                <w:rPr>
                  <w:rFonts w:hint="eastAsia"/>
                </w:rPr>
                <w:t>合同成本包括合同履约成本与合同取得成本。                                            本公司为履行合同而发生的成本，不属于存货、固定资产或无形资产等相关准则规范范围的，在</w:t>
              </w:r>
              <w:r w:rsidR="000E33C4">
                <w:rPr>
                  <w:rFonts w:hint="eastAsia"/>
                </w:rPr>
                <w:lastRenderedPageBreak/>
                <w:t>满足下列条件时作为合同履约成本确认为一项资产：                                       •</w:t>
              </w:r>
              <w:r w:rsidR="000E33C4">
                <w:rPr>
                  <w:rFonts w:hint="eastAsia"/>
                </w:rPr>
                <w:tab/>
              </w:r>
              <w:r w:rsidR="000E33C4">
                <w:t xml:space="preserve"> </w:t>
              </w:r>
              <w:r w:rsidR="000E33C4">
                <w:rPr>
                  <w:rFonts w:hint="eastAsia"/>
                </w:rPr>
                <w:t>该成本与一份当前或预期取得的合同直接相关。                                      •</w:t>
              </w:r>
              <w:r w:rsidR="000E33C4">
                <w:rPr>
                  <w:rFonts w:hint="eastAsia"/>
                </w:rPr>
                <w:tab/>
              </w:r>
              <w:r w:rsidR="000E33C4">
                <w:t xml:space="preserve"> </w:t>
              </w:r>
              <w:r w:rsidR="000E33C4">
                <w:rPr>
                  <w:rFonts w:hint="eastAsia"/>
                </w:rPr>
                <w:t>该成本增加了本公司未来用于履行履约义务的资源。                                  •</w:t>
              </w:r>
              <w:r w:rsidR="000E33C4">
                <w:rPr>
                  <w:rFonts w:hint="eastAsia"/>
                </w:rPr>
                <w:tab/>
              </w:r>
              <w:r w:rsidR="000E33C4">
                <w:t xml:space="preserve"> </w:t>
              </w:r>
              <w:r w:rsidR="000E33C4">
                <w:rPr>
                  <w:rFonts w:hint="eastAsia"/>
                </w:rPr>
                <w:t>该成本预期能够收回。                                                           本公司为取得合同发生的增量成本预期能够收回的，作为合同取得成本确认为一项资产。 与合同成本有关的资产采用与该资产相关的商品或服务收入确认相同的基础进行摊销；但是对于合同取得成本摊销期限未超过一年的，本公司在发生时将其计入当期损益。</w:t>
              </w:r>
              <w:r w:rsidR="000E33C4">
                <w:rPr>
                  <w:rFonts w:ascii="Arial" w:hAnsi="Arial" w:cs="Arial"/>
                  <w:color w:val="0000FF"/>
                </w:rPr>
                <w:t xml:space="preserve">  </w:t>
              </w:r>
              <w:r w:rsidR="000E33C4">
                <w:rPr>
                  <w:rFonts w:ascii="Arial" w:hAnsi="Arial" w:cs="Arial" w:hint="eastAsia"/>
                  <w:color w:val="0000FF"/>
                </w:rPr>
                <w:t xml:space="preserve">                       </w:t>
              </w:r>
              <w:r w:rsidR="000E33C4">
                <w:rPr>
                  <w:rFonts w:hint="eastAsia"/>
                </w:rPr>
                <w:t>与合同成本有关的资产，其账面价值高于下列两项的差额的，本公司对超出部分计提减值准备，并确认为资产减值损失：                                                               1、因转让与该资产相关的商品或服务预期能够取得的剩余对价；                             2、为转让该相关商品或服务估计将要发生的成本。 以前期间减值的因素之后发生变化，使得前述差额高于该资产账面价值的，本公司转回原已计提的减值准备，并计入当期损益，但转回后的资产账面价值不超过假定不计提减值准备情况下该资产在转回日的账面价值。</w:t>
              </w:r>
            </w:sdtContent>
          </w:sdt>
          <w:r w:rsidR="000E33C4">
            <w:t xml:space="preserve"> </w:t>
          </w:r>
        </w:sdtContent>
      </w:sdt>
    </w:p>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bookmarkStart w:id="132" w:name="_Hlk10465775"/>
      <w:bookmarkEnd w:id="131"/>
      <w:r>
        <w:rPr>
          <w:rFonts w:ascii="宋体" w:hAnsi="宋体"/>
          <w:color w:val="000000" w:themeColor="text1"/>
        </w:rPr>
        <w:t>政府补助</w:t>
      </w:r>
    </w:p>
    <w:sdt>
      <w:sdtPr>
        <w:rPr>
          <w:color w:val="000000" w:themeColor="text1"/>
        </w:rPr>
        <w:alias w:val="是否适用：政府补助_重要会计政策和估计[双击切换]"/>
        <w:tag w:val="_GBC_09d5ec3540ea4d9a8e10c93326c490a0"/>
        <w:id w:val="-152563562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政府补助_重要会计政策和估计"/>
        <w:tag w:val="_GBC_f313a7b8b81b4ed0845a3af1ac57e5e8"/>
        <w:id w:val="-1596785738"/>
        <w:placeholder>
          <w:docPart w:val="GBC22222222222222222222222222222"/>
        </w:placeholder>
      </w:sdtPr>
      <w:sdtEndPr/>
      <w:sdtContent>
        <w:sdt>
          <w:sdtPr>
            <w:rPr>
              <w:sz w:val="24"/>
              <w:szCs w:val="24"/>
            </w:rPr>
            <w:alias w:val="政府补助_重要会计政策和估计"/>
            <w:tag w:val="_GBC_f313a7b8b81b4ed0845a3af1ac57e5e8"/>
            <w:id w:val="784699765"/>
            <w:lock w:val="sdtLocked"/>
          </w:sdtPr>
          <w:sdtEndPr/>
          <w:sdtContent>
            <w:p w:rsidR="000C5659" w:rsidRDefault="000E33C4">
              <w:pPr>
                <w:spacing w:line="360" w:lineRule="auto"/>
              </w:pPr>
              <w:r>
                <w:t>1</w:t>
              </w:r>
              <w:r>
                <w:rPr>
                  <w:rFonts w:hint="eastAsia"/>
                </w:rPr>
                <w:t>、</w:t>
              </w:r>
              <w:r>
                <w:t>类型</w:t>
              </w:r>
            </w:p>
            <w:p w:rsidR="000C5659" w:rsidRDefault="000E33C4" w:rsidP="00B820E0">
              <w:r>
                <w:t>政府补助，是本公司从政府无偿取得的货币性资产</w:t>
              </w:r>
              <w:r>
                <w:rPr>
                  <w:rFonts w:hint="eastAsia"/>
                </w:rPr>
                <w:t>或</w:t>
              </w:r>
              <w:r>
                <w:t>非货币性资产</w:t>
              </w:r>
              <w:r>
                <w:rPr>
                  <w:rFonts w:hint="eastAsia"/>
                </w:rPr>
                <w:t>，</w:t>
              </w:r>
              <w:r>
                <w:t>分为与资产相关的政府补助和与收益相关的政府补助。</w:t>
              </w:r>
            </w:p>
            <w:p w:rsidR="000C5659" w:rsidRDefault="000E33C4" w:rsidP="00B820E0">
              <w:r>
                <w:t>与资产相关的政府补助，是指本公司取得的、用于购建或以其他方式形成长期资产的政府补助。与收益相关的政府补助，是指除与资产相关的政府补助之外的政府补助。</w:t>
              </w:r>
            </w:p>
            <w:p w:rsidR="000C5659" w:rsidRDefault="000E33C4" w:rsidP="00B820E0">
              <w:r>
                <w:rPr>
                  <w:rFonts w:hint="eastAsia"/>
                </w:rPr>
                <w:t>2、</w:t>
              </w:r>
              <w:r>
                <w:t>确认时点</w:t>
              </w:r>
            </w:p>
            <w:p w:rsidR="000C5659" w:rsidRDefault="000E33C4" w:rsidP="00B820E0">
              <w:r>
                <w:rPr>
                  <w:rFonts w:hint="eastAsia"/>
                </w:rPr>
                <w:t>政府补助在本公司能够满足其所附的条件并且能够收到时，予以确认。</w:t>
              </w:r>
            </w:p>
            <w:p w:rsidR="000C5659" w:rsidRDefault="000E33C4" w:rsidP="00B820E0">
              <w:r>
                <w:rPr>
                  <w:rFonts w:hint="eastAsia"/>
                </w:rPr>
                <w:t>3、</w:t>
              </w:r>
              <w:r>
                <w:t>会计处理</w:t>
              </w:r>
            </w:p>
            <w:p w:rsidR="000C5659" w:rsidRDefault="000E33C4" w:rsidP="00B820E0">
              <w:r>
                <w:t>与资产相关的政府补助，</w:t>
              </w:r>
              <w:r>
                <w:rPr>
                  <w:rFonts w:hint="eastAsia"/>
                </w:rPr>
                <w:t>冲减</w:t>
              </w:r>
              <w:r>
                <w:t>相关资产账面价值或确认为递延收益</w:t>
              </w:r>
              <w:r>
                <w:rPr>
                  <w:rFonts w:hint="eastAsia"/>
                </w:rPr>
                <w:t>。确认为</w:t>
              </w:r>
              <w:r>
                <w:t>递延收益的，在相关资产</w:t>
              </w:r>
              <w:r>
                <w:rPr>
                  <w:rFonts w:hint="eastAsia"/>
                </w:rPr>
                <w:t>使用</w:t>
              </w:r>
              <w:r>
                <w:t>寿命内按照合理、系统的方法分期计入当期损益</w:t>
              </w:r>
              <w:r>
                <w:rPr>
                  <w:rFonts w:hint="eastAsia"/>
                </w:rPr>
                <w:t>（与</w:t>
              </w:r>
              <w:r>
                <w:t>本公司日常活动相关的，计入其他收益；与本公司日常活动无关的，计入营业外收入</w:t>
              </w:r>
              <w:r>
                <w:rPr>
                  <w:rFonts w:hint="eastAsia"/>
                </w:rPr>
                <w:t>）</w:t>
              </w:r>
              <w:r>
                <w:t>；</w:t>
              </w:r>
            </w:p>
            <w:p w:rsidR="000C5659" w:rsidRDefault="000E33C4" w:rsidP="00B820E0">
              <w:r>
                <w:t>与收益相关的政府补助，用于补偿</w:t>
              </w:r>
              <w:r>
                <w:rPr>
                  <w:rFonts w:hint="eastAsia"/>
                </w:rPr>
                <w:t>本</w:t>
              </w:r>
              <w:r>
                <w:t>公司以后期间的相关</w:t>
              </w:r>
              <w:r>
                <w:rPr>
                  <w:rFonts w:hint="eastAsia"/>
                </w:rPr>
                <w:t>成本</w:t>
              </w:r>
              <w:r>
                <w:t>费用或损失的，</w:t>
              </w:r>
              <w:r>
                <w:rPr>
                  <w:rFonts w:hint="eastAsia"/>
                </w:rPr>
                <w:t>确认</w:t>
              </w:r>
              <w:r>
                <w:t>为递延收益，</w:t>
              </w:r>
              <w:r>
                <w:rPr>
                  <w:rFonts w:hint="eastAsia"/>
                </w:rPr>
                <w:t>并在</w:t>
              </w:r>
              <w:r>
                <w:t>确认相关成本费用或损失的期间</w:t>
              </w:r>
              <w:r>
                <w:rPr>
                  <w:rFonts w:hint="eastAsia"/>
                </w:rPr>
                <w:t>，</w:t>
              </w:r>
              <w:r>
                <w:t>计入当期损益（</w:t>
              </w:r>
              <w:r>
                <w:rPr>
                  <w:rFonts w:hint="eastAsia"/>
                </w:rPr>
                <w:t>与</w:t>
              </w:r>
              <w:r>
                <w:t>本公司日常活动相关的，计入其他收益；与本公司日常活动无关的，计入营业外收入）</w:t>
              </w:r>
              <w:r>
                <w:rPr>
                  <w:rFonts w:hint="eastAsia"/>
                </w:rPr>
                <w:t>或</w:t>
              </w:r>
              <w:r>
                <w:t>冲减相关成本费用或损失；用于补偿</w:t>
              </w:r>
              <w:r>
                <w:rPr>
                  <w:rFonts w:hint="eastAsia"/>
                </w:rPr>
                <w:t>本</w:t>
              </w:r>
              <w:r>
                <w:t>公司已发生的相关</w:t>
              </w:r>
              <w:r>
                <w:rPr>
                  <w:rFonts w:hint="eastAsia"/>
                </w:rPr>
                <w:t>成本</w:t>
              </w:r>
              <w:r>
                <w:t>费用或损失的，直接计入当期</w:t>
              </w:r>
              <w:r>
                <w:rPr>
                  <w:rFonts w:hint="eastAsia"/>
                </w:rPr>
                <w:t>损益</w:t>
              </w:r>
              <w:r>
                <w:t>（</w:t>
              </w:r>
              <w:r>
                <w:rPr>
                  <w:rFonts w:hint="eastAsia"/>
                </w:rPr>
                <w:t>与</w:t>
              </w:r>
              <w:r>
                <w:t>本公司日常活动相关的，计入其他收益；与本公司日常活动无关的，计入营业外收入）或冲减相关成本费用或损失。</w:t>
              </w:r>
            </w:p>
            <w:p w:rsidR="000C5659" w:rsidRDefault="000E33C4" w:rsidP="00B820E0">
              <w:r>
                <w:rPr>
                  <w:rFonts w:hint="eastAsia"/>
                </w:rPr>
                <w:t>本公司</w:t>
              </w:r>
              <w:r>
                <w:t>取得</w:t>
              </w:r>
              <w:r>
                <w:rPr>
                  <w:rFonts w:hint="eastAsia"/>
                </w:rPr>
                <w:t>的</w:t>
              </w:r>
              <w:r>
                <w:t>政策性优惠贷款贴息，区分以下两种</w:t>
              </w:r>
              <w:r>
                <w:rPr>
                  <w:rFonts w:hint="eastAsia"/>
                </w:rPr>
                <w:t>情况</w:t>
              </w:r>
              <w:r>
                <w:t>，分别进行会计处理：</w:t>
              </w:r>
            </w:p>
            <w:p w:rsidR="000C5659" w:rsidRDefault="000E33C4" w:rsidP="00B820E0">
              <w:r>
                <w:rPr>
                  <w:rFonts w:hint="eastAsia"/>
                </w:rPr>
                <w:t>（</w:t>
              </w:r>
              <w:r>
                <w:t>1</w:t>
              </w:r>
              <w:r>
                <w:rPr>
                  <w:rFonts w:hint="eastAsia"/>
                </w:rPr>
                <w:t>）财政将贴息资金拨付给贷款银行，由贷款银行以政策性优惠利率向本公司提供贷款的，本公司以实际收到的借款金额作为借款的入账价值，按照借款本金和该政策性优惠利率计算相关借款费用。</w:t>
              </w:r>
            </w:p>
            <w:p w:rsidR="000C5659" w:rsidRDefault="000E33C4" w:rsidP="00B820E0">
              <w:r>
                <w:rPr>
                  <w:rFonts w:hint="eastAsia"/>
                </w:rPr>
                <w:t>（</w:t>
              </w:r>
              <w:r>
                <w:t>2</w:t>
              </w:r>
              <w:r>
                <w:rPr>
                  <w:rFonts w:hint="eastAsia"/>
                </w:rPr>
                <w:t>）财政将贴息资金直接拨付给本公司的，本公司将对应的贴息冲减相关借款费用。</w:t>
              </w:r>
            </w:p>
            <w:p w:rsidR="000C5659" w:rsidRDefault="00220B84">
              <w:pPr>
                <w:rPr>
                  <w:color w:val="000000" w:themeColor="text1"/>
                </w:rPr>
              </w:pPr>
            </w:p>
          </w:sdtContent>
        </w:sdt>
      </w:sdtContent>
    </w:sdt>
    <w:bookmarkEnd w:id="132"/>
    <w:p w:rsidR="000C5659" w:rsidRDefault="000E33C4" w:rsidP="000743DD">
      <w:pPr>
        <w:pStyle w:val="35"/>
        <w:numPr>
          <w:ilvl w:val="0"/>
          <w:numId w:val="40"/>
        </w:numPr>
        <w:rPr>
          <w:rFonts w:ascii="宋体" w:hAnsi="宋体"/>
          <w:color w:val="000000" w:themeColor="text1"/>
        </w:rPr>
      </w:pPr>
      <w:r>
        <w:rPr>
          <w:rFonts w:ascii="宋体" w:hAnsi="宋体"/>
          <w:color w:val="000000" w:themeColor="text1"/>
        </w:rPr>
        <w:t>递延所得税资产/递延所得税负债</w:t>
      </w:r>
    </w:p>
    <w:sdt>
      <w:sdtPr>
        <w:rPr>
          <w:rFonts w:hint="eastAsia"/>
          <w:color w:val="000000" w:themeColor="text1"/>
        </w:rPr>
        <w:alias w:val="是否适用：所得税的会计处理方法[双击切换]"/>
        <w:tag w:val="_GBC_3e4bb828d17944599248216201e65683"/>
        <w:id w:val="-32682344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bCs/>
          <w:color w:val="000000" w:themeColor="text1"/>
          <w:sz w:val="21"/>
          <w:szCs w:val="21"/>
        </w:rPr>
        <w:alias w:val="所得税的会计处理方法"/>
        <w:tag w:val="_GBC_545dd84ed2b9458fa5e2b87aa1e1cc1c"/>
        <w:id w:val="523453042"/>
        <w:placeholder>
          <w:docPart w:val="GBC22222222222222222222222222222"/>
        </w:placeholder>
      </w:sdtPr>
      <w:sdtEndPr/>
      <w:sdtContent>
        <w:p w:rsidR="000C5659" w:rsidRDefault="000E33C4">
          <w:pPr>
            <w:pStyle w:val="Style229"/>
            <w:rPr>
              <w:sz w:val="21"/>
              <w:szCs w:val="21"/>
            </w:rPr>
          </w:pPr>
          <w:r>
            <w:rPr>
              <w:rFonts w:hint="eastAsia"/>
              <w:sz w:val="21"/>
              <w:szCs w:val="21"/>
            </w:rPr>
            <w:t>所得税包括当期所得税和递延所得税。除因企业合并和直接计入所有者权益</w:t>
          </w:r>
          <w:r>
            <w:rPr>
              <w:sz w:val="21"/>
              <w:szCs w:val="21"/>
            </w:rPr>
            <w:t>(包括其他综合收益)的交易或者事项产生的所得税外，本公司将当期所得税和递延所得税计入当期损益。</w:t>
          </w:r>
        </w:p>
        <w:p w:rsidR="000C5659" w:rsidRDefault="000E33C4">
          <w:pPr>
            <w:pStyle w:val="Style325"/>
          </w:pPr>
          <w:r>
            <w:rPr>
              <w:rFonts w:hint="eastAsia"/>
            </w:rPr>
            <w:t>递延所得税资产和递延所得税负债根据资产和负债的计税基础与其账面价值的差额</w:t>
          </w:r>
          <w:r>
            <w:t>(暂时性差异)计算确认。</w:t>
          </w:r>
        </w:p>
        <w:p w:rsidR="000C5659" w:rsidRDefault="000E33C4">
          <w:pPr>
            <w:pStyle w:val="Style229"/>
            <w:rPr>
              <w:sz w:val="21"/>
              <w:szCs w:val="21"/>
            </w:rPr>
          </w:pPr>
          <w:r>
            <w:rPr>
              <w:rFonts w:hint="eastAsia"/>
              <w:sz w:val="21"/>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0C5659" w:rsidRDefault="000E33C4">
          <w:pPr>
            <w:pStyle w:val="Style229"/>
            <w:rPr>
              <w:sz w:val="21"/>
              <w:szCs w:val="21"/>
            </w:rPr>
          </w:pPr>
          <w:r>
            <w:rPr>
              <w:rFonts w:hint="eastAsia"/>
              <w:sz w:val="21"/>
              <w:szCs w:val="21"/>
            </w:rPr>
            <w:t>对于应纳税暂时性差异，除特殊情况外，确认递延所得税负债。</w:t>
          </w:r>
        </w:p>
        <w:p w:rsidR="000C5659" w:rsidRDefault="000E33C4">
          <w:pPr>
            <w:pStyle w:val="Style229"/>
            <w:rPr>
              <w:sz w:val="21"/>
              <w:szCs w:val="21"/>
            </w:rPr>
          </w:pPr>
          <w:r>
            <w:rPr>
              <w:rFonts w:hint="eastAsia"/>
              <w:sz w:val="21"/>
              <w:szCs w:val="21"/>
            </w:rPr>
            <w:t>不确认递延所得税资产或递延所得税负债的特殊情况包括：</w:t>
          </w:r>
        </w:p>
        <w:p w:rsidR="000C5659" w:rsidRDefault="000E33C4">
          <w:pPr>
            <w:pStyle w:val="Style229"/>
            <w:rPr>
              <w:sz w:val="21"/>
              <w:szCs w:val="21"/>
            </w:rPr>
          </w:pPr>
          <w:r>
            <w:rPr>
              <w:rFonts w:hint="eastAsia"/>
              <w:sz w:val="21"/>
              <w:szCs w:val="21"/>
            </w:rPr>
            <w:lastRenderedPageBreak/>
            <w:t>•</w:t>
          </w:r>
          <w:r>
            <w:rPr>
              <w:sz w:val="21"/>
              <w:szCs w:val="21"/>
            </w:rPr>
            <w:tab/>
            <w:t xml:space="preserve"> 商誉的初始确认；</w:t>
          </w:r>
        </w:p>
        <w:p w:rsidR="000C5659" w:rsidRDefault="000E33C4">
          <w:pPr>
            <w:pStyle w:val="Style229"/>
            <w:rPr>
              <w:sz w:val="21"/>
              <w:szCs w:val="21"/>
            </w:rPr>
          </w:pPr>
          <w:r>
            <w:rPr>
              <w:rFonts w:hint="eastAsia"/>
              <w:sz w:val="21"/>
              <w:szCs w:val="21"/>
            </w:rPr>
            <w:t>•</w:t>
          </w:r>
          <w:r>
            <w:rPr>
              <w:sz w:val="21"/>
              <w:szCs w:val="21"/>
            </w:rPr>
            <w:tab/>
            <w:t xml:space="preserve"> 既不是企业合并、发生时也不影响会计利润和应纳税所得额(或可抵扣亏损)的交易或事项。</w:t>
          </w:r>
        </w:p>
        <w:p w:rsidR="000C5659" w:rsidRDefault="000E33C4">
          <w:pPr>
            <w:pStyle w:val="Style229"/>
            <w:rPr>
              <w:sz w:val="21"/>
              <w:szCs w:val="21"/>
            </w:rPr>
          </w:pPr>
          <w:r>
            <w:rPr>
              <w:rFonts w:hint="eastAsia"/>
              <w:sz w:val="21"/>
              <w:szCs w:val="21"/>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转回且未来很可能获得用来抵扣可抵扣暂时性差异的应纳税所得额时，确认递延所得税资产。</w:t>
          </w:r>
        </w:p>
        <w:p w:rsidR="000C5659" w:rsidRDefault="000E33C4">
          <w:pPr>
            <w:pStyle w:val="Style229"/>
            <w:rPr>
              <w:sz w:val="21"/>
              <w:szCs w:val="21"/>
            </w:rPr>
          </w:pPr>
          <w:r>
            <w:rPr>
              <w:rFonts w:hint="eastAsia"/>
              <w:sz w:val="21"/>
              <w:szCs w:val="21"/>
            </w:rPr>
            <w:t>资产负债表日，对于递延所得税资产和递延所得税负债，根据税法规定，按照预期收回相关资产或清偿相关负债期间的适用税率计量。</w:t>
          </w:r>
        </w:p>
        <w:p w:rsidR="000C5659" w:rsidRDefault="000E33C4">
          <w:pPr>
            <w:pStyle w:val="Style229"/>
            <w:rPr>
              <w:sz w:val="21"/>
              <w:szCs w:val="21"/>
            </w:rPr>
          </w:pPr>
          <w:r>
            <w:rPr>
              <w:rFonts w:hint="eastAsia"/>
              <w:sz w:val="21"/>
              <w:szCs w:val="21"/>
            </w:rPr>
            <w:t>资产负债表日，本公司对递延所得税资产的账面价值进行复核。如果未来期间很可能无法获得足够的应纳税所得额用以抵扣递延所得税资产的利益，则减记递延所得税资产的账面价值。在很可能获得足够的应纳税所得额时，减记的金额予以转回。</w:t>
          </w:r>
        </w:p>
        <w:p w:rsidR="000C5659" w:rsidRDefault="000E33C4">
          <w:pPr>
            <w:pStyle w:val="Style229"/>
            <w:rPr>
              <w:sz w:val="21"/>
              <w:szCs w:val="21"/>
            </w:rPr>
          </w:pPr>
          <w:r>
            <w:rPr>
              <w:rFonts w:hint="eastAsia"/>
              <w:sz w:val="21"/>
              <w:szCs w:val="21"/>
            </w:rPr>
            <w:t>当拥有以净额结算的法定权利，且意图以净额结算或取得资产、清偿负债同时进行时，当期所得税资产及当期所得税负债以抵销后的净额列报。</w:t>
          </w:r>
        </w:p>
        <w:p w:rsidR="000C5659" w:rsidRDefault="000E33C4">
          <w:pPr>
            <w:pStyle w:val="Style229"/>
            <w:rPr>
              <w:sz w:val="21"/>
              <w:szCs w:val="21"/>
            </w:rPr>
          </w:pPr>
          <w:r>
            <w:rPr>
              <w:rFonts w:hint="eastAsia"/>
              <w:sz w:val="21"/>
              <w:szCs w:val="21"/>
            </w:rPr>
            <w:t>资产负债表日，递延所得税资产及递延所得税负债在同时满足以下条件时以抵销后的净额列示：</w:t>
          </w:r>
        </w:p>
        <w:p w:rsidR="000C5659" w:rsidRDefault="000E33C4">
          <w:pPr>
            <w:pStyle w:val="Style229"/>
            <w:rPr>
              <w:sz w:val="21"/>
              <w:szCs w:val="21"/>
            </w:rPr>
          </w:pPr>
          <w:r>
            <w:rPr>
              <w:rFonts w:hint="eastAsia"/>
              <w:sz w:val="21"/>
              <w:szCs w:val="21"/>
            </w:rPr>
            <w:t>•</w:t>
          </w:r>
          <w:r>
            <w:rPr>
              <w:sz w:val="21"/>
              <w:szCs w:val="21"/>
            </w:rPr>
            <w:tab/>
            <w:t xml:space="preserve"> 纳税主体拥有以净额结算当期所得税资产及当期所得税负债的法定权利；</w:t>
          </w:r>
        </w:p>
        <w:p w:rsidR="000C5659" w:rsidRDefault="000E33C4">
          <w:pPr>
            <w:rPr>
              <w:color w:val="000000" w:themeColor="text1"/>
            </w:rPr>
          </w:pPr>
          <w:r>
            <w:rPr>
              <w:rFonts w:hint="eastAsia"/>
            </w:rPr>
            <w:t>•</w:t>
          </w:r>
          <w:r>
            <w:tab/>
            <w:t xml:space="preserve"> 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p w:rsidR="000C5659" w:rsidRDefault="000C5659">
      <w:pPr>
        <w:rPr>
          <w:color w:val="000000" w:themeColor="text1"/>
        </w:rPr>
      </w:pPr>
    </w:p>
    <w:p w:rsidR="000C5659" w:rsidRDefault="000E33C4" w:rsidP="000743DD">
      <w:pPr>
        <w:pStyle w:val="35"/>
        <w:numPr>
          <w:ilvl w:val="0"/>
          <w:numId w:val="40"/>
        </w:numPr>
        <w:rPr>
          <w:rFonts w:ascii="宋体" w:hAnsi="宋体" w:cs="宋体"/>
          <w:color w:val="000000" w:themeColor="text1"/>
          <w:kern w:val="0"/>
          <w:szCs w:val="22"/>
        </w:rPr>
      </w:pPr>
      <w:bookmarkStart w:id="133" w:name="_Hlk169007779"/>
      <w:bookmarkStart w:id="134" w:name="_Hlk167884177"/>
      <w:r>
        <w:rPr>
          <w:rFonts w:ascii="宋体" w:hAnsi="宋体" w:cs="宋体"/>
          <w:color w:val="000000" w:themeColor="text1"/>
          <w:kern w:val="0"/>
          <w:szCs w:val="22"/>
        </w:rPr>
        <w:t>租赁</w:t>
      </w:r>
    </w:p>
    <w:sdt>
      <w:sdtPr>
        <w:rPr>
          <w:color w:val="000000" w:themeColor="text1"/>
        </w:rPr>
        <w:alias w:val="是否适用：租赁_重要会计政策和估计[双击切换]"/>
        <w:tag w:val="_GBC_7f954ee357264e2c946d2c530d8787c5"/>
        <w:id w:val="150702138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rPr>
          <w:rFonts w:ascii="Calibri" w:hAnsi="Calibri" w:cs="Times New Roman"/>
          <w:b/>
          <w:color w:val="000000" w:themeColor="text1"/>
          <w:kern w:val="2"/>
          <w:szCs w:val="32"/>
        </w:rPr>
      </w:pPr>
      <w:r>
        <w:rPr>
          <w:rFonts w:ascii="Calibri" w:hAnsi="Calibri" w:cs="Times New Roman"/>
          <w:b/>
          <w:color w:val="000000" w:themeColor="text1"/>
          <w:kern w:val="2"/>
          <w:szCs w:val="32"/>
        </w:rPr>
        <w:t>作为承租方对短期租赁和低价值资产租赁进行简化处理的判断依据和会计处理方法</w:t>
      </w:r>
    </w:p>
    <w:sdt>
      <w:sdtPr>
        <w:rPr>
          <w:color w:val="000000" w:themeColor="text1"/>
        </w:rPr>
        <w:alias w:val="是否适用：作为承租方对短期租赁和低价值资产租赁进行简化处理的判断依据和会计处理方法[双击切换]"/>
        <w:tag w:val="_GBC_7bcaad3acb7c40ecbe59ad19b127555f"/>
        <w:id w:val="1110626464"/>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作为承租方对短期租赁和低价值资产租赁进行简化处理的判断依据和会计处理方法"/>
        <w:tag w:val="_GBC_83c59a0eb4ac4ef2afb783bc5dd4efb6"/>
        <w:id w:val="-73356809"/>
      </w:sdtPr>
      <w:sdtEndPr/>
      <w:sdtContent>
        <w:p w:rsidR="000C5659" w:rsidRDefault="000E33C4" w:rsidP="00B820E0">
          <w:r>
            <w:t>租赁</w:t>
          </w:r>
          <w:r>
            <w:rPr>
              <w:rFonts w:hint="eastAsia"/>
            </w:rPr>
            <w:t>，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租赁。</w:t>
          </w:r>
        </w:p>
        <w:p w:rsidR="000C5659" w:rsidRDefault="000E33C4" w:rsidP="00B820E0">
          <w:pPr>
            <w:rPr>
              <w:color w:val="000000" w:themeColor="text1"/>
            </w:rPr>
          </w:pPr>
          <w:r>
            <w:rPr>
              <w:rFonts w:hint="eastAsia"/>
            </w:rPr>
            <w:t>合同中同时包含多项单独租赁的，本公司将合同予以分拆，并分别各项单独租赁进行会计处理。合同中同时包含租赁和非租赁部分的，承租人和出租人将租赁和非租赁部分进行分拆。</w:t>
          </w:r>
        </w:p>
        <w:p w:rsidR="000C5659" w:rsidRDefault="000E33C4" w:rsidP="00B820E0">
          <w:r>
            <w:rPr>
              <w:rFonts w:hint="eastAsia"/>
            </w:rPr>
            <w:t>（1）使用权资产</w:t>
          </w:r>
        </w:p>
        <w:p w:rsidR="000C5659" w:rsidRDefault="000E33C4" w:rsidP="00B820E0">
          <w:pPr>
            <w:pStyle w:val="Style230"/>
            <w:spacing w:line="240" w:lineRule="auto"/>
            <w:ind w:left="0"/>
          </w:pPr>
          <w:r>
            <w:rPr>
              <w:rFonts w:hint="eastAsia"/>
            </w:rPr>
            <w:t>在租赁期开始日，本公司对除短期租赁和低价值资产租赁以外的租赁确认使用权资产。使用权资产按照成本进行初始计量。该成本包括：</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租赁负债的初始计量金额；</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在租赁期开始日或之前支付的租赁付款额，存在租赁激励的，扣除已享受的租赁激励相关金额；</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本公司发生的初始直接费用；</w:t>
          </w:r>
        </w:p>
        <w:p w:rsidR="000C5659" w:rsidRDefault="000E33C4" w:rsidP="00B820E0">
          <w:pPr>
            <w:pStyle w:val="Style230"/>
            <w:numPr>
              <w:ilvl w:val="0"/>
              <w:numId w:val="46"/>
            </w:numPr>
            <w:spacing w:line="240" w:lineRule="auto"/>
            <w:ind w:left="0"/>
            <w:jc w:val="left"/>
          </w:pPr>
          <w:r>
            <w:rPr>
              <w:rFonts w:eastAsiaTheme="minorEastAsia" w:hint="eastAsia"/>
            </w:rPr>
            <w:t>本公司为拆卸及移除租赁资产、复原租赁资产所在场地或将租赁资产恢复至租赁条款约定状态预计将发生的成本，但不包括属于为生产存货而发生的成本。</w:t>
          </w:r>
        </w:p>
        <w:p w:rsidR="000C5659" w:rsidRDefault="000E33C4" w:rsidP="00B820E0">
          <w:pPr>
            <w:pStyle w:val="Style230"/>
            <w:spacing w:line="240" w:lineRule="auto"/>
            <w:ind w:left="0"/>
          </w:pPr>
          <w:r>
            <w:rPr>
              <w:rFonts w:hint="eastAsia"/>
            </w:rPr>
            <w:t>本公司后续采用直线法对使用权资产计提折旧。对</w:t>
          </w:r>
          <w:r>
            <w:t>能够合理</w:t>
          </w:r>
          <w:r>
            <w:rPr>
              <w:rFonts w:hint="eastAsia"/>
            </w:rPr>
            <w:t>确定租赁期届满时取得租赁资产所有权的，本公司在租赁资产剩余使用寿命内计提折旧；否则，租赁资产在租赁期与租赁资产剩余使用寿命两者孰短的期间内计提折旧。</w:t>
          </w:r>
        </w:p>
        <w:p w:rsidR="000C5659" w:rsidRDefault="000E33C4" w:rsidP="00B820E0">
          <w:pPr>
            <w:pStyle w:val="Style230"/>
            <w:spacing w:line="240" w:lineRule="auto"/>
            <w:ind w:left="0"/>
          </w:pPr>
          <w:r>
            <w:rPr>
              <w:rFonts w:hint="eastAsia"/>
            </w:rPr>
            <w:t>本公司按照本附注“三、（十七）长期资产减值”所述原则来确定使用权资产是否已发生减值，并对已识别的减值损失进行会计处理。</w:t>
          </w:r>
        </w:p>
        <w:p w:rsidR="000C5659" w:rsidRDefault="000C5659" w:rsidP="00B820E0">
          <w:pPr>
            <w:pStyle w:val="Style230"/>
            <w:spacing w:line="240" w:lineRule="auto"/>
            <w:ind w:left="0"/>
          </w:pPr>
        </w:p>
        <w:p w:rsidR="000C5659" w:rsidRDefault="000E33C4" w:rsidP="00B820E0">
          <w:pPr>
            <w:pStyle w:val="Style230"/>
            <w:spacing w:line="240" w:lineRule="auto"/>
            <w:ind w:left="0"/>
          </w:pPr>
          <w:r>
            <w:rPr>
              <w:rFonts w:hint="eastAsia"/>
            </w:rPr>
            <w:t>（2）租赁负债</w:t>
          </w:r>
        </w:p>
        <w:p w:rsidR="000C5659" w:rsidRDefault="000E33C4" w:rsidP="00B820E0">
          <w:pPr>
            <w:pStyle w:val="Style230"/>
            <w:spacing w:line="240" w:lineRule="auto"/>
            <w:ind w:left="0"/>
          </w:pPr>
          <w:r>
            <w:rPr>
              <w:rFonts w:hint="eastAsia"/>
            </w:rPr>
            <w:t>在租赁期开始日，本公司对除短期租赁和低价值资产租赁以外的租赁确认租赁负债。租赁负债按照尚未支付的租赁付款额的现值进行初始计量。租赁付款额包括：</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固定付款额（包括实质固定付款额），存在租赁激励的，扣除租赁激励相关金额；</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取决于指数或比率的可变租赁付款额；</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根据公司提供的担保余值预计应支付的款项；</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购买选择权的行权价格，前提是公司合理确定将行使该选择权；</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lastRenderedPageBreak/>
            <w:t>行使终止租赁选择权需支付的款项，前提是租赁期反映出公司将行使终止租赁选择权。</w:t>
          </w:r>
        </w:p>
        <w:p w:rsidR="000C5659" w:rsidRDefault="000E33C4" w:rsidP="00B820E0">
          <w:pPr>
            <w:pStyle w:val="Style230"/>
            <w:spacing w:line="240" w:lineRule="auto"/>
            <w:ind w:left="0"/>
          </w:pPr>
          <w:r>
            <w:rPr>
              <w:rFonts w:hint="eastAsia"/>
            </w:rPr>
            <w:t>本公司采用租赁内含利率作为折现率，但如果无法合理确定租赁内含利率的，则采用本公司的增量借款利率作为折现率。</w:t>
          </w:r>
        </w:p>
        <w:p w:rsidR="000C5659" w:rsidRDefault="000E33C4" w:rsidP="00B820E0">
          <w:pPr>
            <w:pStyle w:val="Style230"/>
            <w:spacing w:line="240" w:lineRule="auto"/>
            <w:ind w:left="0"/>
          </w:pPr>
          <w:r>
            <w:rPr>
              <w:rFonts w:hint="eastAsia"/>
            </w:rPr>
            <w:t>本公司按照固定的周期性利率计算租赁负债在租赁期内各期间的利息费用，并计入当期损益或相关资产成本。</w:t>
          </w:r>
        </w:p>
        <w:p w:rsidR="000C5659" w:rsidRDefault="000E33C4" w:rsidP="00B820E0">
          <w:pPr>
            <w:pStyle w:val="Style230"/>
            <w:spacing w:line="240" w:lineRule="auto"/>
            <w:ind w:left="0"/>
          </w:pPr>
          <w:r>
            <w:rPr>
              <w:rFonts w:hint="eastAsia"/>
            </w:rPr>
            <w:t>未纳入租赁负债计量的可变租赁付款额在实际发生时计入当期损益或相关资产成本。</w:t>
          </w:r>
        </w:p>
        <w:p w:rsidR="000C5659" w:rsidRDefault="000E33C4" w:rsidP="00B820E0">
          <w:pPr>
            <w:pStyle w:val="Style230"/>
            <w:spacing w:line="240" w:lineRule="auto"/>
            <w:ind w:left="0"/>
          </w:pPr>
          <w:r>
            <w:t>在租赁期开始日后</w:t>
          </w:r>
          <w:r>
            <w:rPr>
              <w:rFonts w:hint="eastAsia"/>
            </w:rPr>
            <w:t>，</w:t>
          </w:r>
          <w:r>
            <w:t>发生下列情形的</w:t>
          </w:r>
          <w:r>
            <w:rPr>
              <w:rFonts w:hint="eastAsia"/>
            </w:rPr>
            <w:t>，本</w:t>
          </w:r>
          <w:r>
            <w:t>公司</w:t>
          </w:r>
          <w:r>
            <w:rPr>
              <w:rFonts w:hint="eastAsia"/>
            </w:rPr>
            <w:t>重新计量租赁负债，并调整相应的使用权资产，若使用权资产的账面价值已调减至零，但租赁负债仍需进一步调减的，将差额计入当期损益：</w:t>
          </w:r>
        </w:p>
        <w:p w:rsidR="000C5659" w:rsidRDefault="000E33C4" w:rsidP="00B820E0">
          <w:pPr>
            <w:pStyle w:val="Style230"/>
            <w:numPr>
              <w:ilvl w:val="0"/>
              <w:numId w:val="47"/>
            </w:numPr>
            <w:spacing w:line="240" w:lineRule="auto"/>
            <w:ind w:left="0"/>
          </w:pPr>
          <w:r>
            <w:rPr>
              <w:rFonts w:hint="eastAsia"/>
            </w:rPr>
            <w:t>当购买选择权、续租选择权或终止选择权的评估结果发生变化，或前述选择权的实际行权情况与原评估结果不一致的，本公司按变动后租赁付款额和修订后的折现率计算的现值重新计量租赁负债；</w:t>
          </w:r>
        </w:p>
        <w:p w:rsidR="000C5659" w:rsidRDefault="000E33C4" w:rsidP="00B820E0">
          <w:pPr>
            <w:pStyle w:val="Style230"/>
            <w:numPr>
              <w:ilvl w:val="0"/>
              <w:numId w:val="47"/>
            </w:numPr>
            <w:spacing w:line="240" w:lineRule="auto"/>
            <w:ind w:left="0"/>
          </w:pPr>
          <w:r>
            <w:rPr>
              <w:rFonts w:hint="eastAsia"/>
            </w:rP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rsidR="000C5659" w:rsidRDefault="000C5659" w:rsidP="00B820E0">
          <w:pPr>
            <w:pStyle w:val="Style230"/>
            <w:spacing w:line="240" w:lineRule="auto"/>
            <w:ind w:left="0"/>
          </w:pPr>
        </w:p>
        <w:p w:rsidR="000C5659" w:rsidRDefault="000E33C4" w:rsidP="00B820E0">
          <w:pPr>
            <w:pStyle w:val="Style230"/>
            <w:spacing w:line="240" w:lineRule="auto"/>
            <w:ind w:left="0"/>
          </w:pPr>
          <w:r>
            <w:rPr>
              <w:rFonts w:hint="eastAsia"/>
            </w:rPr>
            <w:t>（3）短期租赁和低价值资产租赁</w:t>
          </w:r>
        </w:p>
        <w:p w:rsidR="000C5659" w:rsidRDefault="000E33C4" w:rsidP="00B820E0">
          <w:pPr>
            <w:pStyle w:val="Style230"/>
            <w:spacing w:line="240" w:lineRule="auto"/>
            <w:ind w:left="0"/>
          </w:pPr>
          <w:r>
            <w:rPr>
              <w:rFonts w:hint="eastAsia"/>
            </w:rPr>
            <w:t>本</w:t>
          </w:r>
          <w:r>
            <w:t>公司选择对短期租赁和低价值资产租赁不确认使用权资产和租赁负债</w:t>
          </w:r>
          <w:r>
            <w:rPr>
              <w:rFonts w:hint="eastAsia"/>
            </w:rPr>
            <w:t>的，</w:t>
          </w:r>
          <w:r>
            <w:t>将相关</w:t>
          </w:r>
          <w:r>
            <w:rPr>
              <w:rFonts w:hint="eastAsia"/>
            </w:rPr>
            <w:t>的</w:t>
          </w:r>
          <w:r>
            <w:t>租赁付款额在租赁期内各个期间按照直线法计入当期损益或相关资产成本</w:t>
          </w:r>
          <w:r>
            <w:rPr>
              <w:rFonts w:hint="eastAsia"/>
            </w:rPr>
            <w:t>。</w:t>
          </w:r>
          <w:r>
            <w:t>短期租赁</w:t>
          </w:r>
          <w:r>
            <w:rPr>
              <w:rFonts w:hint="eastAsia"/>
            </w:rPr>
            <w:t>，</w:t>
          </w:r>
          <w:r>
            <w:t>是指在租赁期开始日</w:t>
          </w:r>
          <w:r>
            <w:rPr>
              <w:rFonts w:hint="eastAsia"/>
            </w:rPr>
            <w:t>，</w:t>
          </w:r>
          <w:r>
            <w:t>租赁期不超过</w:t>
          </w:r>
          <w:r>
            <w:rPr>
              <w:rFonts w:hint="eastAsia"/>
            </w:rPr>
            <w:t>12个月且不包含购买选择权的租赁。低价值资产租赁，是指单项租赁资产为全新资产时价值较低的租赁。公司转租或预期转租租赁资产的，原租赁不属于低价值资产租赁。</w:t>
          </w:r>
        </w:p>
        <w:p w:rsidR="000C5659" w:rsidRDefault="000C5659" w:rsidP="00B820E0">
          <w:pPr>
            <w:pStyle w:val="Style230"/>
            <w:spacing w:line="240" w:lineRule="auto"/>
            <w:ind w:left="0"/>
          </w:pPr>
        </w:p>
        <w:p w:rsidR="000C5659" w:rsidRDefault="000E33C4" w:rsidP="00B820E0">
          <w:pPr>
            <w:pStyle w:val="Style230"/>
            <w:spacing w:line="240" w:lineRule="auto"/>
            <w:ind w:left="0"/>
          </w:pPr>
          <w:r>
            <w:rPr>
              <w:rFonts w:hint="eastAsia"/>
            </w:rPr>
            <w:t>（4）租赁变更</w:t>
          </w:r>
        </w:p>
        <w:p w:rsidR="000C5659" w:rsidRDefault="000E33C4" w:rsidP="00B820E0">
          <w:pPr>
            <w:pStyle w:val="Style230"/>
            <w:spacing w:line="240" w:lineRule="auto"/>
            <w:ind w:left="0"/>
          </w:pPr>
          <w:r>
            <w:rPr>
              <w:rFonts w:hint="eastAsia"/>
            </w:rPr>
            <w:t>租赁发生变更且同时符合下列条件的，公司将该租赁变更作为一项单独租赁进行会计处理：</w:t>
          </w:r>
        </w:p>
        <w:p w:rsidR="000C5659" w:rsidRDefault="000E33C4" w:rsidP="00B820E0">
          <w:pPr>
            <w:pStyle w:val="Style230"/>
            <w:numPr>
              <w:ilvl w:val="0"/>
              <w:numId w:val="46"/>
            </w:numPr>
            <w:spacing w:line="240" w:lineRule="auto"/>
            <w:ind w:left="0"/>
            <w:jc w:val="left"/>
            <w:rPr>
              <w:rFonts w:eastAsiaTheme="minorEastAsia"/>
            </w:rPr>
          </w:pPr>
          <w:r>
            <w:rPr>
              <w:rFonts w:eastAsiaTheme="minorEastAsia" w:hint="eastAsia"/>
            </w:rPr>
            <w:t>该租赁变更通过增加一项或多项租赁资产的使用权而扩大了租赁范围；</w:t>
          </w:r>
        </w:p>
        <w:p w:rsidR="000C5659" w:rsidRDefault="000E33C4" w:rsidP="00B820E0">
          <w:pPr>
            <w:pStyle w:val="Style230"/>
            <w:numPr>
              <w:ilvl w:val="0"/>
              <w:numId w:val="46"/>
            </w:numPr>
            <w:spacing w:line="240" w:lineRule="auto"/>
            <w:ind w:left="0"/>
            <w:jc w:val="left"/>
          </w:pPr>
          <w:r>
            <w:rPr>
              <w:rFonts w:eastAsiaTheme="minorEastAsia" w:hint="eastAsia"/>
            </w:rPr>
            <w:t>增加的对价与租赁范围扩大部分的单独价格按该合同情况调整后的金额相当。</w:t>
          </w:r>
        </w:p>
        <w:p w:rsidR="000C5659" w:rsidRDefault="000E33C4" w:rsidP="00B820E0">
          <w:pPr>
            <w:pStyle w:val="Style230"/>
            <w:spacing w:line="240" w:lineRule="auto"/>
            <w:ind w:left="0"/>
          </w:pPr>
          <w:r>
            <w:rPr>
              <w:rFonts w:hint="eastAsia"/>
            </w:rPr>
            <w:t>租赁变更未作为一项单独租赁进行会计处理的，在租赁变更生效日，公司重新分摊变更后合同的对价，重新确定租赁期，并按照变更后租赁付款额和修订后的折现率计算的现值重新计量租赁负债。</w:t>
          </w:r>
        </w:p>
        <w:p w:rsidR="000C5659" w:rsidRDefault="000E33C4" w:rsidP="00B820E0">
          <w:pPr>
            <w:pStyle w:val="Style230"/>
            <w:spacing w:line="240" w:lineRule="auto"/>
            <w:ind w:left="0"/>
          </w:pPr>
          <w:r>
            <w:rPr>
              <w:rFonts w:hint="eastAsia"/>
            </w:rPr>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p w:rsidR="000C5659" w:rsidRDefault="00220B84" w:rsidP="00B820E0">
          <w:pPr>
            <w:rPr>
              <w:color w:val="000000" w:themeColor="text1"/>
            </w:rPr>
          </w:pPr>
        </w:p>
      </w:sdtContent>
    </w:sdt>
    <w:p w:rsidR="000C5659" w:rsidRDefault="000C5659" w:rsidP="00B820E0">
      <w:pPr>
        <w:rPr>
          <w:rFonts w:ascii="Calibri" w:hAnsi="Calibri" w:cs="Times New Roman"/>
          <w:color w:val="000000" w:themeColor="text1"/>
          <w:kern w:val="2"/>
          <w:szCs w:val="32"/>
        </w:rPr>
      </w:pPr>
    </w:p>
    <w:p w:rsidR="000C5659" w:rsidRDefault="000E33C4" w:rsidP="00B820E0">
      <w:pPr>
        <w:rPr>
          <w:rFonts w:ascii="Calibri" w:hAnsi="Calibri" w:cs="Times New Roman"/>
          <w:b/>
          <w:color w:val="000000" w:themeColor="text1"/>
          <w:kern w:val="2"/>
          <w:szCs w:val="32"/>
        </w:rPr>
      </w:pPr>
      <w:r>
        <w:rPr>
          <w:rFonts w:ascii="Calibri" w:hAnsi="Calibri" w:cs="Times New Roman"/>
          <w:b/>
          <w:color w:val="000000" w:themeColor="text1"/>
          <w:kern w:val="2"/>
          <w:szCs w:val="32"/>
        </w:rPr>
        <w:t>作为出租方的租赁分类标准和会计处理方法</w:t>
      </w:r>
    </w:p>
    <w:sdt>
      <w:sdtPr>
        <w:rPr>
          <w:color w:val="000000" w:themeColor="text1"/>
        </w:rPr>
        <w:alias w:val="是否适用：作为出租方的租赁分类标准和会计处理方法[双击切换]"/>
        <w:tag w:val="_GBC_5f67d3c5f08047cab6976824f73e97e9"/>
        <w:id w:val="-1064947504"/>
      </w:sdtPr>
      <w:sdtEndPr/>
      <w:sdtContent>
        <w:p w:rsidR="000C5659" w:rsidRDefault="000E33C4" w:rsidP="00B820E0">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bCs/>
          <w:color w:val="000000" w:themeColor="text1"/>
          <w:kern w:val="0"/>
        </w:rPr>
        <w:alias w:val="作为出租方的租赁分类标准和会计处理方法"/>
        <w:tag w:val="_GBC_32ac25e0a5c442ef8da612bad391098d"/>
        <w:id w:val="-259368670"/>
      </w:sdtPr>
      <w:sdtEndPr/>
      <w:sdtContent>
        <w:p w:rsidR="000C5659" w:rsidRDefault="000E33C4" w:rsidP="00B820E0">
          <w:pPr>
            <w:pStyle w:val="Style230"/>
            <w:spacing w:line="240" w:lineRule="auto"/>
            <w:ind w:left="0"/>
          </w:pPr>
          <w:r>
            <w:rPr>
              <w:rFonts w:hint="eastAsia"/>
            </w:rPr>
            <w:t>在租赁开始日，本公司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rsidR="000C5659" w:rsidRDefault="000C5659" w:rsidP="00B820E0">
          <w:pPr>
            <w:pStyle w:val="Style230"/>
            <w:spacing w:line="240" w:lineRule="auto"/>
            <w:ind w:left="0"/>
          </w:pPr>
        </w:p>
        <w:p w:rsidR="000C5659" w:rsidRDefault="000E33C4" w:rsidP="00B820E0">
          <w:pPr>
            <w:pStyle w:val="Style230"/>
            <w:spacing w:line="240" w:lineRule="auto"/>
            <w:ind w:left="0"/>
          </w:pPr>
          <w:r>
            <w:rPr>
              <w:rFonts w:hint="eastAsia"/>
            </w:rPr>
            <w:t>（1）</w:t>
          </w:r>
          <w:r>
            <w:t>经营租赁会计处理</w:t>
          </w:r>
        </w:p>
        <w:p w:rsidR="000C5659" w:rsidRDefault="000E33C4" w:rsidP="00B820E0">
          <w:pPr>
            <w:pStyle w:val="Style230"/>
            <w:spacing w:line="240" w:lineRule="auto"/>
            <w:ind w:left="0"/>
          </w:pPr>
          <w:r>
            <w:rPr>
              <w:rFonts w:hint="eastAsia"/>
            </w:rPr>
            <w:t>经营租赁的租赁收款额在租赁期内各个期间按照直线法确认为租金收入。本公司将发生的与经营租赁有关的初始直接费用予以资本化，在租赁期内按照与租</w:t>
          </w:r>
          <w:r>
            <w:t>金</w:t>
          </w:r>
          <w:r>
            <w:rPr>
              <w:rFonts w:hint="eastAsia"/>
            </w:rPr>
            <w:t>收入确认相同的基础分</w:t>
          </w:r>
          <w:r>
            <w:t>摊</w:t>
          </w:r>
          <w:r>
            <w:rPr>
              <w:rFonts w:hint="eastAsia"/>
            </w:rPr>
            <w:t>计入当期</w:t>
          </w:r>
          <w:r>
            <w:t>损益</w:t>
          </w:r>
          <w:r>
            <w:rPr>
              <w:rFonts w:hint="eastAsia"/>
            </w:rPr>
            <w:t>。未计入租赁收款额的可变租赁付款额在实际发生时计入当期损益。经营租赁发生变更的，公司自变更生效日起将其作为一项新租赁进行会计处理，与变更前租赁有关的预收或应收租赁收款额视为新租赁的收款额。</w:t>
          </w:r>
        </w:p>
        <w:p w:rsidR="000C5659" w:rsidRDefault="00220B84" w:rsidP="00B820E0">
          <w:pPr>
            <w:pStyle w:val="Style325"/>
          </w:pPr>
        </w:p>
      </w:sdtContent>
    </w:sdt>
    <w:p w:rsidR="000C5659" w:rsidRDefault="000C5659">
      <w:pPr>
        <w:rPr>
          <w:color w:val="000000" w:themeColor="text1"/>
        </w:rPr>
      </w:pPr>
    </w:p>
    <w:p w:rsidR="000C5659" w:rsidRDefault="000C5659">
      <w:pPr>
        <w:rPr>
          <w:color w:val="000000" w:themeColor="text1"/>
        </w:rPr>
      </w:pPr>
    </w:p>
    <w:p w:rsidR="000C5659" w:rsidRDefault="000C5659">
      <w:pPr>
        <w:rPr>
          <w:color w:val="000000" w:themeColor="text1"/>
        </w:rPr>
      </w:pPr>
    </w:p>
    <w:bookmarkEnd w:id="133"/>
    <w:bookmarkEnd w:id="134"/>
    <w:p w:rsidR="000C5659" w:rsidRDefault="000E33C4" w:rsidP="000743DD">
      <w:pPr>
        <w:pStyle w:val="35"/>
        <w:numPr>
          <w:ilvl w:val="0"/>
          <w:numId w:val="40"/>
        </w:numPr>
        <w:rPr>
          <w:rFonts w:ascii="宋体" w:hAnsi="宋体"/>
          <w:color w:val="000000" w:themeColor="text1"/>
        </w:rPr>
      </w:pPr>
      <w:r>
        <w:rPr>
          <w:rFonts w:ascii="宋体" w:hAnsi="宋体" w:hint="eastAsia"/>
          <w:color w:val="000000" w:themeColor="text1"/>
        </w:rPr>
        <w:lastRenderedPageBreak/>
        <w:t>其他重要的会计政策和会计估计</w:t>
      </w:r>
    </w:p>
    <w:sdt>
      <w:sdtPr>
        <w:rPr>
          <w:color w:val="000000" w:themeColor="text1"/>
        </w:rPr>
        <w:alias w:val="是否适用：其他重要的会计政策和会计估计[双击切换]"/>
        <w:tag w:val="_GBC_b4281f4538de4623a036697d3903e1f8"/>
        <w:id w:val="-1321724050"/>
        <w:placeholder>
          <w:docPart w:val="GBC22222222222222222222222222222"/>
        </w:placeholder>
      </w:sdtPr>
      <w:sdtEndPr/>
      <w:sdtContent>
        <w:p w:rsidR="000C5659" w:rsidRDefault="000E33C4">
          <w:pPr>
            <w:pStyle w:val="Style325"/>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40"/>
        </w:numPr>
        <w:rPr>
          <w:rFonts w:ascii="宋体" w:hAnsi="宋体"/>
          <w:color w:val="000000" w:themeColor="text1"/>
        </w:rPr>
      </w:pPr>
      <w:r>
        <w:rPr>
          <w:rFonts w:ascii="宋体" w:hAnsi="宋体" w:hint="eastAsia"/>
          <w:color w:val="000000" w:themeColor="text1"/>
        </w:rPr>
        <w:t>重要</w:t>
      </w:r>
      <w:r>
        <w:rPr>
          <w:rFonts w:ascii="宋体" w:hAnsi="宋体"/>
          <w:color w:val="000000" w:themeColor="text1"/>
        </w:rPr>
        <w:t>会计政策</w:t>
      </w:r>
      <w:r>
        <w:rPr>
          <w:rFonts w:ascii="宋体" w:hAnsi="宋体" w:hint="eastAsia"/>
          <w:color w:val="000000" w:themeColor="text1"/>
        </w:rPr>
        <w:t>和</w:t>
      </w:r>
      <w:r>
        <w:rPr>
          <w:rFonts w:ascii="宋体" w:hAnsi="宋体"/>
          <w:color w:val="000000" w:themeColor="text1"/>
        </w:rPr>
        <w:t>会计估计的变更</w:t>
      </w:r>
    </w:p>
    <w:p w:rsidR="000C5659" w:rsidRDefault="000E33C4" w:rsidP="000743DD">
      <w:pPr>
        <w:pStyle w:val="43"/>
        <w:numPr>
          <w:ilvl w:val="3"/>
          <w:numId w:val="48"/>
        </w:numPr>
        <w:ind w:left="426" w:hanging="426"/>
        <w:rPr>
          <w:rFonts w:ascii="宋体" w:hAnsi="宋体"/>
          <w:color w:val="000000" w:themeColor="text1"/>
        </w:rPr>
      </w:pPr>
      <w:bookmarkStart w:id="135" w:name="_Hlk169007887"/>
      <w:r>
        <w:rPr>
          <w:rFonts w:ascii="宋体" w:hAnsi="宋体" w:hint="eastAsia"/>
          <w:color w:val="000000" w:themeColor="text1"/>
        </w:rPr>
        <w:t>重要</w:t>
      </w:r>
      <w:r>
        <w:rPr>
          <w:rFonts w:ascii="宋体" w:hAnsi="宋体"/>
          <w:color w:val="000000" w:themeColor="text1"/>
        </w:rPr>
        <w:t>会计政策变更</w:t>
      </w:r>
    </w:p>
    <w:sdt>
      <w:sdtPr>
        <w:rPr>
          <w:color w:val="000000" w:themeColor="text1"/>
        </w:rPr>
        <w:alias w:val="是否适用：重要会计政策变更[双击切换]"/>
        <w:tag w:val="_GBC_f1ebc580f60c4d30a80747190ffbec4f"/>
        <w:id w:val="643542851"/>
        <w:placeholder>
          <w:docPart w:val="GBC22222222222222222222222222222"/>
        </w:placeholder>
      </w:sdtPr>
      <w:sdtEndPr/>
      <w:sdtContent>
        <w:p w:rsidR="000C5659" w:rsidRDefault="000E33C4">
          <w:pPr>
            <w:rPr>
              <w:rFonts w:ascii="Times New Roman" w:hAnsi="Times New Roman" w:cs="Times New Roman"/>
              <w:color w:val="000000" w:themeColor="text1"/>
              <w:kern w:val="2"/>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136" w:name="_Hlk167884350"/>
      <w:bookmarkEnd w:id="136"/>
    </w:p>
    <w:p w:rsidR="000C5659" w:rsidRDefault="000E33C4" w:rsidP="000743DD">
      <w:pPr>
        <w:pStyle w:val="43"/>
        <w:numPr>
          <w:ilvl w:val="3"/>
          <w:numId w:val="48"/>
        </w:numPr>
        <w:ind w:left="426" w:hanging="426"/>
        <w:rPr>
          <w:rFonts w:ascii="宋体" w:hAnsi="宋体"/>
          <w:color w:val="000000" w:themeColor="text1"/>
        </w:rPr>
      </w:pPr>
      <w:r>
        <w:rPr>
          <w:rFonts w:ascii="宋体" w:hAnsi="宋体" w:hint="eastAsia"/>
          <w:color w:val="000000" w:themeColor="text1"/>
        </w:rPr>
        <w:t>重要会计估计变更</w:t>
      </w:r>
    </w:p>
    <w:sdt>
      <w:sdtPr>
        <w:rPr>
          <w:color w:val="000000" w:themeColor="text1"/>
        </w:rPr>
        <w:alias w:val="是否适用：重要会计估计变更[双击切换]"/>
        <w:tag w:val="_GBC_902f08bd36774074945386d2d1f9b67d"/>
        <w:id w:val="244466739"/>
        <w:placeholder>
          <w:docPart w:val="GBC22222222222222222222222222222"/>
        </w:placeholder>
      </w:sdtPr>
      <w:sdtEndPr/>
      <w:sdtContent>
        <w:p w:rsidR="000C5659" w:rsidRDefault="000E33C4">
          <w:pPr>
            <w:rPr>
              <w:rFonts w:cs="Times New Roman"/>
              <w:color w:val="000000" w:themeColor="text1"/>
              <w:kern w:val="2"/>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137" w:name="_Hlk167884427"/>
      <w:bookmarkEnd w:id="137"/>
    </w:p>
    <w:p w:rsidR="000C5659" w:rsidRDefault="000E33C4" w:rsidP="000743DD">
      <w:pPr>
        <w:pStyle w:val="43"/>
        <w:numPr>
          <w:ilvl w:val="3"/>
          <w:numId w:val="48"/>
        </w:numPr>
        <w:ind w:left="426" w:hanging="426"/>
        <w:rPr>
          <w:rFonts w:ascii="宋体" w:hAnsi="宋体"/>
          <w:color w:val="000000" w:themeColor="text1"/>
        </w:rPr>
      </w:pPr>
      <w:bookmarkStart w:id="138" w:name="_Hlk10465969"/>
      <w:bookmarkStart w:id="139" w:name="_Hlk24100246"/>
      <w:bookmarkStart w:id="140" w:name="_Hlk137050657"/>
      <w:bookmarkEnd w:id="135"/>
      <w:bookmarkEnd w:id="138"/>
      <w:r>
        <w:rPr>
          <w:rFonts w:ascii="宋体" w:hAnsi="宋体" w:hint="eastAsia"/>
          <w:color w:val="000000" w:themeColor="text1"/>
        </w:rPr>
        <w:t>2024年起首次执行新会计准则或准则解释等涉及调整首次执行当年年初的财务报表</w:t>
      </w:r>
    </w:p>
    <w:sdt>
      <w:sdtPr>
        <w:rPr>
          <w:rFonts w:hint="eastAsia"/>
          <w:color w:val="000000" w:themeColor="text1"/>
        </w:rPr>
        <w:alias w:val="是否适用：首次执行新金融工具准则或新收入准则调整首次执行当年年初财务报表相关项目情况[双击切换]"/>
        <w:tag w:val="_GBC_8608c1ec447d48978e05546e78cb2ffc"/>
        <w:id w:val="-138909556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141" w:name="_Hlk24100423"/>
      <w:bookmarkStart w:id="142" w:name="_Hlk137051084"/>
      <w:bookmarkEnd w:id="139"/>
      <w:bookmarkEnd w:id="140"/>
      <w:bookmarkEnd w:id="141"/>
      <w:bookmarkEnd w:id="142"/>
    </w:p>
    <w:p w:rsidR="000C5659" w:rsidRDefault="000E33C4" w:rsidP="000743DD">
      <w:pPr>
        <w:pStyle w:val="35"/>
        <w:numPr>
          <w:ilvl w:val="0"/>
          <w:numId w:val="40"/>
        </w:numPr>
        <w:rPr>
          <w:rFonts w:ascii="宋体" w:hAnsi="宋体"/>
          <w:color w:val="000000" w:themeColor="text1"/>
        </w:rPr>
      </w:pPr>
      <w:r>
        <w:rPr>
          <w:rFonts w:ascii="宋体" w:hAnsi="宋体" w:hint="eastAsia"/>
          <w:color w:val="000000" w:themeColor="text1"/>
        </w:rPr>
        <w:t>其他</w:t>
      </w:r>
    </w:p>
    <w:sdt>
      <w:sdtPr>
        <w:rPr>
          <w:rFonts w:hint="eastAsia"/>
          <w:color w:val="000000" w:themeColor="text1"/>
        </w:rPr>
        <w:alias w:val="是否适用：公司主要会计政策、会计估计和前期差错的其他说明[双击切换]"/>
        <w:tag w:val="_GBC_6deb29735f384e0d9a2b017d4265a493"/>
        <w:id w:val="-117279180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税项</w:t>
      </w:r>
    </w:p>
    <w:p w:rsidR="000C5659" w:rsidRDefault="000E33C4" w:rsidP="000743DD">
      <w:pPr>
        <w:pStyle w:val="35"/>
        <w:numPr>
          <w:ilvl w:val="0"/>
          <w:numId w:val="49"/>
        </w:numPr>
        <w:tabs>
          <w:tab w:val="left" w:pos="546"/>
        </w:tabs>
        <w:rPr>
          <w:rFonts w:ascii="宋体" w:hAnsi="宋体"/>
          <w:color w:val="000000" w:themeColor="text1"/>
        </w:rPr>
      </w:pPr>
      <w:r>
        <w:rPr>
          <w:rFonts w:ascii="宋体" w:hAnsi="宋体"/>
          <w:color w:val="000000" w:themeColor="text1"/>
        </w:rPr>
        <w:t>主要税种及税率</w:t>
      </w:r>
    </w:p>
    <w:p w:rsidR="000C5659" w:rsidRDefault="000E33C4">
      <w:pPr>
        <w:rPr>
          <w:color w:val="000000" w:themeColor="text1"/>
        </w:rPr>
      </w:pPr>
      <w:r>
        <w:rPr>
          <w:rFonts w:hint="eastAsia"/>
          <w:color w:val="000000" w:themeColor="text1"/>
        </w:rPr>
        <w:t>主要税种及税率情况</w:t>
      </w:r>
    </w:p>
    <w:sdt>
      <w:sdtPr>
        <w:rPr>
          <w:color w:val="000000" w:themeColor="text1"/>
        </w:rPr>
        <w:alias w:val="是否适用：主要税种及税率情况 [双击切换]"/>
        <w:tag w:val="_GBC_fd47fa4fd9aa499c8903795268a25582"/>
        <w:id w:val="194102550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3066"/>
        <w:gridCol w:w="3044"/>
      </w:tblGrid>
      <w:tr w:rsidR="000C5659">
        <w:sdt>
          <w:sdtPr>
            <w:rPr>
              <w:rFonts w:cstheme="minorBidi"/>
              <w:color w:val="000000" w:themeColor="text1"/>
              <w:kern w:val="2"/>
            </w:rPr>
            <w:tag w:val="_PLD_e7d49d0412b143bf84fec865b918065a"/>
            <w:id w:val="1377733893"/>
          </w:sdtPr>
          <w:sdtEndPr>
            <w:rPr>
              <w:rFonts w:cs="宋体"/>
              <w:kern w:val="0"/>
            </w:rPr>
          </w:sdtEndPr>
          <w:sdtContent>
            <w:tc>
              <w:tcPr>
                <w:tcW w:w="1537" w:type="pct"/>
                <w:vAlign w:val="center"/>
              </w:tcPr>
              <w:p w:rsidR="000C5659" w:rsidRDefault="000E33C4">
                <w:pPr>
                  <w:jc w:val="center"/>
                  <w:rPr>
                    <w:color w:val="000000" w:themeColor="text1"/>
                  </w:rPr>
                </w:pPr>
                <w:r>
                  <w:rPr>
                    <w:color w:val="000000" w:themeColor="text1"/>
                  </w:rPr>
                  <w:t>税种</w:t>
                </w:r>
              </w:p>
            </w:tc>
          </w:sdtContent>
        </w:sdt>
        <w:sdt>
          <w:sdtPr>
            <w:rPr>
              <w:color w:val="000000" w:themeColor="text1"/>
            </w:rPr>
            <w:tag w:val="_PLD_e42202809983483baa812ed26e1b27a2"/>
            <w:id w:val="1356925770"/>
          </w:sdtPr>
          <w:sdtEndPr/>
          <w:sdtContent>
            <w:tc>
              <w:tcPr>
                <w:tcW w:w="1737" w:type="pct"/>
                <w:vAlign w:val="center"/>
              </w:tcPr>
              <w:p w:rsidR="000C5659" w:rsidRDefault="000E33C4">
                <w:pPr>
                  <w:jc w:val="center"/>
                  <w:rPr>
                    <w:color w:val="000000" w:themeColor="text1"/>
                  </w:rPr>
                </w:pPr>
                <w:r>
                  <w:rPr>
                    <w:color w:val="000000" w:themeColor="text1"/>
                  </w:rPr>
                  <w:t>计税依据</w:t>
                </w:r>
              </w:p>
            </w:tc>
          </w:sdtContent>
        </w:sdt>
        <w:sdt>
          <w:sdtPr>
            <w:rPr>
              <w:color w:val="000000" w:themeColor="text1"/>
            </w:rPr>
            <w:tag w:val="_PLD_0cebc7a4c62844c6b35146cd64cd4277"/>
            <w:id w:val="1479035987"/>
          </w:sdtPr>
          <w:sdtEndPr/>
          <w:sdtContent>
            <w:tc>
              <w:tcPr>
                <w:tcW w:w="1725" w:type="pct"/>
                <w:vAlign w:val="center"/>
              </w:tcPr>
              <w:p w:rsidR="000C5659" w:rsidRDefault="000E33C4">
                <w:pPr>
                  <w:jc w:val="center"/>
                  <w:rPr>
                    <w:color w:val="000000" w:themeColor="text1"/>
                  </w:rPr>
                </w:pPr>
                <w:r>
                  <w:rPr>
                    <w:color w:val="000000" w:themeColor="text1"/>
                  </w:rPr>
                  <w:t>税率</w:t>
                </w:r>
              </w:p>
            </w:tc>
          </w:sdtContent>
        </w:sdt>
      </w:tr>
      <w:tr w:rsidR="000C5659">
        <w:tc>
          <w:tcPr>
            <w:tcW w:w="1537" w:type="pct"/>
          </w:tcPr>
          <w:p w:rsidR="000C5659" w:rsidRDefault="000E33C4">
            <w:pPr>
              <w:rPr>
                <w:color w:val="000000" w:themeColor="text1"/>
              </w:rPr>
            </w:pPr>
            <w:r>
              <w:rPr>
                <w:color w:val="000000" w:themeColor="text1"/>
              </w:rPr>
              <w:t>增值税</w:t>
            </w:r>
          </w:p>
        </w:tc>
        <w:tc>
          <w:tcPr>
            <w:tcW w:w="1737" w:type="pct"/>
          </w:tcPr>
          <w:p w:rsidR="000C5659" w:rsidRDefault="000E33C4">
            <w:pPr>
              <w:pStyle w:val="Style325"/>
            </w:pPr>
            <w:r>
              <w:rPr>
                <w:rFonts w:ascii="Times New Roman" w:eastAsiaTheme="minorEastAsia" w:hAnsi="Times New Roman" w:cs="Times New Roman"/>
                <w:color w:val="000000"/>
                <w:sz w:val="18"/>
                <w:szCs w:val="18"/>
              </w:rPr>
              <w:t>按税法规定计算的销售货物和应税劳务收入为基础计算销项税额，在扣除当期允许抵扣的进项税额后，差额部分为应交增值税</w:t>
            </w:r>
          </w:p>
        </w:tc>
        <w:tc>
          <w:tcPr>
            <w:tcW w:w="1725" w:type="pct"/>
          </w:tcPr>
          <w:p w:rsidR="000C5659" w:rsidRDefault="000E33C4">
            <w:pPr>
              <w:pStyle w:val="Style325"/>
            </w:pPr>
            <w:r>
              <w:rPr>
                <w:rFonts w:ascii="Times New Roman" w:eastAsiaTheme="minorEastAsia" w:hAnsi="Times New Roman" w:cs="Times New Roman" w:hint="eastAsia"/>
                <w:color w:val="000000"/>
                <w:sz w:val="18"/>
                <w:szCs w:val="18"/>
              </w:rPr>
              <w:t>1</w:t>
            </w:r>
            <w:r>
              <w:rPr>
                <w:rFonts w:ascii="Times New Roman" w:eastAsiaTheme="minorEastAsia" w:hAnsi="Times New Roman" w:cs="Times New Roman"/>
                <w:color w:val="000000"/>
                <w:sz w:val="18"/>
                <w:szCs w:val="18"/>
              </w:rPr>
              <w:t>3%</w:t>
            </w:r>
          </w:p>
        </w:tc>
      </w:tr>
      <w:tr w:rsidR="000C5659">
        <w:tc>
          <w:tcPr>
            <w:tcW w:w="1537" w:type="pct"/>
          </w:tcPr>
          <w:p w:rsidR="000C5659" w:rsidRDefault="000E33C4">
            <w:pPr>
              <w:rPr>
                <w:color w:val="000000" w:themeColor="text1"/>
              </w:rPr>
            </w:pPr>
            <w:r>
              <w:rPr>
                <w:color w:val="000000" w:themeColor="text1"/>
              </w:rPr>
              <w:t>企业所得税</w:t>
            </w:r>
          </w:p>
        </w:tc>
        <w:tc>
          <w:tcPr>
            <w:tcW w:w="1737" w:type="pct"/>
          </w:tcPr>
          <w:p w:rsidR="000C5659" w:rsidRDefault="000E33C4">
            <w:pPr>
              <w:pStyle w:val="Style325"/>
            </w:pPr>
            <w:r>
              <w:rPr>
                <w:rFonts w:ascii="Times New Roman" w:eastAsiaTheme="minorEastAsia" w:hAnsi="Times New Roman" w:cs="Times New Roman"/>
                <w:color w:val="000000"/>
                <w:sz w:val="18"/>
                <w:szCs w:val="18"/>
              </w:rPr>
              <w:t>按应纳税所得额计缴</w:t>
            </w:r>
          </w:p>
        </w:tc>
        <w:tc>
          <w:tcPr>
            <w:tcW w:w="1725" w:type="pct"/>
          </w:tcPr>
          <w:p w:rsidR="000C5659" w:rsidRDefault="000E33C4">
            <w:pPr>
              <w:pStyle w:val="Style325"/>
            </w:pPr>
            <w:r>
              <w:rPr>
                <w:rFonts w:ascii="Times New Roman" w:eastAsiaTheme="minorEastAsia" w:hAnsi="Times New Roman" w:cs="Times New Roman" w:hint="eastAsia"/>
                <w:color w:val="000000"/>
                <w:sz w:val="18"/>
                <w:szCs w:val="18"/>
              </w:rPr>
              <w:t>2</w:t>
            </w:r>
            <w:r>
              <w:rPr>
                <w:rFonts w:ascii="Times New Roman" w:eastAsiaTheme="minorEastAsia" w:hAnsi="Times New Roman" w:cs="Times New Roman"/>
                <w:color w:val="000000"/>
                <w:sz w:val="18"/>
                <w:szCs w:val="18"/>
              </w:rPr>
              <w:t>5%</w:t>
            </w:r>
          </w:p>
        </w:tc>
      </w:tr>
    </w:tbl>
    <w:p w:rsidR="000C5659" w:rsidRDefault="000C5659">
      <w:pPr>
        <w:rPr>
          <w:color w:val="000000" w:themeColor="text1"/>
        </w:rPr>
      </w:pPr>
    </w:p>
    <w:p w:rsidR="000C5659" w:rsidRDefault="000E33C4">
      <w:pPr>
        <w:rPr>
          <w:color w:val="000000" w:themeColor="text1"/>
        </w:rPr>
      </w:pPr>
      <w:r>
        <w:rPr>
          <w:rFonts w:hint="eastAsia"/>
          <w:color w:val="000000" w:themeColor="text1"/>
        </w:rPr>
        <w:t>存在不同企业所得税税率纳税主体的，披露情况说明</w:t>
      </w:r>
    </w:p>
    <w:sdt>
      <w:sdtPr>
        <w:rPr>
          <w:color w:val="000000" w:themeColor="text1"/>
        </w:rPr>
        <w:alias w:val="是否适用：存在不同企业所得税税率纳税主体的，披露情况说明[双击切换]"/>
        <w:tag w:val="_GBC_848dc0d1182048ccb5485f3b0d7d1d70"/>
        <w:id w:val="149675717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tbl>
      <w:tblPr>
        <w:tblStyle w:val="g1"/>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87"/>
        <w:gridCol w:w="4336"/>
      </w:tblGrid>
      <w:tr w:rsidR="000C5659">
        <w:sdt>
          <w:sdtPr>
            <w:rPr>
              <w:color w:val="000000" w:themeColor="text1"/>
            </w:rPr>
            <w:tag w:val="_PLD_440a50b0d3fa4b22b061006e717665d8"/>
            <w:id w:val="1742521408"/>
          </w:sdtPr>
          <w:sdtEndPr/>
          <w:sdtContent>
            <w:tc>
              <w:tcPr>
                <w:tcW w:w="2542" w:type="pct"/>
                <w:shd w:val="clear" w:color="auto" w:fill="auto"/>
                <w:vAlign w:val="center"/>
              </w:tcPr>
              <w:p w:rsidR="000C5659" w:rsidRDefault="000E33C4">
                <w:pPr>
                  <w:jc w:val="center"/>
                  <w:rPr>
                    <w:color w:val="000000" w:themeColor="text1"/>
                  </w:rPr>
                </w:pPr>
                <w:r>
                  <w:rPr>
                    <w:rFonts w:hint="eastAsia"/>
                    <w:color w:val="000000" w:themeColor="text1"/>
                  </w:rPr>
                  <w:t>纳税主体名称</w:t>
                </w:r>
              </w:p>
            </w:tc>
          </w:sdtContent>
        </w:sdt>
        <w:sdt>
          <w:sdtPr>
            <w:rPr>
              <w:color w:val="000000" w:themeColor="text1"/>
            </w:rPr>
            <w:tag w:val="_PLD_5c2541995bc04204a53104c1e5a4c9da"/>
            <w:id w:val="764115841"/>
          </w:sdtPr>
          <w:sdtEndPr/>
          <w:sdtContent>
            <w:tc>
              <w:tcPr>
                <w:tcW w:w="2457" w:type="pct"/>
                <w:shd w:val="clear" w:color="auto" w:fill="auto"/>
                <w:vAlign w:val="center"/>
              </w:tcPr>
              <w:p w:rsidR="000C5659" w:rsidRDefault="000E33C4">
                <w:pPr>
                  <w:jc w:val="center"/>
                  <w:rPr>
                    <w:color w:val="000000" w:themeColor="text1"/>
                  </w:rPr>
                </w:pPr>
                <w:r>
                  <w:rPr>
                    <w:rFonts w:hint="eastAsia"/>
                    <w:color w:val="000000" w:themeColor="text1"/>
                  </w:rPr>
                  <w:t>所得税税率（%）</w:t>
                </w:r>
              </w:p>
            </w:tc>
          </w:sdtContent>
        </w:sdt>
      </w:tr>
      <w:tr w:rsidR="000C5659">
        <w:tc>
          <w:tcPr>
            <w:tcW w:w="2542" w:type="pct"/>
            <w:shd w:val="clear" w:color="auto" w:fill="auto"/>
            <w:vAlign w:val="center"/>
          </w:tcPr>
          <w:p w:rsidR="000C5659" w:rsidRDefault="000E33C4">
            <w:pPr>
              <w:pStyle w:val="Style325"/>
            </w:pPr>
            <w:r>
              <w:t>扬州恒生精密模具有限公司</w:t>
            </w:r>
          </w:p>
        </w:tc>
        <w:tc>
          <w:tcPr>
            <w:tcW w:w="2457" w:type="pct"/>
            <w:shd w:val="clear" w:color="auto" w:fill="auto"/>
          </w:tcPr>
          <w:p w:rsidR="000C5659" w:rsidRDefault="000E33C4">
            <w:pPr>
              <w:jc w:val="right"/>
            </w:pPr>
            <w:r>
              <w:t>15%</w:t>
            </w:r>
          </w:p>
        </w:tc>
      </w:tr>
      <w:tr w:rsidR="000C5659">
        <w:tc>
          <w:tcPr>
            <w:tcW w:w="2542" w:type="pct"/>
            <w:shd w:val="clear" w:color="auto" w:fill="auto"/>
            <w:vAlign w:val="center"/>
          </w:tcPr>
          <w:p w:rsidR="000C5659" w:rsidRDefault="000E33C4">
            <w:pPr>
              <w:pStyle w:val="Style325"/>
            </w:pPr>
            <w:r>
              <w:t>扬州倍加洁日化有限公司</w:t>
            </w:r>
          </w:p>
        </w:tc>
        <w:tc>
          <w:tcPr>
            <w:tcW w:w="2457" w:type="pct"/>
            <w:shd w:val="clear" w:color="auto" w:fill="auto"/>
          </w:tcPr>
          <w:p w:rsidR="000C5659" w:rsidRDefault="000E33C4">
            <w:pPr>
              <w:jc w:val="right"/>
            </w:pPr>
            <w:r>
              <w:t>15%</w:t>
            </w:r>
          </w:p>
        </w:tc>
      </w:tr>
      <w:tr w:rsidR="000C5659">
        <w:tc>
          <w:tcPr>
            <w:tcW w:w="2542" w:type="pct"/>
            <w:shd w:val="clear" w:color="auto" w:fill="auto"/>
            <w:vAlign w:val="center"/>
          </w:tcPr>
          <w:p w:rsidR="000C5659" w:rsidRDefault="000E33C4">
            <w:pPr>
              <w:pStyle w:val="Style325"/>
            </w:pPr>
            <w:r>
              <w:t>倍加洁国际（香港）有限公司</w:t>
            </w:r>
          </w:p>
        </w:tc>
        <w:tc>
          <w:tcPr>
            <w:tcW w:w="2457" w:type="pct"/>
            <w:shd w:val="clear" w:color="auto" w:fill="auto"/>
          </w:tcPr>
          <w:p w:rsidR="000C5659" w:rsidRDefault="000E33C4">
            <w:pPr>
              <w:jc w:val="right"/>
            </w:pPr>
            <w:r>
              <w:t>16.5%</w:t>
            </w:r>
          </w:p>
        </w:tc>
      </w:tr>
      <w:tr w:rsidR="000C5659">
        <w:tc>
          <w:tcPr>
            <w:tcW w:w="2542" w:type="pct"/>
            <w:shd w:val="clear" w:color="auto" w:fill="auto"/>
            <w:vAlign w:val="center"/>
          </w:tcPr>
          <w:p w:rsidR="000C5659" w:rsidRDefault="00DD5FFB">
            <w:pPr>
              <w:pStyle w:val="Style325"/>
            </w:pPr>
            <w:fldSimple w:instr=" DOCVARIABLE  基本信息_企业名称  \* MERGEFORMAT ">
              <w:r w:rsidR="000E33C4">
                <w:rPr>
                  <w:rFonts w:hint="eastAsia"/>
                </w:rPr>
                <w:t>善恩康生物科技（苏州）有限公司</w:t>
              </w:r>
            </w:fldSimple>
          </w:p>
        </w:tc>
        <w:tc>
          <w:tcPr>
            <w:tcW w:w="2457" w:type="pct"/>
            <w:shd w:val="clear" w:color="auto" w:fill="auto"/>
          </w:tcPr>
          <w:p w:rsidR="000C5659" w:rsidRDefault="000E33C4">
            <w:pPr>
              <w:jc w:val="right"/>
            </w:pPr>
            <w:r>
              <w:rPr>
                <w:rFonts w:hint="eastAsia"/>
              </w:rPr>
              <w:t>1</w:t>
            </w:r>
            <w:r>
              <w:t>5%</w:t>
            </w:r>
          </w:p>
        </w:tc>
      </w:tr>
    </w:tbl>
    <w:p w:rsidR="000C5659" w:rsidRDefault="000C5659">
      <w:pPr>
        <w:rPr>
          <w:color w:val="000000" w:themeColor="text1"/>
        </w:rPr>
      </w:pPr>
    </w:p>
    <w:p w:rsidR="000C5659" w:rsidRDefault="000E33C4" w:rsidP="000743DD">
      <w:pPr>
        <w:pStyle w:val="35"/>
        <w:numPr>
          <w:ilvl w:val="0"/>
          <w:numId w:val="49"/>
        </w:numPr>
        <w:tabs>
          <w:tab w:val="left" w:pos="546"/>
        </w:tabs>
        <w:rPr>
          <w:rFonts w:ascii="宋体" w:hAnsi="宋体"/>
          <w:color w:val="000000" w:themeColor="text1"/>
        </w:rPr>
      </w:pPr>
      <w:r>
        <w:rPr>
          <w:rFonts w:ascii="宋体" w:hAnsi="宋体"/>
          <w:color w:val="000000" w:themeColor="text1"/>
        </w:rPr>
        <w:t>税收优惠</w:t>
      </w:r>
    </w:p>
    <w:sdt>
      <w:sdtPr>
        <w:rPr>
          <w:rFonts w:hint="eastAsia"/>
          <w:color w:val="000000" w:themeColor="text1"/>
        </w:rPr>
        <w:alias w:val="是否适用：税收优惠[双击切换]"/>
        <w:tag w:val="_GBC_f8eb23e7a2e74e448e4eb46519d87bd6"/>
        <w:id w:val="19153533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优惠税赋及批文"/>
        <w:tag w:val="_GBC_3bbdacdaa3ba421fb8a81b9bda047bb4"/>
        <w:id w:val="1490834860"/>
        <w:placeholder>
          <w:docPart w:val="GBC22222222222222222222222222222"/>
        </w:placeholder>
      </w:sdtPr>
      <w:sdtEndPr/>
      <w:sdtContent>
        <w:p w:rsidR="000C5659" w:rsidRDefault="000C5659">
          <w:pPr>
            <w:pStyle w:val="Style229"/>
          </w:pPr>
        </w:p>
        <w:sdt>
          <w:sdtPr>
            <w:rPr>
              <w:rFonts w:hint="eastAsia"/>
              <w:sz w:val="21"/>
              <w:szCs w:val="21"/>
            </w:rPr>
            <w:alias w:val="优惠税赋及批文"/>
            <w:tag w:val="_GBC_3bbdacdaa3ba421fb8a81b9bda047bb4"/>
            <w:id w:val="967863548"/>
            <w:lock w:val="sdtLocked"/>
          </w:sdtPr>
          <w:sdtEndPr/>
          <w:sdtContent>
            <w:p w:rsidR="000C5659" w:rsidRDefault="000E33C4">
              <w:pPr>
                <w:pStyle w:val="Style229"/>
                <w:rPr>
                  <w:sz w:val="21"/>
                  <w:szCs w:val="21"/>
                </w:rPr>
              </w:pPr>
              <w:r>
                <w:rPr>
                  <w:sz w:val="21"/>
                  <w:szCs w:val="21"/>
                </w:rPr>
                <w:t>1、扬州恒生精密模具有限公司于2023年12月</w:t>
              </w:r>
              <w:r>
                <w:rPr>
                  <w:rFonts w:hint="eastAsia"/>
                  <w:sz w:val="21"/>
                  <w:szCs w:val="21"/>
                </w:rPr>
                <w:t>1</w:t>
              </w:r>
              <w:r>
                <w:rPr>
                  <w:sz w:val="21"/>
                  <w:szCs w:val="21"/>
                </w:rPr>
                <w:t>3日取得《高新技术企业证书》，证书编号GR202332010820，有效期三年。根据《中华人民共和国企业所得税法》相关规定，实行15%的优惠税率。</w:t>
              </w:r>
            </w:p>
            <w:p w:rsidR="000C5659" w:rsidRDefault="000E33C4">
              <w:pPr>
                <w:pStyle w:val="Style229"/>
              </w:pPr>
              <w:r>
                <w:rPr>
                  <w:sz w:val="21"/>
                  <w:szCs w:val="21"/>
                </w:rPr>
                <w:t>2、扬州倍加洁日化有限公司于2022年12月12日取得《高新技术企业证书》，证书编号GR202232015606，有效期三年。根据《中华人民共和国企业所得税法》相关规定，实行15%的优惠税率</w:t>
              </w:r>
            </w:p>
          </w:sdtContent>
        </w:sdt>
        <w:p w:rsidR="000C5659" w:rsidRDefault="00220B84">
          <w:pPr>
            <w:pStyle w:val="Style229"/>
            <w:rPr>
              <w:color w:val="000000" w:themeColor="text1"/>
            </w:rPr>
          </w:pPr>
        </w:p>
      </w:sdtContent>
    </w:sdt>
    <w:p w:rsidR="000C5659" w:rsidRDefault="000E33C4">
      <w:pPr>
        <w:pStyle w:val="Style325"/>
      </w:pPr>
      <w:r>
        <w:rPr>
          <w:rFonts w:hint="eastAsia"/>
          <w:color w:val="000000" w:themeColor="text1"/>
        </w:rPr>
        <w:lastRenderedPageBreak/>
        <w:t>3、</w:t>
      </w:r>
      <w:fldSimple w:instr=" DOCVARIABLE  基本信息_企业名称  \* MERGEFORMAT ">
        <w:r>
          <w:rPr>
            <w:rFonts w:hint="eastAsia"/>
          </w:rPr>
          <w:t>善恩康生物科技（苏州）有限公司</w:t>
        </w:r>
      </w:fldSimple>
      <w:r>
        <w:rPr>
          <w:rFonts w:eastAsiaTheme="minorEastAsia" w:hint="eastAsia"/>
        </w:rPr>
        <w:t>于2</w:t>
      </w:r>
      <w:r>
        <w:rPr>
          <w:rFonts w:eastAsiaTheme="minorEastAsia"/>
        </w:rPr>
        <w:t>023</w:t>
      </w:r>
      <w:r>
        <w:rPr>
          <w:rFonts w:eastAsiaTheme="minorEastAsia" w:hint="eastAsia"/>
        </w:rPr>
        <w:t>年1</w:t>
      </w:r>
      <w:r>
        <w:rPr>
          <w:rFonts w:eastAsiaTheme="minorEastAsia"/>
        </w:rPr>
        <w:t>1</w:t>
      </w:r>
      <w:r>
        <w:rPr>
          <w:rFonts w:eastAsiaTheme="minorEastAsia" w:hint="eastAsia"/>
        </w:rPr>
        <w:t>月</w:t>
      </w:r>
      <w:r>
        <w:rPr>
          <w:rFonts w:eastAsiaTheme="minorEastAsia"/>
        </w:rPr>
        <w:t>6</w:t>
      </w:r>
      <w:r>
        <w:rPr>
          <w:rFonts w:eastAsiaTheme="minorEastAsia" w:hint="eastAsia"/>
        </w:rPr>
        <w:t>日</w:t>
      </w:r>
      <w:r>
        <w:t>取得《高新技术企业证书》</w:t>
      </w:r>
      <w:r>
        <w:rPr>
          <w:rFonts w:hint="eastAsia"/>
        </w:rPr>
        <w:t>，</w:t>
      </w:r>
      <w:r>
        <w:t>证书</w:t>
      </w:r>
      <w:r>
        <w:rPr>
          <w:rFonts w:eastAsiaTheme="minorEastAsia" w:hint="eastAsia"/>
        </w:rPr>
        <w:t>编号GR</w:t>
      </w:r>
      <w:r>
        <w:rPr>
          <w:rFonts w:eastAsiaTheme="minorEastAsia"/>
        </w:rPr>
        <w:t>202332002163</w:t>
      </w:r>
      <w:r>
        <w:rPr>
          <w:rFonts w:eastAsiaTheme="minorEastAsia" w:hint="eastAsia"/>
        </w:rPr>
        <w:t>，</w:t>
      </w:r>
      <w:r>
        <w:t>有效期三年。</w:t>
      </w:r>
      <w:r>
        <w:rPr>
          <w:rFonts w:eastAsiaTheme="minorEastAsia" w:hint="eastAsia"/>
        </w:rPr>
        <w:t>根据《中华人民共和国企业所得税法》有关规定，实行1</w:t>
      </w:r>
      <w:r>
        <w:rPr>
          <w:rFonts w:eastAsiaTheme="minorEastAsia"/>
        </w:rPr>
        <w:t>5%</w:t>
      </w:r>
      <w:r>
        <w:rPr>
          <w:rFonts w:eastAsiaTheme="minorEastAsia" w:hint="eastAsia"/>
        </w:rPr>
        <w:t>的</w:t>
      </w:r>
      <w:r>
        <w:t>优惠税率</w:t>
      </w:r>
      <w:r>
        <w:rPr>
          <w:rFonts w:eastAsiaTheme="minorEastAsia" w:hint="eastAsia"/>
        </w:rPr>
        <w:t>。</w:t>
      </w:r>
    </w:p>
    <w:p w:rsidR="000C5659" w:rsidRDefault="000E33C4" w:rsidP="000743DD">
      <w:pPr>
        <w:pStyle w:val="35"/>
        <w:numPr>
          <w:ilvl w:val="0"/>
          <w:numId w:val="49"/>
        </w:numPr>
        <w:tabs>
          <w:tab w:val="left" w:pos="546"/>
        </w:tabs>
        <w:rPr>
          <w:rFonts w:ascii="宋体" w:hAnsi="宋体"/>
          <w:color w:val="000000" w:themeColor="text1"/>
        </w:rPr>
      </w:pPr>
      <w:r>
        <w:rPr>
          <w:rFonts w:ascii="宋体" w:hAnsi="宋体"/>
          <w:color w:val="000000" w:themeColor="text1"/>
        </w:rPr>
        <w:t>其他</w:t>
      </w:r>
    </w:p>
    <w:sdt>
      <w:sdtPr>
        <w:rPr>
          <w:rFonts w:hint="eastAsia"/>
          <w:color w:val="000000" w:themeColor="text1"/>
        </w:rPr>
        <w:alias w:val="是否适用：税项说明[双击切换]"/>
        <w:tag w:val="_GBC_566ef0a7141a4b2ca002ad8d0663c462"/>
        <w:id w:val="-12038170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合并财务报表项目注释</w:t>
      </w:r>
    </w:p>
    <w:p w:rsidR="000C5659" w:rsidRDefault="000E33C4" w:rsidP="000743DD">
      <w:pPr>
        <w:pStyle w:val="35"/>
        <w:numPr>
          <w:ilvl w:val="0"/>
          <w:numId w:val="50"/>
        </w:numPr>
        <w:rPr>
          <w:color w:val="000000" w:themeColor="text1"/>
          <w:szCs w:val="21"/>
        </w:rPr>
      </w:pPr>
      <w:bookmarkStart w:id="143" w:name="_Hlk167884561"/>
      <w:r>
        <w:rPr>
          <w:color w:val="000000" w:themeColor="text1"/>
          <w:szCs w:val="21"/>
        </w:rPr>
        <w:t>货币资金</w:t>
      </w:r>
    </w:p>
    <w:sdt>
      <w:sdtPr>
        <w:rPr>
          <w:rFonts w:hint="eastAsia"/>
          <w:color w:val="000000" w:themeColor="text1"/>
        </w:rPr>
        <w:alias w:val="是否适用：货币资金[双击切换]"/>
        <w:tag w:val="_GBC_5f3519836df54c60a57659bf8a9d755e"/>
        <w:id w:val="-1282494394"/>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货币资金"/>
          <w:tag w:val="_GBC_fbefd7cb6bcc4b278e8eafe562f64817"/>
          <w:id w:val="-10365880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货币资金"/>
          <w:tag w:val="_GBC_c76577cdfdc64a9abb84903fd74497a4"/>
          <w:id w:val="-430041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17"/>
        <w:gridCol w:w="3290"/>
        <w:gridCol w:w="3316"/>
      </w:tblGrid>
      <w:tr w:rsidR="000C5659">
        <w:trPr>
          <w:cantSplit/>
        </w:trPr>
        <w:sdt>
          <w:sdtPr>
            <w:rPr>
              <w:color w:val="000000" w:themeColor="text1"/>
            </w:rPr>
            <w:tag w:val="_PLD_c298b96ff42b4ec08ce0bc2e7ff09d9d"/>
            <w:id w:val="-165945840"/>
          </w:sdtPr>
          <w:sdtEndPr/>
          <w:sdtContent>
            <w:tc>
              <w:tcPr>
                <w:tcW w:w="1256"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410d387a5f404c958f8ba18c816ca023"/>
            <w:id w:val="2017422790"/>
          </w:sdtPr>
          <w:sdtEndPr/>
          <w:sdtContent>
            <w:tc>
              <w:tcPr>
                <w:tcW w:w="1864"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04102c94e9134fa683ae3d0eac53465c"/>
            <w:id w:val="-1424798364"/>
          </w:sdtPr>
          <w:sdtEndPr/>
          <w:sdtContent>
            <w:tc>
              <w:tcPr>
                <w:tcW w:w="1878"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0C5659">
        <w:trPr>
          <w:cantSplit/>
        </w:trPr>
        <w:tc>
          <w:tcPr>
            <w:tcW w:w="1256" w:type="pct"/>
            <w:shd w:val="clear" w:color="auto" w:fill="auto"/>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库存现金</w:t>
            </w:r>
          </w:p>
        </w:tc>
        <w:tc>
          <w:tcPr>
            <w:tcW w:w="1864" w:type="pct"/>
            <w:shd w:val="clear" w:color="auto" w:fill="auto"/>
          </w:tcPr>
          <w:p w:rsidR="000C5659" w:rsidRDefault="000E33C4">
            <w:pPr>
              <w:autoSpaceDE w:val="0"/>
              <w:autoSpaceDN w:val="0"/>
              <w:adjustRightInd w:val="0"/>
              <w:snapToGrid w:val="0"/>
              <w:spacing w:line="240" w:lineRule="atLeast"/>
              <w:jc w:val="right"/>
            </w:pPr>
            <w:r>
              <w:rPr>
                <w:rFonts w:hint="eastAsia"/>
              </w:rPr>
              <w:t>40,839.38</w:t>
            </w:r>
          </w:p>
        </w:tc>
        <w:tc>
          <w:tcPr>
            <w:tcW w:w="1878" w:type="pct"/>
            <w:shd w:val="clear" w:color="auto" w:fill="auto"/>
          </w:tcPr>
          <w:p w:rsidR="000C5659" w:rsidRDefault="000E33C4">
            <w:pPr>
              <w:autoSpaceDE w:val="0"/>
              <w:autoSpaceDN w:val="0"/>
              <w:adjustRightInd w:val="0"/>
              <w:snapToGrid w:val="0"/>
              <w:spacing w:line="240" w:lineRule="atLeast"/>
              <w:jc w:val="right"/>
            </w:pPr>
            <w:r>
              <w:t>8,590.00</w:t>
            </w:r>
          </w:p>
        </w:tc>
      </w:tr>
      <w:tr w:rsidR="000C5659">
        <w:trPr>
          <w:cantSplit/>
        </w:trPr>
        <w:tc>
          <w:tcPr>
            <w:tcW w:w="1256" w:type="pct"/>
            <w:shd w:val="clear" w:color="auto" w:fill="auto"/>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银行存款</w:t>
            </w:r>
          </w:p>
        </w:tc>
        <w:tc>
          <w:tcPr>
            <w:tcW w:w="1864" w:type="pct"/>
            <w:shd w:val="clear" w:color="auto" w:fill="auto"/>
          </w:tcPr>
          <w:p w:rsidR="000C5659" w:rsidRDefault="000E33C4">
            <w:pPr>
              <w:autoSpaceDE w:val="0"/>
              <w:autoSpaceDN w:val="0"/>
              <w:adjustRightInd w:val="0"/>
              <w:snapToGrid w:val="0"/>
              <w:spacing w:line="240" w:lineRule="atLeast"/>
              <w:jc w:val="right"/>
            </w:pPr>
            <w:r>
              <w:rPr>
                <w:rFonts w:hint="eastAsia"/>
              </w:rPr>
              <w:t>37,239,303.59</w:t>
            </w:r>
          </w:p>
        </w:tc>
        <w:tc>
          <w:tcPr>
            <w:tcW w:w="1878" w:type="pct"/>
            <w:shd w:val="clear" w:color="auto" w:fill="auto"/>
          </w:tcPr>
          <w:p w:rsidR="000C5659" w:rsidRDefault="000E33C4">
            <w:pPr>
              <w:autoSpaceDE w:val="0"/>
              <w:autoSpaceDN w:val="0"/>
              <w:adjustRightInd w:val="0"/>
              <w:snapToGrid w:val="0"/>
              <w:spacing w:line="240" w:lineRule="atLeast"/>
              <w:jc w:val="right"/>
            </w:pPr>
            <w:r>
              <w:t>49,364,378.94</w:t>
            </w:r>
          </w:p>
        </w:tc>
      </w:tr>
      <w:tr w:rsidR="000C5659">
        <w:trPr>
          <w:cantSplit/>
        </w:trPr>
        <w:tc>
          <w:tcPr>
            <w:tcW w:w="1256" w:type="pct"/>
            <w:shd w:val="clear" w:color="auto" w:fill="auto"/>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其他货币资金</w:t>
            </w:r>
          </w:p>
        </w:tc>
        <w:tc>
          <w:tcPr>
            <w:tcW w:w="1864" w:type="pct"/>
            <w:shd w:val="clear" w:color="auto" w:fill="auto"/>
          </w:tcPr>
          <w:p w:rsidR="000C5659" w:rsidRDefault="000E33C4">
            <w:pPr>
              <w:autoSpaceDE w:val="0"/>
              <w:autoSpaceDN w:val="0"/>
              <w:adjustRightInd w:val="0"/>
              <w:snapToGrid w:val="0"/>
              <w:spacing w:line="240" w:lineRule="atLeast"/>
              <w:jc w:val="right"/>
            </w:pPr>
            <w:r>
              <w:rPr>
                <w:rFonts w:hint="eastAsia"/>
              </w:rPr>
              <w:t>22,622,735.11</w:t>
            </w:r>
          </w:p>
        </w:tc>
        <w:tc>
          <w:tcPr>
            <w:tcW w:w="1878" w:type="pct"/>
            <w:shd w:val="clear" w:color="auto" w:fill="auto"/>
          </w:tcPr>
          <w:p w:rsidR="000C5659" w:rsidRDefault="000E33C4">
            <w:pPr>
              <w:autoSpaceDE w:val="0"/>
              <w:autoSpaceDN w:val="0"/>
              <w:adjustRightInd w:val="0"/>
              <w:snapToGrid w:val="0"/>
              <w:spacing w:line="240" w:lineRule="atLeast"/>
              <w:jc w:val="right"/>
            </w:pPr>
            <w:r>
              <w:t>20,748,818.47</w:t>
            </w:r>
          </w:p>
        </w:tc>
      </w:tr>
      <w:tr w:rsidR="000C5659">
        <w:trPr>
          <w:cantSplit/>
        </w:trPr>
        <w:tc>
          <w:tcPr>
            <w:tcW w:w="1256" w:type="pct"/>
            <w:shd w:val="clear" w:color="auto" w:fill="auto"/>
            <w:vAlign w:val="center"/>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合计</w:t>
            </w:r>
          </w:p>
        </w:tc>
        <w:tc>
          <w:tcPr>
            <w:tcW w:w="1864" w:type="pct"/>
            <w:shd w:val="clear" w:color="auto" w:fill="auto"/>
          </w:tcPr>
          <w:p w:rsidR="000C5659" w:rsidRDefault="000E33C4">
            <w:pPr>
              <w:autoSpaceDE w:val="0"/>
              <w:autoSpaceDN w:val="0"/>
              <w:adjustRightInd w:val="0"/>
              <w:snapToGrid w:val="0"/>
              <w:spacing w:line="240" w:lineRule="atLeast"/>
              <w:jc w:val="right"/>
            </w:pPr>
            <w:r>
              <w:rPr>
                <w:rFonts w:hint="eastAsia"/>
              </w:rPr>
              <w:t>59,902,878.08</w:t>
            </w:r>
          </w:p>
        </w:tc>
        <w:tc>
          <w:tcPr>
            <w:tcW w:w="1878" w:type="pct"/>
            <w:shd w:val="clear" w:color="auto" w:fill="auto"/>
          </w:tcPr>
          <w:p w:rsidR="000C5659" w:rsidRDefault="000E33C4">
            <w:pPr>
              <w:autoSpaceDE w:val="0"/>
              <w:autoSpaceDN w:val="0"/>
              <w:adjustRightInd w:val="0"/>
              <w:snapToGrid w:val="0"/>
              <w:spacing w:line="240" w:lineRule="atLeast"/>
              <w:jc w:val="right"/>
            </w:pPr>
            <w:r>
              <w:rPr>
                <w:rFonts w:asciiTheme="minorEastAsia" w:eastAsiaTheme="minorEastAsia" w:hAnsiTheme="minorEastAsia" w:cstheme="minorEastAsia" w:hint="eastAsia"/>
                <w:color w:val="000000"/>
              </w:rPr>
              <w:t>70,121,787.41</w:t>
            </w:r>
          </w:p>
        </w:tc>
      </w:tr>
    </w:tbl>
    <w:p w:rsidR="000C5659" w:rsidRDefault="000C5659">
      <w:pPr>
        <w:rPr>
          <w:color w:val="000000" w:themeColor="text1"/>
        </w:rPr>
      </w:pPr>
    </w:p>
    <w:p w:rsidR="000C5659" w:rsidRDefault="000E33C4">
      <w:pPr>
        <w:rPr>
          <w:color w:val="000000" w:themeColor="text1"/>
          <w:highlight w:val="yellow"/>
        </w:rPr>
      </w:pPr>
      <w:r>
        <w:rPr>
          <w:rFonts w:hint="eastAsia"/>
          <w:color w:val="000000" w:themeColor="text1"/>
        </w:rPr>
        <w:t>其他说明</w:t>
      </w:r>
    </w:p>
    <w:p w:rsidR="000C5659" w:rsidRDefault="00220B84">
      <w:pPr>
        <w:rPr>
          <w:color w:val="000000" w:themeColor="text1"/>
        </w:rPr>
      </w:pPr>
      <w:sdt>
        <w:sdtPr>
          <w:rPr>
            <w:color w:val="000000" w:themeColor="text1"/>
          </w:rPr>
          <w:alias w:val="货币资金的说明"/>
          <w:tag w:val="_GBC_2938fcf8616141aca7cb2bc277476b5d"/>
          <w:id w:val="1402560418"/>
          <w:placeholder>
            <w:docPart w:val="GBC22222222222222222222222222222"/>
          </w:placeholder>
        </w:sdtPr>
        <w:sdtEndPr/>
        <w:sdtContent>
          <w:r w:rsidR="000E33C4">
            <w:rPr>
              <w:rFonts w:hint="eastAsia"/>
              <w:color w:val="000000" w:themeColor="text1"/>
            </w:rPr>
            <w:t>无</w:t>
          </w:r>
        </w:sdtContent>
      </w:sdt>
    </w:p>
    <w:bookmarkEnd w:id="143"/>
    <w:p w:rsidR="000C5659" w:rsidRDefault="000C5659">
      <w:pPr>
        <w:snapToGrid w:val="0"/>
        <w:spacing w:line="240" w:lineRule="atLeast"/>
        <w:ind w:left="1470" w:rightChars="12" w:right="25" w:hangingChars="700" w:hanging="1470"/>
        <w:rPr>
          <w:color w:val="000000" w:themeColor="text1"/>
        </w:rPr>
      </w:pPr>
    </w:p>
    <w:p w:rsidR="000C5659" w:rsidRDefault="000E33C4" w:rsidP="000743DD">
      <w:pPr>
        <w:pStyle w:val="35"/>
        <w:numPr>
          <w:ilvl w:val="0"/>
          <w:numId w:val="50"/>
        </w:numPr>
        <w:rPr>
          <w:color w:val="000000" w:themeColor="text1"/>
          <w:szCs w:val="21"/>
        </w:rPr>
      </w:pPr>
      <w:bookmarkStart w:id="144" w:name="_Hlk167884670"/>
      <w:r>
        <w:rPr>
          <w:color w:val="000000" w:themeColor="text1"/>
          <w:szCs w:val="21"/>
        </w:rPr>
        <w:t>交易性金融资产</w:t>
      </w:r>
    </w:p>
    <w:sdt>
      <w:sdtPr>
        <w:rPr>
          <w:color w:val="000000" w:themeColor="text1"/>
        </w:rPr>
        <w:alias w:val="是否适用：交易性金融资产[双击切换]"/>
        <w:tag w:val="_GBC_814e9c37d6a143e79b3faaee7ef0a917"/>
        <w:id w:val="40041057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ind w:left="420" w:right="44"/>
        <w:jc w:val="right"/>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单位：</w:t>
      </w:r>
      <w:sdt>
        <w:sdtPr>
          <w:rPr>
            <w:rFonts w:hint="eastAsia"/>
            <w:color w:val="000000" w:themeColor="text1"/>
          </w:rPr>
          <w:alias w:val="单位：财务附注：交易性金融资产"/>
          <w:tag w:val="_GBC_0b6d7aa5ef9b4e3f96bbacf50472e8a9"/>
          <w:id w:val="8924658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交易性金融资产"/>
          <w:tag w:val="_GBC_c0e55c4dc6c240cbb4249fb399e1f183"/>
          <w:id w:val="-3739996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017"/>
        <w:gridCol w:w="2035"/>
        <w:gridCol w:w="2035"/>
      </w:tblGrid>
      <w:tr w:rsidR="000C5659">
        <w:sdt>
          <w:sdtPr>
            <w:rPr>
              <w:color w:val="000000" w:themeColor="text1"/>
            </w:rPr>
            <w:tag w:val="_PLD_3bfc974108f748739d6b36c0d00be15d"/>
            <w:id w:val="1639447506"/>
          </w:sdtPr>
          <w:sdtEndPr/>
          <w:sdtContent>
            <w:tc>
              <w:tcPr>
                <w:tcW w:w="1551"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4ab18d4bde12445fb3b33042ee039a79"/>
            <w:id w:val="236060967"/>
          </w:sdtPr>
          <w:sdtEndPr/>
          <w:sdtContent>
            <w:tc>
              <w:tcPr>
                <w:tcW w:w="1143"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ba01bb51e04644ee9a12073e90767e0a"/>
            <w:id w:val="1966841927"/>
          </w:sdtPr>
          <w:sdtEndPr/>
          <w:sdtContent>
            <w:tc>
              <w:tcPr>
                <w:tcW w:w="1153"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c>
          <w:tcPr>
            <w:tcW w:w="1151" w:type="pct"/>
          </w:tcPr>
          <w:sdt>
            <w:sdtPr>
              <w:rPr>
                <w:rFonts w:hint="eastAsia"/>
                <w:color w:val="000000" w:themeColor="text1"/>
              </w:rPr>
              <w:tag w:val="_PLD_5ca45b30c40c4d908efaf8db8546b8af"/>
              <w:id w:val="470016272"/>
            </w:sdtPr>
            <w:sdtEndPr/>
            <w:sdtContent>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指定理由和依据</w:t>
                </w:r>
              </w:p>
            </w:sdtContent>
          </w:sdt>
        </w:tc>
      </w:tr>
      <w:tr w:rsidR="000C5659">
        <w:tc>
          <w:tcPr>
            <w:tcW w:w="1551" w:type="pct"/>
            <w:shd w:val="clear" w:color="auto" w:fill="auto"/>
          </w:tcPr>
          <w:p w:rsidR="000C5659" w:rsidRDefault="000E33C4">
            <w:pPr>
              <w:autoSpaceDE w:val="0"/>
              <w:autoSpaceDN w:val="0"/>
              <w:adjustRightInd w:val="0"/>
              <w:rPr>
                <w:color w:val="000000" w:themeColor="text1"/>
              </w:rPr>
            </w:pPr>
            <w:r>
              <w:rPr>
                <w:rFonts w:hint="eastAsia"/>
                <w:color w:val="000000" w:themeColor="text1"/>
              </w:rPr>
              <w:t>以公允价值计量且其变动计入当期损益的金融资产</w:t>
            </w:r>
          </w:p>
        </w:tc>
        <w:tc>
          <w:tcPr>
            <w:tcW w:w="1143" w:type="pct"/>
            <w:shd w:val="clear" w:color="auto" w:fill="auto"/>
          </w:tcPr>
          <w:p w:rsidR="000C5659" w:rsidRDefault="000E33C4">
            <w:pPr>
              <w:jc w:val="right"/>
            </w:pPr>
            <w:r>
              <w:rPr>
                <w:rFonts w:hint="eastAsia"/>
              </w:rPr>
              <w:t>54,654,985.10</w:t>
            </w:r>
          </w:p>
        </w:tc>
        <w:tc>
          <w:tcPr>
            <w:tcW w:w="1153" w:type="pct"/>
            <w:shd w:val="clear" w:color="auto" w:fill="auto"/>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16,999,892.25</w:t>
            </w:r>
          </w:p>
        </w:tc>
        <w:tc>
          <w:tcPr>
            <w:tcW w:w="1151" w:type="pct"/>
          </w:tcPr>
          <w:p w:rsidR="000C5659" w:rsidRDefault="000E33C4">
            <w:pPr>
              <w:jc w:val="right"/>
              <w:rPr>
                <w:color w:val="000000" w:themeColor="text1"/>
              </w:rPr>
            </w:pPr>
            <w:r>
              <w:rPr>
                <w:rFonts w:hint="eastAsia"/>
                <w:color w:val="000000" w:themeColor="text1"/>
              </w:rPr>
              <w:t>/</w:t>
            </w:r>
          </w:p>
        </w:tc>
      </w:tr>
      <w:tr w:rsidR="000C5659">
        <w:sdt>
          <w:sdtPr>
            <w:rPr>
              <w:rFonts w:asciiTheme="minorEastAsia" w:eastAsiaTheme="minorEastAsia" w:hAnsiTheme="minorEastAsia" w:cstheme="minorEastAsia" w:hint="eastAsia"/>
              <w:color w:val="000000" w:themeColor="text1"/>
            </w:rPr>
            <w:tag w:val="_PLD_ced5983f34d54e1499a5d77f9b552502"/>
            <w:id w:val="-1613664039"/>
          </w:sdtPr>
          <w:sdtEndPr/>
          <w:sdtContent>
            <w:tc>
              <w:tcPr>
                <w:tcW w:w="5000" w:type="pct"/>
                <w:gridSpan w:val="4"/>
                <w:shd w:val="clear" w:color="auto" w:fill="auto"/>
              </w:tcPr>
              <w:p w:rsidR="000C5659" w:rsidRDefault="000E33C4">
                <w:pPr>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其中：</w:t>
                </w:r>
              </w:p>
            </w:tc>
          </w:sdtContent>
        </w:sdt>
      </w:tr>
      <w:tr w:rsidR="000C5659">
        <w:tc>
          <w:tcPr>
            <w:tcW w:w="1551" w:type="pct"/>
            <w:shd w:val="clear" w:color="auto" w:fill="auto"/>
          </w:tcPr>
          <w:p w:rsidR="000C5659" w:rsidRDefault="000E33C4">
            <w:pPr>
              <w:autoSpaceDE w:val="0"/>
              <w:autoSpaceDN w:val="0"/>
              <w:adjustRightInd w:val="0"/>
              <w:ind w:firstLineChars="270" w:firstLine="567"/>
            </w:pPr>
            <w:r>
              <w:rPr>
                <w:rFonts w:ascii="Times New Roman" w:hAnsi="Times New Roman" w:cs="Times New Roman"/>
                <w:color w:val="000000"/>
              </w:rPr>
              <w:t>权益工具投资</w:t>
            </w:r>
          </w:p>
        </w:tc>
        <w:tc>
          <w:tcPr>
            <w:tcW w:w="1143" w:type="pct"/>
            <w:shd w:val="clear" w:color="auto" w:fill="auto"/>
          </w:tcPr>
          <w:p w:rsidR="000C5659" w:rsidRDefault="000E33C4">
            <w:pPr>
              <w:jc w:val="right"/>
            </w:pPr>
            <w:r>
              <w:rPr>
                <w:rFonts w:hint="eastAsia"/>
              </w:rPr>
              <w:t>8,845,004.72</w:t>
            </w:r>
          </w:p>
        </w:tc>
        <w:tc>
          <w:tcPr>
            <w:tcW w:w="1153" w:type="pct"/>
            <w:shd w:val="clear" w:color="auto" w:fill="auto"/>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9,389,911.87</w:t>
            </w:r>
          </w:p>
        </w:tc>
        <w:tc>
          <w:tcPr>
            <w:tcW w:w="1151" w:type="pct"/>
          </w:tcPr>
          <w:p w:rsidR="000C5659" w:rsidRDefault="000E33C4">
            <w:pPr>
              <w:jc w:val="right"/>
              <w:rPr>
                <w:color w:val="000000" w:themeColor="text1"/>
              </w:rPr>
            </w:pPr>
            <w:r>
              <w:rPr>
                <w:rFonts w:hint="eastAsia"/>
                <w:color w:val="000000" w:themeColor="text1"/>
              </w:rPr>
              <w:t>/</w:t>
            </w:r>
          </w:p>
        </w:tc>
      </w:tr>
      <w:tr w:rsidR="000C5659">
        <w:tc>
          <w:tcPr>
            <w:tcW w:w="1551" w:type="pct"/>
            <w:shd w:val="clear" w:color="auto" w:fill="auto"/>
          </w:tcPr>
          <w:p w:rsidR="000C5659" w:rsidRDefault="000E33C4">
            <w:pPr>
              <w:autoSpaceDE w:val="0"/>
              <w:autoSpaceDN w:val="0"/>
              <w:adjustRightInd w:val="0"/>
              <w:ind w:firstLineChars="270" w:firstLine="567"/>
            </w:pPr>
            <w:r>
              <w:rPr>
                <w:rFonts w:ascii="Times New Roman" w:hAnsi="Times New Roman" w:cs="Times New Roman" w:hint="eastAsia"/>
                <w:color w:val="000000"/>
              </w:rPr>
              <w:t>衍生金融工具</w:t>
            </w:r>
          </w:p>
        </w:tc>
        <w:tc>
          <w:tcPr>
            <w:tcW w:w="1143" w:type="pct"/>
            <w:shd w:val="clear" w:color="auto" w:fill="auto"/>
          </w:tcPr>
          <w:p w:rsidR="000C5659" w:rsidRDefault="000E33C4">
            <w:pPr>
              <w:jc w:val="right"/>
            </w:pPr>
            <w:r>
              <w:rPr>
                <w:rFonts w:hint="eastAsia"/>
              </w:rPr>
              <w:t>45,809,980.38</w:t>
            </w:r>
          </w:p>
        </w:tc>
        <w:tc>
          <w:tcPr>
            <w:tcW w:w="1153" w:type="pct"/>
            <w:shd w:val="clear" w:color="auto" w:fill="auto"/>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7,609,980.38</w:t>
            </w:r>
          </w:p>
        </w:tc>
        <w:tc>
          <w:tcPr>
            <w:tcW w:w="1151" w:type="pct"/>
          </w:tcPr>
          <w:p w:rsidR="000C5659" w:rsidRDefault="000E33C4">
            <w:pPr>
              <w:jc w:val="right"/>
              <w:rPr>
                <w:color w:val="000000" w:themeColor="text1"/>
              </w:rPr>
            </w:pPr>
            <w:r>
              <w:rPr>
                <w:rFonts w:hint="eastAsia"/>
                <w:color w:val="000000" w:themeColor="text1"/>
              </w:rPr>
              <w:t>/</w:t>
            </w:r>
          </w:p>
        </w:tc>
      </w:tr>
      <w:tr w:rsidR="000C5659">
        <w:tc>
          <w:tcPr>
            <w:tcW w:w="1551" w:type="pct"/>
            <w:shd w:val="clear" w:color="auto" w:fill="auto"/>
          </w:tcPr>
          <w:p w:rsidR="000C5659" w:rsidRDefault="000E33C4">
            <w:pPr>
              <w:autoSpaceDE w:val="0"/>
              <w:autoSpaceDN w:val="0"/>
              <w:adjustRightInd w:val="0"/>
              <w:rPr>
                <w:color w:val="000000" w:themeColor="text1"/>
              </w:rPr>
            </w:pPr>
            <w:r>
              <w:rPr>
                <w:rFonts w:hint="eastAsia"/>
                <w:color w:val="000000" w:themeColor="text1"/>
              </w:rPr>
              <w:t>指定以公允价值计量且其变动计入当期损益的金融资产</w:t>
            </w:r>
          </w:p>
        </w:tc>
        <w:tc>
          <w:tcPr>
            <w:tcW w:w="1143" w:type="pct"/>
            <w:shd w:val="clear" w:color="auto" w:fill="auto"/>
          </w:tcPr>
          <w:p w:rsidR="000C5659" w:rsidRDefault="000C5659">
            <w:pPr>
              <w:jc w:val="right"/>
            </w:pPr>
          </w:p>
        </w:tc>
        <w:tc>
          <w:tcPr>
            <w:tcW w:w="1153" w:type="pct"/>
            <w:shd w:val="clear" w:color="auto" w:fill="auto"/>
          </w:tcPr>
          <w:p w:rsidR="000C5659" w:rsidRDefault="000C5659">
            <w:pPr>
              <w:jc w:val="right"/>
            </w:pPr>
          </w:p>
        </w:tc>
        <w:tc>
          <w:tcPr>
            <w:tcW w:w="1151" w:type="pct"/>
          </w:tcPr>
          <w:p w:rsidR="000C5659" w:rsidRDefault="000C5659">
            <w:pPr>
              <w:pStyle w:val="Style325"/>
            </w:pPr>
          </w:p>
        </w:tc>
      </w:tr>
      <w:tr w:rsidR="000C5659">
        <w:tc>
          <w:tcPr>
            <w:tcW w:w="1551" w:type="pct"/>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1143" w:type="pct"/>
            <w:shd w:val="clear" w:color="auto" w:fill="auto"/>
          </w:tcPr>
          <w:p w:rsidR="000C5659" w:rsidRDefault="000E33C4">
            <w:pPr>
              <w:jc w:val="right"/>
            </w:pPr>
            <w:r>
              <w:rPr>
                <w:rFonts w:hint="eastAsia"/>
              </w:rPr>
              <w:t>54,654,985.10</w:t>
            </w:r>
          </w:p>
        </w:tc>
        <w:tc>
          <w:tcPr>
            <w:tcW w:w="1153" w:type="pct"/>
            <w:shd w:val="clear" w:color="auto" w:fill="auto"/>
          </w:tcPr>
          <w:p w:rsidR="000C5659" w:rsidRDefault="000E33C4">
            <w:pPr>
              <w:jc w:val="right"/>
            </w:pPr>
            <w:r>
              <w:rPr>
                <w:rFonts w:asciiTheme="minorEastAsia" w:eastAsiaTheme="minorEastAsia" w:hAnsiTheme="minorEastAsia" w:hint="eastAsia"/>
              </w:rPr>
              <w:t>16,999,892.25</w:t>
            </w:r>
          </w:p>
        </w:tc>
        <w:tc>
          <w:tcPr>
            <w:tcW w:w="1151" w:type="pct"/>
          </w:tcPr>
          <w:p w:rsidR="000C5659" w:rsidRDefault="000E33C4">
            <w:pPr>
              <w:jc w:val="right"/>
              <w:rPr>
                <w:color w:val="000000" w:themeColor="text1"/>
              </w:rPr>
            </w:pPr>
            <w:r>
              <w:rPr>
                <w:rFonts w:hint="eastAsia"/>
                <w:color w:val="000000" w:themeColor="text1"/>
              </w:rPr>
              <w:t>/</w:t>
            </w:r>
          </w:p>
        </w:tc>
      </w:tr>
    </w:tbl>
    <w:p w:rsidR="000C5659" w:rsidRDefault="000E33C4">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是否适用：交易性金融资产的说明[双击切换]"/>
        <w:tag w:val="_GBC_ef40892aa2074eaea951740a9358033e"/>
        <w:id w:val="210537506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144"/>
    <w:p w:rsidR="000C5659" w:rsidRDefault="000E33C4" w:rsidP="000743DD">
      <w:pPr>
        <w:pStyle w:val="35"/>
        <w:numPr>
          <w:ilvl w:val="0"/>
          <w:numId w:val="50"/>
        </w:numPr>
        <w:rPr>
          <w:color w:val="000000" w:themeColor="text1"/>
          <w:szCs w:val="21"/>
        </w:rPr>
      </w:pPr>
      <w:r>
        <w:rPr>
          <w:color w:val="000000" w:themeColor="text1"/>
          <w:szCs w:val="21"/>
        </w:rPr>
        <w:t>衍生金融资产</w:t>
      </w:r>
    </w:p>
    <w:sdt>
      <w:sdtPr>
        <w:rPr>
          <w:color w:val="000000" w:themeColor="text1"/>
        </w:rPr>
        <w:alias w:val="是否适用：衍生金融资产[双击切换]"/>
        <w:tag w:val="_GBC_7f1559f8ac9a442b81c5479563d9e8bb"/>
        <w:id w:val="521898419"/>
        <w:placeholder>
          <w:docPart w:val="GBC22222222222222222222222222222"/>
        </w:placeholder>
      </w:sdtPr>
      <w:sdtEndPr/>
      <w:sdtContent>
        <w:p w:rsidR="000C5659" w:rsidRDefault="000E33C4">
          <w:pPr>
            <w:snapToGrid w:val="0"/>
            <w:spacing w:line="240" w:lineRule="atLeast"/>
            <w:ind w:left="1470" w:rightChars="12" w:right="25" w:hangingChars="700" w:hanging="147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ind w:rightChars="12" w:right="25"/>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应收票据</w:t>
      </w:r>
    </w:p>
    <w:p w:rsidR="000C5659" w:rsidRDefault="000E33C4" w:rsidP="000743DD">
      <w:pPr>
        <w:pStyle w:val="43"/>
        <w:numPr>
          <w:ilvl w:val="3"/>
          <w:numId w:val="51"/>
        </w:numPr>
        <w:rPr>
          <w:rFonts w:ascii="宋体" w:hAnsi="宋体"/>
          <w:color w:val="000000" w:themeColor="text1"/>
        </w:rPr>
      </w:pPr>
      <w:r>
        <w:rPr>
          <w:rFonts w:ascii="宋体" w:hAnsi="宋体" w:hint="eastAsia"/>
          <w:color w:val="000000" w:themeColor="text1"/>
        </w:rPr>
        <w:t>应收票据分类列示</w:t>
      </w:r>
    </w:p>
    <w:sdt>
      <w:sdtPr>
        <w:rPr>
          <w:color w:val="000000" w:themeColor="text1"/>
        </w:rPr>
        <w:alias w:val="是否适用：应收票据分类列示[双击切换]"/>
        <w:tag w:val="_GBC_3c32a2809ab3476a93b88a8155fb0be8"/>
        <w:id w:val="-739728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1"/>
        </w:numPr>
        <w:rPr>
          <w:rFonts w:ascii="宋体" w:hAnsi="宋体"/>
          <w:color w:val="000000" w:themeColor="text1"/>
        </w:rPr>
      </w:pPr>
      <w:r>
        <w:rPr>
          <w:rFonts w:ascii="宋体" w:hAnsi="宋体" w:hint="eastAsia"/>
          <w:color w:val="000000" w:themeColor="text1"/>
        </w:rPr>
        <w:t>期末公司已质押的应收票据</w:t>
      </w:r>
    </w:p>
    <w:sdt>
      <w:sdtPr>
        <w:rPr>
          <w:color w:val="000000" w:themeColor="text1"/>
        </w:rPr>
        <w:alias w:val="是否适用：期末公司已质押的应收票据[双击切换]"/>
        <w:tag w:val="_GBC_3440ef2908e64e51a440106bfa389257"/>
        <w:id w:val="57686815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1"/>
        </w:numPr>
        <w:rPr>
          <w:rFonts w:ascii="宋体" w:hAnsi="宋体"/>
          <w:color w:val="000000" w:themeColor="text1"/>
        </w:rPr>
      </w:pPr>
      <w:r>
        <w:rPr>
          <w:rFonts w:ascii="宋体" w:hAnsi="宋体" w:hint="eastAsia"/>
          <w:color w:val="000000" w:themeColor="text1"/>
        </w:rPr>
        <w:t>期末公司已背书或贴现且在资产负债表日尚未到期的应收票据</w:t>
      </w:r>
    </w:p>
    <w:sdt>
      <w:sdtPr>
        <w:rPr>
          <w:color w:val="000000" w:themeColor="text1"/>
        </w:rPr>
        <w:alias w:val="是否适用：期末公司已背书或贴现且在资产负债表日尚未到期的应收票据[双击切换]"/>
        <w:tag w:val="_GBC_d04f4c30d18f498d986ce6c934ec761c"/>
        <w:id w:val="-138262860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1"/>
        </w:numPr>
        <w:rPr>
          <w:rFonts w:ascii="宋体" w:hAnsi="宋体"/>
          <w:color w:val="000000" w:themeColor="text1"/>
        </w:rPr>
      </w:pPr>
      <w:bookmarkStart w:id="145" w:name="_Hlk10466572"/>
      <w:r>
        <w:rPr>
          <w:rFonts w:ascii="宋体" w:hAnsi="宋体" w:hint="eastAsia"/>
          <w:color w:val="000000" w:themeColor="text1"/>
        </w:rPr>
        <w:t>按坏账计提方法分类披露</w:t>
      </w:r>
    </w:p>
    <w:sdt>
      <w:sdtPr>
        <w:rPr>
          <w:color w:val="000000" w:themeColor="text1"/>
        </w:rPr>
        <w:alias w:val="是否适用：应收票据按坏账计提方法分类披露[双击切换]"/>
        <w:tag w:val="_GBC_064ae6cf552d47d6abf4ad2b5c55d254"/>
        <w:id w:val="211578259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146" w:name="_Hlk533511527"/>
    </w:p>
    <w:p w:rsidR="000C5659" w:rsidRDefault="000E33C4">
      <w:pPr>
        <w:rPr>
          <w:color w:val="000000" w:themeColor="text1"/>
        </w:rPr>
      </w:pPr>
      <w:bookmarkStart w:id="147" w:name="_Hlk10466593"/>
      <w:bookmarkStart w:id="148" w:name="_Hlk10466603"/>
      <w:bookmarkEnd w:id="145"/>
      <w:bookmarkEnd w:id="146"/>
      <w:r>
        <w:rPr>
          <w:rFonts w:hint="eastAsia"/>
          <w:color w:val="000000" w:themeColor="text1"/>
        </w:rPr>
        <w:t>按单项计提坏账准备：</w:t>
      </w:r>
      <w:bookmarkEnd w:id="147"/>
    </w:p>
    <w:sdt>
      <w:sdtPr>
        <w:rPr>
          <w:rFonts w:hint="eastAsia"/>
          <w:color w:val="000000" w:themeColor="text1"/>
        </w:rPr>
        <w:alias w:val="是否适用：按单项计提坏账准备的应收票据详细情况[双击切换]"/>
        <w:tag w:val="_GBC_90335c20d2434e43b63dbeddbebca5f6"/>
        <w:id w:val="-29275493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bookmarkStart w:id="149" w:name="_Hlk533597423"/>
    </w:p>
    <w:p w:rsidR="000C5659" w:rsidRDefault="000E33C4">
      <w:pPr>
        <w:rPr>
          <w:rFonts w:cstheme="minorBidi"/>
          <w:color w:val="000000" w:themeColor="text1"/>
          <w:szCs w:val="22"/>
        </w:rPr>
      </w:pPr>
      <w:bookmarkStart w:id="150" w:name="_Hlk10466625"/>
      <w:bookmarkStart w:id="151" w:name="_Hlk10466636"/>
      <w:bookmarkEnd w:id="148"/>
      <w:bookmarkEnd w:id="149"/>
      <w:r>
        <w:rPr>
          <w:rFonts w:cstheme="minorBidi" w:hint="eastAsia"/>
          <w:color w:val="000000" w:themeColor="text1"/>
          <w:szCs w:val="22"/>
        </w:rPr>
        <w:t>按组合计提坏账准备：</w:t>
      </w:r>
      <w:bookmarkEnd w:id="150"/>
    </w:p>
    <w:sdt>
      <w:sdtPr>
        <w:rPr>
          <w:rFonts w:cstheme="minorBidi" w:hint="eastAsia"/>
          <w:color w:val="000000" w:themeColor="text1"/>
          <w:szCs w:val="22"/>
        </w:rPr>
        <w:alias w:val="是否适用：按组合计提坏账准备的应收票据详细情况[双击切换]"/>
        <w:tag w:val="_GBC_2b00fe7228b14b11bdb374e735777f02"/>
        <w:id w:val="600773248"/>
        <w:placeholder>
          <w:docPart w:val="GBC22222222222222222222222222222"/>
        </w:placeholder>
      </w:sdtPr>
      <w:sdtEndPr/>
      <w:sdtContent>
        <w:p w:rsidR="000C5659" w:rsidRDefault="000E33C4">
          <w:pPr>
            <w:rPr>
              <w:color w:val="000000" w:themeColor="text1"/>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C5659">
      <w:pPr>
        <w:rPr>
          <w:rFonts w:cstheme="minorBidi"/>
          <w:color w:val="000000" w:themeColor="text1"/>
          <w:szCs w:val="22"/>
        </w:rPr>
      </w:pPr>
      <w:bookmarkStart w:id="152" w:name="_Hlk533601037"/>
      <w:bookmarkEnd w:id="151"/>
      <w:bookmarkEnd w:id="152"/>
    </w:p>
    <w:p w:rsidR="000C5659" w:rsidRDefault="000E33C4">
      <w:pPr>
        <w:rPr>
          <w:rFonts w:cstheme="minorBidi"/>
          <w:color w:val="000000" w:themeColor="text1"/>
          <w:szCs w:val="22"/>
        </w:rPr>
      </w:pPr>
      <w:bookmarkStart w:id="153" w:name="_Hlk153356892"/>
      <w:bookmarkStart w:id="154" w:name="_Hlk167884917"/>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843d776745f34ed8a0f1956fcb3af042"/>
        <w:id w:val="26158888"/>
        <w:placeholder>
          <w:docPart w:val="GBC22222222222222222222222222222"/>
        </w:placeholder>
      </w:sdtPr>
      <w:sdtEndPr/>
      <w:sdtContent>
        <w:p w:rsidR="000C5659" w:rsidRDefault="000E33C4">
          <w:pPr>
            <w:autoSpaceDE w:val="0"/>
            <w:autoSpaceDN w:val="0"/>
            <w:adjustRightInd w:val="0"/>
            <w:ind w:rightChars="50" w:right="105"/>
            <w:rPr>
              <w:rFonts w:cstheme="minorBidi"/>
              <w:color w:val="000000" w:themeColor="text1"/>
              <w:szCs w:val="22"/>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C5659">
      <w:pPr>
        <w:autoSpaceDE w:val="0"/>
        <w:autoSpaceDN w:val="0"/>
        <w:adjustRightInd w:val="0"/>
        <w:ind w:rightChars="50" w:right="105"/>
        <w:rPr>
          <w:rFonts w:cstheme="minorBidi"/>
          <w:color w:val="000000" w:themeColor="text1"/>
          <w:szCs w:val="22"/>
        </w:rPr>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0c92b3ffc361499bb76814db60f3df97"/>
        <w:id w:val="1930150031"/>
        <w:placeholder>
          <w:docPart w:val="GBC22222222222222222222222222222"/>
        </w:placeholder>
      </w:sdtPr>
      <w:sdtEndPr/>
      <w:sdtContent>
        <w:p w:rsidR="000C5659" w:rsidRDefault="000E33C4">
          <w:pPr>
            <w:rPr>
              <w:rFonts w:cs="Times New Roman"/>
              <w:color w:val="000000" w:themeColor="text1"/>
              <w:szCs w:val="22"/>
            </w:rPr>
          </w:pPr>
          <w:r>
            <w:rPr>
              <w:rFonts w:cs="Times New Roman" w:hint="eastAsia"/>
              <w:color w:val="000000" w:themeColor="text1"/>
              <w:szCs w:val="22"/>
            </w:rPr>
            <w:t>无</w:t>
          </w:r>
        </w:p>
      </w:sdtContent>
    </w:sdt>
    <w:p w:rsidR="000C5659" w:rsidRDefault="000C5659">
      <w:pPr>
        <w:rPr>
          <w:rFonts w:asciiTheme="minorHAnsi" w:hAnsiTheme="minorHAnsi" w:cstheme="minorBidi"/>
          <w:b/>
          <w:color w:val="000000" w:themeColor="text1"/>
          <w:szCs w:val="22"/>
        </w:rPr>
      </w:pPr>
    </w:p>
    <w:p w:rsidR="000C5659" w:rsidRDefault="000E33C4">
      <w:pPr>
        <w:pStyle w:val="Style197"/>
        <w:rPr>
          <w:color w:val="000000" w:themeColor="text1"/>
        </w:rPr>
      </w:pPr>
      <w:r>
        <w:rPr>
          <w:rFonts w:hint="eastAsia"/>
          <w:color w:val="000000" w:themeColor="text1"/>
        </w:rPr>
        <w:t>对本期发生损失准备变动的应收票据账面余额显著变动的情况说明：</w:t>
      </w:r>
    </w:p>
    <w:sdt>
      <w:sdtPr>
        <w:rPr>
          <w:color w:val="000000" w:themeColor="text1"/>
        </w:rPr>
        <w:alias w:val="是否适用：对本期发生损失准备变动的账面余额显著变动的情况说明[双击切换]"/>
        <w:tag w:val="_GBC_58cb241b61cd42d1a0d769cec83b1516"/>
        <w:id w:val="-1799521552"/>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153"/>
    <w:bookmarkEnd w:id="154"/>
    <w:p w:rsidR="000C5659" w:rsidRDefault="000C5659">
      <w:pPr>
        <w:ind w:right="210"/>
        <w:rPr>
          <w:color w:val="000000" w:themeColor="text1"/>
        </w:rPr>
      </w:pPr>
    </w:p>
    <w:p w:rsidR="000C5659" w:rsidRDefault="000E33C4" w:rsidP="000743DD">
      <w:pPr>
        <w:pStyle w:val="43"/>
        <w:numPr>
          <w:ilvl w:val="3"/>
          <w:numId w:val="51"/>
        </w:numPr>
        <w:rPr>
          <w:rFonts w:ascii="宋体" w:hAnsi="宋体"/>
          <w:color w:val="000000" w:themeColor="text1"/>
        </w:rPr>
      </w:pPr>
      <w:bookmarkStart w:id="155" w:name="_Hlk154148795"/>
      <w:bookmarkStart w:id="156" w:name="_Hlk167885031"/>
      <w:bookmarkStart w:id="157" w:name="_Hlk532980547"/>
      <w:r>
        <w:rPr>
          <w:rFonts w:ascii="宋体" w:hAnsi="宋体" w:hint="eastAsia"/>
          <w:color w:val="000000" w:themeColor="text1"/>
        </w:rPr>
        <w:t>坏账准备的情况</w:t>
      </w:r>
    </w:p>
    <w:sdt>
      <w:sdtPr>
        <w:rPr>
          <w:color w:val="000000" w:themeColor="text1"/>
        </w:rPr>
        <w:alias w:val="是否适用：应收票据坏账准备情况[双击切换]"/>
        <w:tag w:val="_GBC_168f3e2065e34239828a1cf025c3d9ad"/>
        <w:id w:val="-17780205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其中本期坏账准备收回或转回金额重要的：</w:t>
      </w:r>
    </w:p>
    <w:sdt>
      <w:sdtPr>
        <w:rPr>
          <w:rFonts w:hint="eastAsia"/>
          <w:color w:val="000000" w:themeColor="text1"/>
        </w:rPr>
        <w:alias w:val="是否适用：应收票据本期坏账准备收回或转回金额重要的[双击切换]"/>
        <w:tag w:val="_GBC_ebd5833e36984f6f9c7dc0fec90cccc0"/>
        <w:id w:val="-159594039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rFonts w:cstheme="minorBidi"/>
          <w:color w:val="000000" w:themeColor="text1"/>
          <w:szCs w:val="22"/>
        </w:rPr>
        <w:alias w:val="应收票据坏账准备的其他说明"/>
        <w:tag w:val="_GBC_06a2eec03f574dd1baa82ec8987eaf65"/>
        <w:id w:val="-1334607139"/>
        <w:placeholder>
          <w:docPart w:val="GBC22222222222222222222222222222"/>
        </w:placeholder>
      </w:sdtPr>
      <w:sdtEndPr>
        <w:rPr>
          <w:rFonts w:asciiTheme="minorHAnsi" w:hAnsiTheme="minorHAnsi"/>
          <w:b/>
        </w:rPr>
      </w:sdtEndPr>
      <w:sdtContent>
        <w:p w:rsidR="000C5659" w:rsidRDefault="000E33C4">
          <w:pPr>
            <w:rPr>
              <w:rFonts w:asciiTheme="minorHAnsi" w:hAnsiTheme="minorHAnsi" w:cstheme="minorBidi"/>
              <w:b/>
              <w:color w:val="000000" w:themeColor="text1"/>
              <w:szCs w:val="22"/>
            </w:rPr>
          </w:pPr>
          <w:r>
            <w:rPr>
              <w:rFonts w:cstheme="minorBidi" w:hint="eastAsia"/>
              <w:color w:val="000000" w:themeColor="text1"/>
              <w:szCs w:val="22"/>
            </w:rPr>
            <w:t>无</w:t>
          </w:r>
        </w:p>
      </w:sdtContent>
    </w:sdt>
    <w:p w:rsidR="000C5659" w:rsidRDefault="000C5659">
      <w:pPr>
        <w:rPr>
          <w:rFonts w:asciiTheme="minorHAnsi" w:hAnsiTheme="minorHAnsi" w:cstheme="minorBidi"/>
          <w:b/>
          <w:color w:val="000000" w:themeColor="text1"/>
          <w:szCs w:val="22"/>
        </w:rPr>
      </w:pPr>
    </w:p>
    <w:p w:rsidR="000C5659" w:rsidRDefault="000E33C4" w:rsidP="000743DD">
      <w:pPr>
        <w:pStyle w:val="43"/>
        <w:numPr>
          <w:ilvl w:val="3"/>
          <w:numId w:val="51"/>
        </w:numPr>
        <w:rPr>
          <w:rFonts w:ascii="宋体" w:hAnsi="宋体"/>
          <w:color w:val="000000" w:themeColor="text1"/>
        </w:rPr>
      </w:pPr>
      <w:bookmarkStart w:id="158" w:name="_Hlk10466841"/>
      <w:bookmarkStart w:id="159" w:name="_Hlk10466853"/>
      <w:bookmarkEnd w:id="155"/>
      <w:bookmarkEnd w:id="156"/>
      <w:bookmarkEnd w:id="157"/>
      <w:r>
        <w:rPr>
          <w:rFonts w:ascii="宋体" w:hAnsi="宋体" w:hint="eastAsia"/>
          <w:color w:val="000000" w:themeColor="text1"/>
        </w:rPr>
        <w:t>本期实际核销的应收票据情况</w:t>
      </w:r>
      <w:bookmarkEnd w:id="158"/>
    </w:p>
    <w:sdt>
      <w:sdtPr>
        <w:rPr>
          <w:color w:val="000000" w:themeColor="text1"/>
        </w:rPr>
        <w:alias w:val="是否适用：实际核销的应收票据[双击切换]"/>
        <w:tag w:val="_GBC_d0dcbb36ec68469bb29eac25b4a7af19"/>
        <w:id w:val="-15067488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其中重要的应收票据核销情况：</w:t>
      </w:r>
    </w:p>
    <w:sdt>
      <w:sdtPr>
        <w:rPr>
          <w:color w:val="000000" w:themeColor="text1"/>
        </w:rPr>
        <w:alias w:val="是否适用：重要的应收票据核销[双击切换]"/>
        <w:tag w:val="_GBC_e2717d0c54ea4f5eb5b1671a3c798609"/>
        <w:id w:val="75309839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应收票据核销说明：</w:t>
      </w:r>
    </w:p>
    <w:sdt>
      <w:sdtPr>
        <w:rPr>
          <w:rFonts w:cstheme="minorBidi"/>
          <w:color w:val="000000" w:themeColor="text1"/>
          <w:szCs w:val="22"/>
        </w:rPr>
        <w:alias w:val="是否适用：应收票据核销说明[双击切换]"/>
        <w:tag w:val="_GBC_60d1268fdde049f1971e1a68d97580f2"/>
        <w:id w:val="-866601538"/>
        <w:placeholder>
          <w:docPart w:val="GBC22222222222222222222222222222"/>
        </w:placeholder>
      </w:sdtPr>
      <w:sdtEndPr/>
      <w:sdtContent>
        <w:p w:rsidR="000C5659" w:rsidRDefault="000E33C4">
          <w:pPr>
            <w:rPr>
              <w:rFonts w:cstheme="minorBidi"/>
              <w:color w:val="000000" w:themeColor="text1"/>
              <w:szCs w:val="22"/>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C5659">
      <w:pPr>
        <w:ind w:right="210"/>
        <w:rPr>
          <w:color w:val="000000" w:themeColor="text1"/>
        </w:rPr>
      </w:pPr>
    </w:p>
    <w:bookmarkEnd w:id="159"/>
    <w:p w:rsidR="000C5659" w:rsidRDefault="000E33C4">
      <w:pPr>
        <w:rPr>
          <w:color w:val="000000" w:themeColor="text1"/>
        </w:rPr>
      </w:pPr>
      <w:r>
        <w:rPr>
          <w:rFonts w:hint="eastAsia"/>
          <w:color w:val="000000" w:themeColor="text1"/>
        </w:rPr>
        <w:t>其他说明：</w:t>
      </w:r>
    </w:p>
    <w:sdt>
      <w:sdtPr>
        <w:rPr>
          <w:color w:val="000000" w:themeColor="text1"/>
        </w:rPr>
        <w:alias w:val="是否适用：应收票据的说明[双击切换]"/>
        <w:tag w:val="_GBC_704e24e70b65463883e10335ce93a1ac"/>
        <w:id w:val="-1555614297"/>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应收账款</w:t>
      </w:r>
    </w:p>
    <w:p w:rsidR="000C5659" w:rsidRDefault="000E33C4" w:rsidP="000743DD">
      <w:pPr>
        <w:pStyle w:val="43"/>
        <w:numPr>
          <w:ilvl w:val="3"/>
          <w:numId w:val="52"/>
        </w:numPr>
        <w:ind w:left="426" w:hanging="426"/>
        <w:rPr>
          <w:color w:val="000000" w:themeColor="text1"/>
        </w:rPr>
      </w:pPr>
      <w:bookmarkStart w:id="160" w:name="_Hlk167885161"/>
      <w:r>
        <w:rPr>
          <w:rFonts w:hint="eastAsia"/>
          <w:color w:val="000000" w:themeColor="text1"/>
        </w:rPr>
        <w:t>按账龄披露</w:t>
      </w:r>
    </w:p>
    <w:sdt>
      <w:sdtPr>
        <w:rPr>
          <w:rFonts w:hint="eastAsia"/>
          <w:color w:val="000000" w:themeColor="text1"/>
        </w:rPr>
        <w:alias w:val="是否适用：组合中，按账龄分析法计提坏账准备的应收账款[双击切换]"/>
        <w:tag w:val="_GBC_0cb5a49c5db74995bd3018603d9e51bd"/>
        <w:id w:val="-191893369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单项金额不重大但按信用风险特征组合后该组合的风险较大的应收账款"/>
          <w:tag w:val="_GBC_265ded289d9549b48b782b655857ce0f"/>
          <w:id w:val="-9913255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单项金额不重大但按信用风险特征组合后该组合的风险较大的应收账款"/>
          <w:tag w:val="_GBC_180ea8d33f6444f78eff9694acd980ae"/>
          <w:id w:val="4555426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2974"/>
        <w:gridCol w:w="2979"/>
      </w:tblGrid>
      <w:tr w:rsidR="000C5659">
        <w:trPr>
          <w:cantSplit/>
        </w:trPr>
        <w:sdt>
          <w:sdtPr>
            <w:rPr>
              <w:color w:val="000000" w:themeColor="text1"/>
            </w:rPr>
            <w:tag w:val="_PLD_213499a1ef1849a6bacc47a55e2a94f7"/>
            <w:id w:val="-1397585612"/>
          </w:sdtPr>
          <w:sdtEndPr/>
          <w:sdtContent>
            <w:tc>
              <w:tcPr>
                <w:tcW w:w="162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账龄</w:t>
                </w:r>
              </w:p>
            </w:tc>
          </w:sdtContent>
        </w:sdt>
        <w:sdt>
          <w:sdtPr>
            <w:rPr>
              <w:color w:val="000000" w:themeColor="text1"/>
            </w:rPr>
            <w:tag w:val="_PLD_80e3ddf3d703438d9bc59aba1626c89f"/>
            <w:id w:val="-401521913"/>
          </w:sdtPr>
          <w:sdtEndPr/>
          <w:sdtContent>
            <w:tc>
              <w:tcPr>
                <w:tcW w:w="1685"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期末账面余额</w:t>
                </w:r>
              </w:p>
            </w:tc>
          </w:sdtContent>
        </w:sdt>
        <w:sdt>
          <w:sdtPr>
            <w:rPr>
              <w:rFonts w:hint="eastAsia"/>
              <w:color w:val="000000" w:themeColor="text1"/>
            </w:rPr>
            <w:tag w:val="_PLD_4acf836dd5254d2ba9d541e7076daad6"/>
            <w:id w:val="-1031715991"/>
          </w:sdtPr>
          <w:sdtEndPr/>
          <w:sdtContent>
            <w:tc>
              <w:tcPr>
                <w:tcW w:w="1688"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期初账面余额</w:t>
                </w:r>
              </w:p>
            </w:tc>
          </w:sdtContent>
        </w:sdt>
      </w:tr>
      <w:tr w:rsidR="000C5659">
        <w:trPr>
          <w:cantSplit/>
        </w:trPr>
        <w:tc>
          <w:tcPr>
            <w:tcW w:w="1626" w:type="pct"/>
            <w:tcBorders>
              <w:top w:val="single" w:sz="4" w:space="0" w:color="auto"/>
              <w:left w:val="single" w:sz="4" w:space="0" w:color="auto"/>
              <w:bottom w:val="single" w:sz="4" w:space="0" w:color="auto"/>
              <w:right w:val="single" w:sz="4" w:space="0" w:color="auto"/>
            </w:tcBorders>
          </w:tcPr>
          <w:p w:rsidR="000C5659" w:rsidRDefault="000E33C4">
            <w:pPr>
              <w:pStyle w:val="Style325"/>
            </w:pPr>
            <w:r>
              <w:t>1年以内</w:t>
            </w:r>
          </w:p>
        </w:tc>
        <w:tc>
          <w:tcPr>
            <w:tcW w:w="1685" w:type="pct"/>
            <w:tcBorders>
              <w:top w:val="single" w:sz="4" w:space="0" w:color="auto"/>
              <w:left w:val="single" w:sz="4" w:space="0" w:color="auto"/>
              <w:bottom w:val="single" w:sz="4" w:space="0" w:color="auto"/>
              <w:right w:val="single" w:sz="4" w:space="0" w:color="auto"/>
            </w:tcBorders>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242,265,979.13</w:t>
            </w:r>
          </w:p>
        </w:tc>
        <w:tc>
          <w:tcPr>
            <w:tcW w:w="1688"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202,512,265.28</w:t>
            </w:r>
          </w:p>
        </w:tc>
      </w:tr>
      <w:tr w:rsidR="000C5659">
        <w:trPr>
          <w:cantSplit/>
          <w:trHeight w:val="325"/>
        </w:trPr>
        <w:tc>
          <w:tcPr>
            <w:tcW w:w="162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1年以内小计</w:t>
            </w:r>
          </w:p>
        </w:tc>
        <w:tc>
          <w:tcPr>
            <w:tcW w:w="1685" w:type="pct"/>
            <w:tcBorders>
              <w:top w:val="single" w:sz="4" w:space="0" w:color="auto"/>
              <w:left w:val="single" w:sz="4" w:space="0" w:color="auto"/>
              <w:bottom w:val="single" w:sz="4" w:space="0" w:color="auto"/>
              <w:right w:val="single" w:sz="4" w:space="0" w:color="auto"/>
            </w:tcBorders>
          </w:tcPr>
          <w:p w:rsidR="000C5659" w:rsidRDefault="00C83B86">
            <w:pPr>
              <w:jc w:val="right"/>
              <w:rPr>
                <w:rFonts w:asciiTheme="minorEastAsia" w:eastAsiaTheme="minorEastAsia" w:hAnsiTheme="minorEastAsia" w:cstheme="minorEastAsia"/>
              </w:rPr>
            </w:pPr>
            <w:r>
              <w:rPr>
                <w:rFonts w:asciiTheme="minorEastAsia" w:eastAsiaTheme="minorEastAsia" w:hAnsiTheme="minorEastAsia" w:cstheme="minorEastAsia"/>
                <w:color w:val="000000"/>
                <w:lang w:bidi="ar"/>
              </w:rPr>
              <w:t>242,265,979.13</w:t>
            </w:r>
          </w:p>
        </w:tc>
        <w:tc>
          <w:tcPr>
            <w:tcW w:w="1688"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202,512,265.28</w:t>
            </w:r>
          </w:p>
        </w:tc>
      </w:tr>
      <w:tr w:rsidR="000C5659">
        <w:trPr>
          <w:cantSplit/>
        </w:trPr>
        <w:tc>
          <w:tcPr>
            <w:tcW w:w="162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1至2年</w:t>
            </w:r>
          </w:p>
        </w:tc>
        <w:tc>
          <w:tcPr>
            <w:tcW w:w="1685" w:type="pct"/>
            <w:tcBorders>
              <w:top w:val="single" w:sz="4" w:space="0" w:color="auto"/>
              <w:left w:val="single" w:sz="4" w:space="0" w:color="auto"/>
              <w:bottom w:val="single" w:sz="4" w:space="0" w:color="auto"/>
              <w:right w:val="single" w:sz="4" w:space="0" w:color="auto"/>
            </w:tcBorders>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2,879,268.78</w:t>
            </w:r>
          </w:p>
        </w:tc>
        <w:tc>
          <w:tcPr>
            <w:tcW w:w="1688"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669,075.02</w:t>
            </w:r>
          </w:p>
        </w:tc>
      </w:tr>
      <w:tr w:rsidR="000C5659">
        <w:trPr>
          <w:cantSplit/>
        </w:trPr>
        <w:tc>
          <w:tcPr>
            <w:tcW w:w="162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lastRenderedPageBreak/>
              <w:t>2至3年</w:t>
            </w: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204.54</w:t>
            </w:r>
          </w:p>
        </w:tc>
        <w:tc>
          <w:tcPr>
            <w:tcW w:w="1688"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13,369.48</w:t>
            </w:r>
          </w:p>
        </w:tc>
      </w:tr>
      <w:tr w:rsidR="000C5659">
        <w:trPr>
          <w:cantSplit/>
        </w:trPr>
        <w:tc>
          <w:tcPr>
            <w:tcW w:w="162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3年以上</w:t>
            </w: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13,369.48</w:t>
            </w:r>
          </w:p>
        </w:tc>
        <w:tc>
          <w:tcPr>
            <w:tcW w:w="1688"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56,004.90</w:t>
            </w:r>
          </w:p>
        </w:tc>
      </w:tr>
      <w:tr w:rsidR="000C5659">
        <w:trPr>
          <w:cantSplit/>
        </w:trPr>
        <w:tc>
          <w:tcPr>
            <w:tcW w:w="162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tc>
          <w:tcPr>
            <w:tcW w:w="1685" w:type="pct"/>
            <w:tcBorders>
              <w:top w:val="single" w:sz="4" w:space="0" w:color="auto"/>
              <w:left w:val="single" w:sz="4" w:space="0" w:color="auto"/>
              <w:bottom w:val="single" w:sz="4" w:space="0" w:color="auto"/>
              <w:right w:val="single" w:sz="4" w:space="0" w:color="auto"/>
            </w:tcBorders>
            <w:vAlign w:val="bottom"/>
          </w:tcPr>
          <w:p w:rsidR="000C5659" w:rsidRDefault="000E33C4">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245,158,821.93 </w:t>
            </w:r>
          </w:p>
        </w:tc>
        <w:tc>
          <w:tcPr>
            <w:tcW w:w="1688" w:type="pct"/>
            <w:tcBorders>
              <w:top w:val="single" w:sz="4" w:space="0" w:color="auto"/>
              <w:left w:val="single" w:sz="4" w:space="0" w:color="auto"/>
              <w:bottom w:val="single" w:sz="4" w:space="0" w:color="auto"/>
              <w:right w:val="single" w:sz="4" w:space="0" w:color="auto"/>
            </w:tcBorders>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203,250,714.68</w:t>
            </w:r>
          </w:p>
        </w:tc>
      </w:tr>
    </w:tbl>
    <w:p w:rsidR="000C5659" w:rsidRDefault="000C5659">
      <w:pPr>
        <w:pStyle w:val="Style325"/>
      </w:pPr>
    </w:p>
    <w:p w:rsidR="000C5659" w:rsidRDefault="000C5659">
      <w:pPr>
        <w:pStyle w:val="Style325"/>
      </w:pPr>
    </w:p>
    <w:p w:rsidR="000C5659" w:rsidRDefault="000C5659">
      <w:pPr>
        <w:pStyle w:val="Style325"/>
      </w:pPr>
    </w:p>
    <w:p w:rsidR="000C5659" w:rsidRDefault="000C5659">
      <w:pPr>
        <w:pStyle w:val="Style325"/>
      </w:pPr>
    </w:p>
    <w:p w:rsidR="000C5659" w:rsidRDefault="000C5659">
      <w:pPr>
        <w:rPr>
          <w:color w:val="000000" w:themeColor="text1"/>
        </w:rPr>
      </w:pPr>
    </w:p>
    <w:p w:rsidR="000C5659" w:rsidRDefault="000C5659">
      <w:pPr>
        <w:rPr>
          <w:rFonts w:ascii="Cambria" w:hAnsi="Cambria" w:cs="Times New Roman"/>
          <w:b/>
          <w:color w:val="000000" w:themeColor="text1"/>
          <w:kern w:val="2"/>
          <w:szCs w:val="28"/>
        </w:rPr>
        <w:sectPr w:rsidR="000C5659">
          <w:pgSz w:w="11906" w:h="16838"/>
          <w:pgMar w:top="1525" w:right="1276" w:bottom="1440" w:left="1797" w:header="856" w:footer="992" w:gutter="0"/>
          <w:cols w:space="425"/>
          <w:docGrid w:linePitch="312"/>
        </w:sectPr>
      </w:pPr>
      <w:bookmarkStart w:id="161" w:name="_Hlk10467162"/>
      <w:bookmarkEnd w:id="160"/>
    </w:p>
    <w:p w:rsidR="000C5659" w:rsidRDefault="000E33C4" w:rsidP="000743DD">
      <w:pPr>
        <w:pStyle w:val="43"/>
        <w:numPr>
          <w:ilvl w:val="3"/>
          <w:numId w:val="52"/>
        </w:numPr>
        <w:ind w:left="426" w:hanging="426"/>
        <w:rPr>
          <w:color w:val="000000" w:themeColor="text1"/>
        </w:rPr>
      </w:pPr>
      <w:r>
        <w:rPr>
          <w:rFonts w:hint="eastAsia"/>
          <w:color w:val="000000" w:themeColor="text1"/>
        </w:rPr>
        <w:lastRenderedPageBreak/>
        <w:t>按坏账计提方法分类披露</w:t>
      </w:r>
    </w:p>
    <w:sdt>
      <w:sdtPr>
        <w:rPr>
          <w:color w:val="000000" w:themeColor="text1"/>
        </w:rPr>
        <w:alias w:val="是否适用：应收账款分类披露[双击切换]"/>
        <w:tag w:val="_GBC_fc55e6778e08412caa3e7b9e7a1a0f85"/>
        <w:id w:val="1875802711"/>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应收账款按种类披露"/>
          <w:tag w:val="_GBC_13874a7a2d5642bc9d06df2e53ad133f"/>
          <w:id w:val="-11438111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应收账款按种类披露"/>
          <w:tag w:val="_GBC_a7c9ba83409d4f5ebb3a7b0903842485"/>
          <w:id w:val="-19974120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1"/>
        <w:tblpPr w:leftFromText="180" w:rightFromText="180" w:vertAnchor="text" w:horzAnchor="page" w:tblpXSpec="center" w:tblpY="364"/>
        <w:tblOverlap w:val="never"/>
        <w:tblW w:w="542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1128"/>
        <w:gridCol w:w="1679"/>
        <w:gridCol w:w="930"/>
        <w:gridCol w:w="2001"/>
        <w:gridCol w:w="876"/>
        <w:gridCol w:w="1661"/>
        <w:gridCol w:w="1736"/>
        <w:gridCol w:w="728"/>
        <w:gridCol w:w="1471"/>
        <w:gridCol w:w="797"/>
        <w:gridCol w:w="2037"/>
      </w:tblGrid>
      <w:tr w:rsidR="000C5659" w:rsidTr="00597E75">
        <w:trPr>
          <w:cantSplit/>
          <w:trHeight w:val="339"/>
        </w:trPr>
        <w:sdt>
          <w:sdtPr>
            <w:rPr>
              <w:color w:val="000000" w:themeColor="text1"/>
            </w:rPr>
            <w:tag w:val="_PLD_a2143754c0e847e9a8bbb40d4548066c"/>
            <w:id w:val="1068149803"/>
          </w:sdtPr>
          <w:sdtEndPr/>
          <w:sdtContent>
            <w:tc>
              <w:tcPr>
                <w:tcW w:w="375"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类别</w:t>
                </w:r>
              </w:p>
            </w:tc>
          </w:sdtContent>
        </w:sdt>
        <w:sdt>
          <w:sdtPr>
            <w:rPr>
              <w:color w:val="000000" w:themeColor="text1"/>
            </w:rPr>
            <w:tag w:val="_PLD_25d42b68a0be4b6c9079bb6f0b9688f1"/>
            <w:id w:val="1639075411"/>
          </w:sdtPr>
          <w:sdtEndPr/>
          <w:sdtContent>
            <w:tc>
              <w:tcPr>
                <w:tcW w:w="2375" w:type="pct"/>
                <w:gridSpan w:val="5"/>
                <w:tcBorders>
                  <w:top w:val="single" w:sz="4" w:space="0" w:color="auto"/>
                  <w:left w:val="single" w:sz="4" w:space="0" w:color="auto"/>
                  <w:right w:val="single" w:sz="4"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7ebf4817a5864c42bb0897c8ddd0cd9c"/>
            <w:id w:val="558370158"/>
          </w:sdtPr>
          <w:sdtEndPr/>
          <w:sdtContent>
            <w:tc>
              <w:tcPr>
                <w:tcW w:w="2250" w:type="pct"/>
                <w:gridSpan w:val="5"/>
                <w:tcBorders>
                  <w:top w:val="single" w:sz="4" w:space="0" w:color="auto"/>
                  <w:left w:val="single" w:sz="4" w:space="0" w:color="auto"/>
                  <w:right w:val="single" w:sz="4"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0C5659" w:rsidTr="00597E75">
        <w:trPr>
          <w:cantSplit/>
          <w:trHeight w:val="279"/>
        </w:trPr>
        <w:tc>
          <w:tcPr>
            <w:tcW w:w="375" w:type="pct"/>
            <w:vMerge/>
            <w:tcBorders>
              <w:left w:val="single" w:sz="4" w:space="0" w:color="auto"/>
              <w:right w:val="single" w:sz="4" w:space="0" w:color="auto"/>
            </w:tcBorders>
            <w:vAlign w:val="center"/>
          </w:tcPr>
          <w:p w:rsidR="000C5659" w:rsidRDefault="000C5659">
            <w:pPr>
              <w:rPr>
                <w:color w:val="000000" w:themeColor="text1"/>
              </w:rPr>
            </w:pPr>
          </w:p>
        </w:tc>
        <w:sdt>
          <w:sdtPr>
            <w:rPr>
              <w:color w:val="000000" w:themeColor="text1"/>
            </w:rPr>
            <w:tag w:val="_PLD_fd64cffe158d4ef48a5ff569de778464"/>
            <w:id w:val="-1830435929"/>
          </w:sdtPr>
          <w:sdtEndPr/>
          <w:sdtContent>
            <w:tc>
              <w:tcPr>
                <w:tcW w:w="867"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f0f4adcb95c44cfa884ef7d853d6b134"/>
            <w:id w:val="1448731963"/>
          </w:sdtPr>
          <w:sdtEndPr/>
          <w:sdtContent>
            <w:tc>
              <w:tcPr>
                <w:tcW w:w="956"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坏账准备</w:t>
                </w:r>
              </w:p>
            </w:tc>
          </w:sdtContent>
        </w:sdt>
        <w:sdt>
          <w:sdtPr>
            <w:rPr>
              <w:color w:val="000000" w:themeColor="text1"/>
            </w:rPr>
            <w:tag w:val="_PLD_4c122527ed0743b8905d9f19514f4328"/>
            <w:id w:val="1953902141"/>
          </w:sdtPr>
          <w:sdtEndPr/>
          <w:sdtContent>
            <w:tc>
              <w:tcPr>
                <w:tcW w:w="552"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w:t>
                </w:r>
              </w:p>
              <w:p w:rsidR="000C5659" w:rsidRDefault="000E33C4">
                <w:pPr>
                  <w:jc w:val="center"/>
                  <w:rPr>
                    <w:color w:val="000000" w:themeColor="text1"/>
                  </w:rPr>
                </w:pPr>
                <w:r>
                  <w:rPr>
                    <w:rFonts w:hint="eastAsia"/>
                    <w:color w:val="000000" w:themeColor="text1"/>
                  </w:rPr>
                  <w:t>价值</w:t>
                </w:r>
              </w:p>
            </w:tc>
          </w:sdtContent>
        </w:sdt>
        <w:sdt>
          <w:sdtPr>
            <w:rPr>
              <w:color w:val="000000" w:themeColor="text1"/>
            </w:rPr>
            <w:tag w:val="_PLD_fa758d9eb4ae426faef8e328262241b4"/>
            <w:id w:val="873656039"/>
          </w:sdtPr>
          <w:sdtEndPr/>
          <w:sdtContent>
            <w:tc>
              <w:tcPr>
                <w:tcW w:w="819" w:type="pct"/>
                <w:gridSpan w:val="2"/>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58080bac137d4831ab65bc2f8ca82429"/>
            <w:id w:val="-1936506656"/>
          </w:sdtPr>
          <w:sdtEndPr/>
          <w:sdtContent>
            <w:tc>
              <w:tcPr>
                <w:tcW w:w="754" w:type="pct"/>
                <w:gridSpan w:val="2"/>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坏账准备</w:t>
                </w:r>
              </w:p>
            </w:tc>
          </w:sdtContent>
        </w:sdt>
        <w:sdt>
          <w:sdtPr>
            <w:rPr>
              <w:color w:val="000000" w:themeColor="text1"/>
            </w:rPr>
            <w:tag w:val="_PLD_c015e43e7b384b6ab9bf259155579fa4"/>
            <w:id w:val="573476949"/>
          </w:sdtPr>
          <w:sdtEndPr/>
          <w:sdtContent>
            <w:tc>
              <w:tcPr>
                <w:tcW w:w="677"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w:t>
                </w:r>
              </w:p>
              <w:p w:rsidR="000C5659" w:rsidRDefault="000E33C4">
                <w:pPr>
                  <w:jc w:val="center"/>
                  <w:rPr>
                    <w:color w:val="000000" w:themeColor="text1"/>
                  </w:rPr>
                </w:pPr>
                <w:r>
                  <w:rPr>
                    <w:rFonts w:hint="eastAsia"/>
                    <w:color w:val="000000" w:themeColor="text1"/>
                  </w:rPr>
                  <w:t>价值</w:t>
                </w:r>
              </w:p>
            </w:tc>
          </w:sdtContent>
        </w:sdt>
      </w:tr>
      <w:tr w:rsidR="000C5659" w:rsidTr="00597E75">
        <w:trPr>
          <w:cantSplit/>
          <w:trHeight w:val="610"/>
        </w:trPr>
        <w:tc>
          <w:tcPr>
            <w:tcW w:w="375" w:type="pct"/>
            <w:vMerge/>
            <w:tcBorders>
              <w:left w:val="single" w:sz="4" w:space="0" w:color="auto"/>
              <w:bottom w:val="single" w:sz="4" w:space="0" w:color="auto"/>
              <w:right w:val="single" w:sz="4" w:space="0" w:color="auto"/>
            </w:tcBorders>
            <w:vAlign w:val="center"/>
          </w:tcPr>
          <w:p w:rsidR="000C5659" w:rsidRDefault="000C5659">
            <w:pPr>
              <w:rPr>
                <w:color w:val="000000" w:themeColor="text1"/>
              </w:rPr>
            </w:pPr>
          </w:p>
        </w:tc>
        <w:sdt>
          <w:sdtPr>
            <w:rPr>
              <w:color w:val="000000" w:themeColor="text1"/>
            </w:rPr>
            <w:tag w:val="_PLD_2a622138bde346ccae812608989b472d"/>
            <w:id w:val="1981958823"/>
          </w:sdtPr>
          <w:sdtEndPr/>
          <w:sdtContent>
            <w:tc>
              <w:tcPr>
                <w:tcW w:w="558"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abd0e3a320c240aeb85b1414af26aa00"/>
            <w:id w:val="972100977"/>
          </w:sdtPr>
          <w:sdtEndPr/>
          <w:sdtContent>
            <w:tc>
              <w:tcPr>
                <w:tcW w:w="309"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比例</w:t>
                </w:r>
                <w:r>
                  <w:rPr>
                    <w:color w:val="000000" w:themeColor="text1"/>
                  </w:rPr>
                  <w:t>(%)</w:t>
                </w:r>
              </w:p>
            </w:tc>
          </w:sdtContent>
        </w:sdt>
        <w:sdt>
          <w:sdtPr>
            <w:rPr>
              <w:color w:val="000000" w:themeColor="text1"/>
            </w:rPr>
            <w:tag w:val="_PLD_d60468b4e5934fb9af3ebf3b3ca06a6b"/>
            <w:id w:val="-406228446"/>
          </w:sdtPr>
          <w:sdtEndPr/>
          <w:sdtContent>
            <w:tc>
              <w:tcPr>
                <w:tcW w:w="665"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743ca215156149608b4d9149bc142cc3"/>
            <w:id w:val="-617370481"/>
          </w:sdtPr>
          <w:sdtEndPr/>
          <w:sdtContent>
            <w:tc>
              <w:tcPr>
                <w:tcW w:w="291"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计提比例</w:t>
                </w:r>
                <w:r>
                  <w:rPr>
                    <w:color w:val="000000" w:themeColor="text1"/>
                  </w:rPr>
                  <w:t>(%)</w:t>
                </w:r>
              </w:p>
            </w:tc>
          </w:sdtContent>
        </w:sdt>
        <w:tc>
          <w:tcPr>
            <w:tcW w:w="552" w:type="pct"/>
            <w:vMerge/>
            <w:tcBorders>
              <w:left w:val="single" w:sz="4" w:space="0" w:color="auto"/>
              <w:bottom w:val="single" w:sz="4" w:space="0" w:color="auto"/>
              <w:right w:val="single" w:sz="4" w:space="0" w:color="auto"/>
            </w:tcBorders>
            <w:vAlign w:val="center"/>
          </w:tcPr>
          <w:p w:rsidR="000C5659" w:rsidRDefault="000C5659">
            <w:pPr>
              <w:jc w:val="center"/>
              <w:rPr>
                <w:color w:val="000000" w:themeColor="text1"/>
              </w:rPr>
            </w:pPr>
          </w:p>
        </w:tc>
        <w:sdt>
          <w:sdtPr>
            <w:rPr>
              <w:color w:val="000000" w:themeColor="text1"/>
            </w:rPr>
            <w:tag w:val="_PLD_88061469e7574f3d93ff9dc8f7c03e2d"/>
            <w:id w:val="1494138716"/>
          </w:sdtPr>
          <w:sdtEndPr/>
          <w:sdtContent>
            <w:tc>
              <w:tcPr>
                <w:tcW w:w="577"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c2b4bd19b5284f3481bdd6a3becafce0"/>
            <w:id w:val="-1642261959"/>
          </w:sdtPr>
          <w:sdtEndPr/>
          <w:sdtContent>
            <w:tc>
              <w:tcPr>
                <w:tcW w:w="242"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比例</w:t>
                </w:r>
                <w:r>
                  <w:rPr>
                    <w:color w:val="000000" w:themeColor="text1"/>
                  </w:rPr>
                  <w:t>(%)</w:t>
                </w:r>
              </w:p>
            </w:tc>
          </w:sdtContent>
        </w:sdt>
        <w:sdt>
          <w:sdtPr>
            <w:rPr>
              <w:color w:val="000000" w:themeColor="text1"/>
            </w:rPr>
            <w:tag w:val="_PLD_c6874c65e4ac43019002d5903e4b46d6"/>
            <w:id w:val="1471397697"/>
          </w:sdtPr>
          <w:sdtEndPr/>
          <w:sdtContent>
            <w:tc>
              <w:tcPr>
                <w:tcW w:w="489"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0596fb5f4bb147b48d9ab2f32535e71f"/>
            <w:id w:val="-2054529587"/>
          </w:sdtPr>
          <w:sdtEndPr/>
          <w:sdtContent>
            <w:tc>
              <w:tcPr>
                <w:tcW w:w="265"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计提比例</w:t>
                </w:r>
                <w:r>
                  <w:rPr>
                    <w:color w:val="000000" w:themeColor="text1"/>
                  </w:rPr>
                  <w:t>(%)</w:t>
                </w:r>
              </w:p>
            </w:tc>
          </w:sdtContent>
        </w:sdt>
        <w:tc>
          <w:tcPr>
            <w:tcW w:w="677" w:type="pct"/>
            <w:vMerge/>
            <w:tcBorders>
              <w:left w:val="single" w:sz="4" w:space="0" w:color="auto"/>
              <w:bottom w:val="single" w:sz="4" w:space="0" w:color="auto"/>
              <w:right w:val="single" w:sz="4" w:space="0" w:color="auto"/>
            </w:tcBorders>
          </w:tcPr>
          <w:p w:rsidR="000C5659" w:rsidRDefault="000C5659">
            <w:pPr>
              <w:jc w:val="center"/>
              <w:rPr>
                <w:color w:val="000000" w:themeColor="text1"/>
              </w:rPr>
            </w:pPr>
          </w:p>
        </w:tc>
      </w:tr>
      <w:tr w:rsidR="000C5659" w:rsidTr="00597E75">
        <w:trPr>
          <w:cantSplit/>
          <w:trHeight w:val="548"/>
        </w:trPr>
        <w:tc>
          <w:tcPr>
            <w:tcW w:w="375"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按单项计提坏账准备</w:t>
            </w:r>
          </w:p>
        </w:tc>
        <w:tc>
          <w:tcPr>
            <w:tcW w:w="558"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0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665"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29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5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77"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24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8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265"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677"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rsidTr="00597E75">
        <w:trPr>
          <w:cantSplit/>
          <w:trHeight w:val="339"/>
        </w:trPr>
        <w:sdt>
          <w:sdtPr>
            <w:rPr>
              <w:color w:val="000000" w:themeColor="text1"/>
            </w:rPr>
            <w:tag w:val="_PLD_a3793487a0154f9a85b0e94e01b6ddbe"/>
            <w:id w:val="-961040246"/>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其中：</w:t>
                </w:r>
              </w:p>
            </w:tc>
          </w:sdtContent>
        </w:sdt>
      </w:tr>
      <w:tr w:rsidR="000C5659" w:rsidTr="00597E75">
        <w:trPr>
          <w:cantSplit/>
          <w:trHeight w:val="548"/>
        </w:trPr>
        <w:sdt>
          <w:sdtPr>
            <w:rPr>
              <w:color w:val="000000" w:themeColor="text1"/>
            </w:rPr>
            <w:alias w:val="按单项计提坏账准备的应收账款明细-类别"/>
            <w:tag w:val="_GBC_3399611ce4724e1193aaefa4ea4bde46"/>
            <w:id w:val="-200094486"/>
          </w:sdtPr>
          <w:sdtEndPr>
            <w:rPr>
              <w:highlight w:val="yellow"/>
            </w:rPr>
          </w:sdtEndPr>
          <w:sdtContent>
            <w:tc>
              <w:tcPr>
                <w:tcW w:w="375"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预计无法收回的应收款</w:t>
                </w:r>
              </w:p>
            </w:tc>
          </w:sdtContent>
        </w:sdt>
        <w:tc>
          <w:tcPr>
            <w:tcW w:w="558"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jc w:val="right"/>
            </w:pPr>
            <w:r>
              <w:t xml:space="preserve"> 2,624,202.15 </w:t>
            </w:r>
          </w:p>
        </w:tc>
        <w:tc>
          <w:tcPr>
            <w:tcW w:w="309"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100.00</w:t>
            </w:r>
          </w:p>
        </w:tc>
        <w:tc>
          <w:tcPr>
            <w:tcW w:w="665"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 xml:space="preserve"> </w:t>
            </w:r>
            <w:r>
              <w:t xml:space="preserve">2,624,202.15 </w:t>
            </w:r>
          </w:p>
        </w:tc>
        <w:tc>
          <w:tcPr>
            <w:tcW w:w="291"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100.00</w:t>
            </w:r>
          </w:p>
        </w:tc>
        <w:tc>
          <w:tcPr>
            <w:tcW w:w="552"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0.00</w:t>
            </w:r>
          </w:p>
        </w:tc>
        <w:tc>
          <w:tcPr>
            <w:tcW w:w="577" w:type="pct"/>
            <w:tcBorders>
              <w:top w:val="single" w:sz="4" w:space="0" w:color="auto"/>
              <w:left w:val="single" w:sz="4" w:space="0" w:color="auto"/>
              <w:bottom w:val="single" w:sz="4" w:space="0" w:color="auto"/>
              <w:right w:val="single" w:sz="4" w:space="0" w:color="auto"/>
            </w:tcBorders>
          </w:tcPr>
          <w:p w:rsidR="000C5659" w:rsidRDefault="000C5659">
            <w:pPr>
              <w:jc w:val="right"/>
              <w:rPr>
                <w:highlight w:val="yellow"/>
              </w:rPr>
            </w:pPr>
          </w:p>
        </w:tc>
        <w:tc>
          <w:tcPr>
            <w:tcW w:w="242" w:type="pct"/>
            <w:tcBorders>
              <w:top w:val="single" w:sz="4" w:space="0" w:color="auto"/>
              <w:left w:val="single" w:sz="4" w:space="0" w:color="auto"/>
              <w:bottom w:val="single" w:sz="4" w:space="0" w:color="auto"/>
              <w:right w:val="single" w:sz="4" w:space="0" w:color="auto"/>
            </w:tcBorders>
          </w:tcPr>
          <w:p w:rsidR="000C5659" w:rsidRDefault="000C5659">
            <w:pPr>
              <w:jc w:val="right"/>
              <w:rPr>
                <w:highlight w:val="yellow"/>
              </w:rPr>
            </w:pPr>
          </w:p>
        </w:tc>
        <w:tc>
          <w:tcPr>
            <w:tcW w:w="489" w:type="pct"/>
            <w:tcBorders>
              <w:top w:val="single" w:sz="4" w:space="0" w:color="auto"/>
              <w:left w:val="single" w:sz="4" w:space="0" w:color="auto"/>
              <w:bottom w:val="single" w:sz="4" w:space="0" w:color="auto"/>
              <w:right w:val="single" w:sz="4" w:space="0" w:color="auto"/>
            </w:tcBorders>
          </w:tcPr>
          <w:p w:rsidR="000C5659" w:rsidRDefault="000C5659">
            <w:pPr>
              <w:jc w:val="right"/>
              <w:rPr>
                <w:highlight w:val="yellow"/>
              </w:rPr>
            </w:pPr>
          </w:p>
        </w:tc>
        <w:tc>
          <w:tcPr>
            <w:tcW w:w="265" w:type="pct"/>
            <w:tcBorders>
              <w:top w:val="single" w:sz="4" w:space="0" w:color="auto"/>
              <w:left w:val="single" w:sz="4" w:space="0" w:color="auto"/>
              <w:bottom w:val="single" w:sz="4" w:space="0" w:color="auto"/>
              <w:right w:val="single" w:sz="4" w:space="0" w:color="auto"/>
            </w:tcBorders>
          </w:tcPr>
          <w:p w:rsidR="000C5659" w:rsidRDefault="000C5659">
            <w:pPr>
              <w:jc w:val="right"/>
              <w:rPr>
                <w:highlight w:val="yellow"/>
              </w:rPr>
            </w:pPr>
          </w:p>
        </w:tc>
        <w:tc>
          <w:tcPr>
            <w:tcW w:w="677" w:type="pct"/>
            <w:tcBorders>
              <w:top w:val="single" w:sz="4" w:space="0" w:color="auto"/>
              <w:left w:val="single" w:sz="4" w:space="0" w:color="auto"/>
              <w:bottom w:val="single" w:sz="4" w:space="0" w:color="auto"/>
              <w:right w:val="single" w:sz="4" w:space="0" w:color="auto"/>
            </w:tcBorders>
          </w:tcPr>
          <w:p w:rsidR="000C5659" w:rsidRDefault="000C5659">
            <w:pPr>
              <w:jc w:val="right"/>
              <w:rPr>
                <w:highlight w:val="yellow"/>
              </w:rPr>
            </w:pPr>
          </w:p>
        </w:tc>
      </w:tr>
      <w:tr w:rsidR="000C5659" w:rsidTr="00597E75">
        <w:trPr>
          <w:cantSplit/>
          <w:trHeight w:val="581"/>
        </w:trPr>
        <w:tc>
          <w:tcPr>
            <w:tcW w:w="375"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按组合计提坏账准备</w:t>
            </w:r>
          </w:p>
        </w:tc>
        <w:tc>
          <w:tcPr>
            <w:tcW w:w="558"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242,534,619.78</w:t>
            </w:r>
          </w:p>
        </w:tc>
        <w:tc>
          <w:tcPr>
            <w:tcW w:w="309"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100.00</w:t>
            </w:r>
          </w:p>
        </w:tc>
        <w:tc>
          <w:tcPr>
            <w:tcW w:w="665"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12,416,844.17</w:t>
            </w:r>
          </w:p>
        </w:tc>
        <w:tc>
          <w:tcPr>
            <w:tcW w:w="291"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5.12</w:t>
            </w:r>
          </w:p>
        </w:tc>
        <w:tc>
          <w:tcPr>
            <w:tcW w:w="552"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230,117,775.61</w:t>
            </w:r>
          </w:p>
        </w:tc>
        <w:tc>
          <w:tcPr>
            <w:tcW w:w="577"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203,250,714.68</w:t>
            </w:r>
          </w:p>
        </w:tc>
        <w:tc>
          <w:tcPr>
            <w:tcW w:w="242"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100.00</w:t>
            </w:r>
          </w:p>
        </w:tc>
        <w:tc>
          <w:tcPr>
            <w:tcW w:w="489"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10,458,606.82</w:t>
            </w:r>
          </w:p>
        </w:tc>
        <w:tc>
          <w:tcPr>
            <w:tcW w:w="265"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5.15</w:t>
            </w:r>
          </w:p>
        </w:tc>
        <w:tc>
          <w:tcPr>
            <w:tcW w:w="677"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192,792,107.86</w:t>
            </w:r>
          </w:p>
        </w:tc>
      </w:tr>
      <w:tr w:rsidR="000C5659" w:rsidTr="00597E75">
        <w:trPr>
          <w:cantSplit/>
          <w:trHeight w:val="339"/>
        </w:trPr>
        <w:sdt>
          <w:sdtPr>
            <w:rPr>
              <w:color w:val="000000" w:themeColor="text1"/>
            </w:rPr>
            <w:tag w:val="_PLD_55a01fc28b044e40bd4e4399252665c0"/>
            <w:id w:val="1811898235"/>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其中：</w:t>
                </w:r>
              </w:p>
            </w:tc>
          </w:sdtContent>
        </w:sdt>
      </w:tr>
      <w:tr w:rsidR="000C5659" w:rsidTr="00597E75">
        <w:trPr>
          <w:cantSplit/>
          <w:trHeight w:val="339"/>
        </w:trPr>
        <w:sdt>
          <w:sdtPr>
            <w:rPr>
              <w:color w:val="000000" w:themeColor="text1"/>
            </w:rPr>
            <w:alias w:val="按组合计提坏账准备的应收账款明细-组合名称"/>
            <w:tag w:val="_GBC_c5f1817705f34c9782f585b3ed10e2db"/>
            <w:id w:val="1537238058"/>
          </w:sdtPr>
          <w:sdtEndPr/>
          <w:sdtContent>
            <w:tc>
              <w:tcPr>
                <w:tcW w:w="375"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账龄组合</w:t>
                </w:r>
              </w:p>
            </w:tc>
          </w:sdtContent>
        </w:sdt>
        <w:tc>
          <w:tcPr>
            <w:tcW w:w="558"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242,534,619.78</w:t>
            </w:r>
          </w:p>
        </w:tc>
        <w:tc>
          <w:tcPr>
            <w:tcW w:w="309"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100.00</w:t>
            </w:r>
          </w:p>
        </w:tc>
        <w:tc>
          <w:tcPr>
            <w:tcW w:w="665"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12,416,844.17</w:t>
            </w:r>
          </w:p>
        </w:tc>
        <w:tc>
          <w:tcPr>
            <w:tcW w:w="291"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5.12</w:t>
            </w:r>
          </w:p>
        </w:tc>
        <w:tc>
          <w:tcPr>
            <w:tcW w:w="552"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230,117,775.61</w:t>
            </w:r>
          </w:p>
        </w:tc>
        <w:tc>
          <w:tcPr>
            <w:tcW w:w="577"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203,250,714.68</w:t>
            </w:r>
          </w:p>
        </w:tc>
        <w:tc>
          <w:tcPr>
            <w:tcW w:w="242"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100.00</w:t>
            </w:r>
          </w:p>
        </w:tc>
        <w:tc>
          <w:tcPr>
            <w:tcW w:w="489"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10,458,606.82</w:t>
            </w:r>
          </w:p>
        </w:tc>
        <w:tc>
          <w:tcPr>
            <w:tcW w:w="265"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5.15</w:t>
            </w:r>
          </w:p>
        </w:tc>
        <w:tc>
          <w:tcPr>
            <w:tcW w:w="677"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192,792,107.86</w:t>
            </w:r>
          </w:p>
        </w:tc>
      </w:tr>
      <w:tr w:rsidR="000C5659" w:rsidTr="00597E75">
        <w:trPr>
          <w:cantSplit/>
          <w:trHeight w:val="339"/>
        </w:trPr>
        <w:sdt>
          <w:sdtPr>
            <w:rPr>
              <w:color w:val="000000" w:themeColor="text1"/>
            </w:rPr>
            <w:alias w:val="按组合计提坏账准备的应收账款明细-组合名称"/>
            <w:tag w:val="_GBC_c5f1817705f34c9782f585b3ed10e2db"/>
            <w:id w:val="172698545"/>
            <w:showingPlcHdr/>
          </w:sdtPr>
          <w:sdtEndPr/>
          <w:sdtContent>
            <w:tc>
              <w:tcPr>
                <w:tcW w:w="375"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 xml:space="preserve">　</w:t>
                </w:r>
              </w:p>
            </w:tc>
          </w:sdtContent>
        </w:sdt>
        <w:tc>
          <w:tcPr>
            <w:tcW w:w="558"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309"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665"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291"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552"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577"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242"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489"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265"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c>
          <w:tcPr>
            <w:tcW w:w="677" w:type="pct"/>
            <w:tcBorders>
              <w:top w:val="single" w:sz="4" w:space="0" w:color="auto"/>
              <w:left w:val="single" w:sz="4" w:space="0" w:color="auto"/>
              <w:bottom w:val="single" w:sz="4" w:space="0" w:color="auto"/>
              <w:right w:val="single" w:sz="4" w:space="0" w:color="auto"/>
            </w:tcBorders>
          </w:tcPr>
          <w:p w:rsidR="000C5659" w:rsidRDefault="000C5659">
            <w:pPr>
              <w:pStyle w:val="Style325"/>
              <w:jc w:val="right"/>
            </w:pPr>
          </w:p>
        </w:tc>
      </w:tr>
      <w:tr w:rsidR="000C5659" w:rsidTr="00597E75">
        <w:trPr>
          <w:cantSplit/>
          <w:trHeight w:val="361"/>
        </w:trPr>
        <w:tc>
          <w:tcPr>
            <w:tcW w:w="375"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rPr>
                <w:rFonts w:hint="eastAsia"/>
              </w:rPr>
              <w:t>合计</w:t>
            </w:r>
          </w:p>
        </w:tc>
        <w:tc>
          <w:tcPr>
            <w:tcW w:w="558" w:type="pct"/>
            <w:tcBorders>
              <w:top w:val="single" w:sz="4" w:space="0" w:color="auto"/>
              <w:left w:val="single" w:sz="4" w:space="0" w:color="auto"/>
              <w:bottom w:val="single" w:sz="4" w:space="0" w:color="auto"/>
              <w:right w:val="single" w:sz="4" w:space="0" w:color="auto"/>
            </w:tcBorders>
            <w:vAlign w:val="bottom"/>
          </w:tcPr>
          <w:p w:rsidR="000C5659" w:rsidRDefault="000E33C4">
            <w:pPr>
              <w:pStyle w:val="Style325"/>
              <w:jc w:val="right"/>
            </w:pPr>
            <w:r>
              <w:rPr>
                <w:rFonts w:hint="eastAsia"/>
              </w:rPr>
              <w:t>245,158,821.93</w:t>
            </w:r>
          </w:p>
        </w:tc>
        <w:tc>
          <w:tcPr>
            <w:tcW w:w="309"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w:t>
            </w:r>
          </w:p>
        </w:tc>
        <w:tc>
          <w:tcPr>
            <w:tcW w:w="665"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15,041,046.32</w:t>
            </w:r>
          </w:p>
        </w:tc>
        <w:tc>
          <w:tcPr>
            <w:tcW w:w="291"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w:t>
            </w:r>
          </w:p>
        </w:tc>
        <w:tc>
          <w:tcPr>
            <w:tcW w:w="552"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rPr>
                <w:rFonts w:hint="eastAsia"/>
              </w:rPr>
              <w:t>230,117,775.61</w:t>
            </w:r>
          </w:p>
        </w:tc>
        <w:tc>
          <w:tcPr>
            <w:tcW w:w="577"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203,250,714.68</w:t>
            </w:r>
          </w:p>
        </w:tc>
        <w:tc>
          <w:tcPr>
            <w:tcW w:w="24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100.00</w:t>
            </w:r>
          </w:p>
        </w:tc>
        <w:tc>
          <w:tcPr>
            <w:tcW w:w="489"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10,458,606.82</w:t>
            </w:r>
          </w:p>
        </w:tc>
        <w:tc>
          <w:tcPr>
            <w:tcW w:w="265"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w:t>
            </w:r>
          </w:p>
        </w:tc>
        <w:tc>
          <w:tcPr>
            <w:tcW w:w="677" w:type="pct"/>
            <w:tcBorders>
              <w:top w:val="single" w:sz="4" w:space="0" w:color="auto"/>
              <w:left w:val="single" w:sz="4" w:space="0" w:color="auto"/>
              <w:bottom w:val="single" w:sz="4" w:space="0" w:color="auto"/>
              <w:right w:val="single" w:sz="4" w:space="0" w:color="auto"/>
            </w:tcBorders>
          </w:tcPr>
          <w:p w:rsidR="000C5659" w:rsidRDefault="000E33C4">
            <w:pPr>
              <w:pStyle w:val="Style325"/>
              <w:jc w:val="right"/>
            </w:pPr>
            <w:r>
              <w:t>192,792,107.86</w:t>
            </w:r>
          </w:p>
        </w:tc>
      </w:tr>
    </w:tbl>
    <w:p w:rsidR="000C5659" w:rsidRDefault="000C5659">
      <w:pPr>
        <w:pStyle w:val="Style325"/>
      </w:pPr>
    </w:p>
    <w:p w:rsidR="000C5659" w:rsidRDefault="000C5659">
      <w:pPr>
        <w:pStyle w:val="Style325"/>
      </w:pPr>
    </w:p>
    <w:p w:rsidR="000C5659" w:rsidRDefault="000C5659">
      <w:pPr>
        <w:pStyle w:val="Style325"/>
      </w:pPr>
    </w:p>
    <w:p w:rsidR="000C5659" w:rsidRDefault="000C5659">
      <w:pPr>
        <w:pStyle w:val="Style325"/>
      </w:pPr>
    </w:p>
    <w:p w:rsidR="000C5659" w:rsidRDefault="000C5659">
      <w:pPr>
        <w:pStyle w:val="Style325"/>
      </w:pPr>
    </w:p>
    <w:p w:rsidR="000C5659" w:rsidRDefault="000C5659">
      <w:pPr>
        <w:pStyle w:val="Style325"/>
      </w:pPr>
    </w:p>
    <w:p w:rsidR="000C5659" w:rsidRDefault="000C5659">
      <w:pPr>
        <w:rPr>
          <w:color w:val="000000" w:themeColor="text1"/>
        </w:rPr>
        <w:sectPr w:rsidR="000C5659">
          <w:pgSz w:w="16838" w:h="11906" w:orient="landscape"/>
          <w:pgMar w:top="1797" w:right="1525" w:bottom="1276" w:left="1440" w:header="856" w:footer="992" w:gutter="0"/>
          <w:cols w:space="425"/>
          <w:docGrid w:linePitch="312"/>
        </w:sectPr>
      </w:pPr>
    </w:p>
    <w:p w:rsidR="000C5659" w:rsidRDefault="000C5659">
      <w:pPr>
        <w:rPr>
          <w:color w:val="000000" w:themeColor="text1"/>
        </w:rPr>
      </w:pPr>
    </w:p>
    <w:p w:rsidR="000C5659" w:rsidRDefault="000E33C4">
      <w:pPr>
        <w:rPr>
          <w:color w:val="000000" w:themeColor="text1"/>
        </w:rPr>
      </w:pPr>
      <w:bookmarkStart w:id="162" w:name="_Hlk10467187"/>
      <w:bookmarkStart w:id="163" w:name="_Hlk10467200"/>
      <w:bookmarkEnd w:id="161"/>
      <w:r>
        <w:rPr>
          <w:rFonts w:hint="eastAsia"/>
          <w:color w:val="000000" w:themeColor="text1"/>
        </w:rPr>
        <w:t>按单项计提坏账准备：</w:t>
      </w:r>
      <w:bookmarkEnd w:id="162"/>
    </w:p>
    <w:sdt>
      <w:sdtPr>
        <w:rPr>
          <w:rFonts w:hint="eastAsia"/>
          <w:color w:val="000000" w:themeColor="text1"/>
        </w:rPr>
        <w:alias w:val="是否适用：按单项计提坏账准备的应收账款详细情况[双击切换]"/>
        <w:tag w:val="_GBC_e07c01cfb2fe4b05a2bb603b7f914946"/>
        <w:id w:val="169943645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单项计提坏账准备的应收账款详细情况"/>
          <w:tag w:val="_GBC_5737c621553040588c35a299b21bda52"/>
          <w:id w:val="-547990903"/>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按单项计提坏账准备的应收账款详细情况"/>
          <w:tag w:val="_GBC_b6cb9fb35a4a4033912355f7cb997afb"/>
          <w:id w:val="-167132906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7"/>
        <w:gridCol w:w="1659"/>
        <w:gridCol w:w="1657"/>
        <w:gridCol w:w="1803"/>
      </w:tblGrid>
      <w:tr w:rsidR="000C5659">
        <w:sdt>
          <w:sdtPr>
            <w:rPr>
              <w:color w:val="000000" w:themeColor="text1"/>
            </w:rPr>
            <w:tag w:val="_PLD_886503527dee421ca2c31b493a41ab31"/>
            <w:id w:val="-1661224998"/>
          </w:sdtPr>
          <w:sdtEndPr/>
          <w:sdtContent>
            <w:tc>
              <w:tcPr>
                <w:tcW w:w="1160" w:type="pct"/>
                <w:vMerge w:val="restart"/>
                <w:vAlign w:val="center"/>
              </w:tcPr>
              <w:p w:rsidR="000C5659" w:rsidRDefault="000E33C4">
                <w:pPr>
                  <w:jc w:val="center"/>
                  <w:rPr>
                    <w:color w:val="000000" w:themeColor="text1"/>
                  </w:rPr>
                </w:pPr>
                <w:r>
                  <w:rPr>
                    <w:rFonts w:hint="eastAsia"/>
                    <w:color w:val="000000" w:themeColor="text1"/>
                  </w:rPr>
                  <w:t>名称</w:t>
                </w:r>
              </w:p>
            </w:tc>
          </w:sdtContent>
        </w:sdt>
        <w:sdt>
          <w:sdtPr>
            <w:rPr>
              <w:color w:val="000000" w:themeColor="text1"/>
            </w:rPr>
            <w:tag w:val="_PLD_e08f6e696f224538a07af6226cb97b93"/>
            <w:id w:val="-1989627936"/>
          </w:sdtPr>
          <w:sdtEndPr/>
          <w:sdtContent>
            <w:tc>
              <w:tcPr>
                <w:tcW w:w="3840" w:type="pct"/>
                <w:gridSpan w:val="4"/>
                <w:vAlign w:val="center"/>
              </w:tcPr>
              <w:p w:rsidR="000C5659" w:rsidRDefault="000E33C4">
                <w:pPr>
                  <w:jc w:val="center"/>
                  <w:rPr>
                    <w:color w:val="000000" w:themeColor="text1"/>
                  </w:rPr>
                </w:pPr>
                <w:r>
                  <w:rPr>
                    <w:rFonts w:hint="eastAsia"/>
                    <w:color w:val="000000" w:themeColor="text1"/>
                  </w:rPr>
                  <w:t>期末余额</w:t>
                </w:r>
              </w:p>
            </w:tc>
          </w:sdtContent>
        </w:sdt>
      </w:tr>
      <w:tr w:rsidR="000C5659">
        <w:tc>
          <w:tcPr>
            <w:tcW w:w="1160" w:type="pct"/>
            <w:vMerge/>
          </w:tcPr>
          <w:p w:rsidR="000C5659" w:rsidRDefault="000C5659">
            <w:pPr>
              <w:jc w:val="center"/>
              <w:rPr>
                <w:color w:val="000000" w:themeColor="text1"/>
              </w:rPr>
            </w:pPr>
          </w:p>
        </w:tc>
        <w:sdt>
          <w:sdtPr>
            <w:rPr>
              <w:color w:val="000000" w:themeColor="text1"/>
            </w:rPr>
            <w:tag w:val="_PLD_464a1be46d05424da4883a8442e8eecd"/>
            <w:id w:val="-2109349975"/>
          </w:sdtPr>
          <w:sdtEndPr/>
          <w:sdtContent>
            <w:tc>
              <w:tcPr>
                <w:tcW w:w="939" w:type="pct"/>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3d0d70541d9a48beb1c29f819592f107"/>
            <w:id w:val="-1352562524"/>
          </w:sdtPr>
          <w:sdtEndPr/>
          <w:sdtContent>
            <w:tc>
              <w:tcPr>
                <w:tcW w:w="940" w:type="pct"/>
                <w:vAlign w:val="center"/>
              </w:tcPr>
              <w:p w:rsidR="000C5659" w:rsidRDefault="000E33C4">
                <w:pPr>
                  <w:jc w:val="center"/>
                  <w:rPr>
                    <w:color w:val="000000" w:themeColor="text1"/>
                  </w:rPr>
                </w:pPr>
                <w:r>
                  <w:rPr>
                    <w:rFonts w:hint="eastAsia"/>
                    <w:color w:val="000000" w:themeColor="text1"/>
                  </w:rPr>
                  <w:t>坏账准备</w:t>
                </w:r>
              </w:p>
            </w:tc>
          </w:sdtContent>
        </w:sdt>
        <w:sdt>
          <w:sdtPr>
            <w:rPr>
              <w:color w:val="000000" w:themeColor="text1"/>
            </w:rPr>
            <w:tag w:val="_PLD_76393245336e41aa891aec8c50271105"/>
            <w:id w:val="1248620460"/>
          </w:sdtPr>
          <w:sdtEndPr/>
          <w:sdtContent>
            <w:tc>
              <w:tcPr>
                <w:tcW w:w="939" w:type="pct"/>
                <w:vAlign w:val="center"/>
              </w:tcPr>
              <w:p w:rsidR="000C5659" w:rsidRDefault="000E33C4">
                <w:pPr>
                  <w:jc w:val="center"/>
                  <w:rPr>
                    <w:color w:val="000000" w:themeColor="text1"/>
                  </w:rPr>
                </w:pPr>
                <w:r>
                  <w:rPr>
                    <w:color w:val="000000" w:themeColor="text1"/>
                  </w:rPr>
                  <w:t>计提比例</w:t>
                </w:r>
                <w:r>
                  <w:rPr>
                    <w:rFonts w:hint="eastAsia"/>
                    <w:color w:val="000000" w:themeColor="text1"/>
                  </w:rPr>
                  <w:t>（%）</w:t>
                </w:r>
              </w:p>
            </w:tc>
          </w:sdtContent>
        </w:sdt>
        <w:sdt>
          <w:sdtPr>
            <w:rPr>
              <w:color w:val="000000" w:themeColor="text1"/>
            </w:rPr>
            <w:tag w:val="_PLD_950e8014be3245d1a45783884c32208d"/>
            <w:id w:val="2111703735"/>
          </w:sdtPr>
          <w:sdtEndPr/>
          <w:sdtContent>
            <w:tc>
              <w:tcPr>
                <w:tcW w:w="1023" w:type="pct"/>
                <w:vAlign w:val="center"/>
              </w:tcPr>
              <w:p w:rsidR="000C5659" w:rsidRDefault="000E33C4">
                <w:pPr>
                  <w:jc w:val="center"/>
                  <w:rPr>
                    <w:color w:val="000000" w:themeColor="text1"/>
                  </w:rPr>
                </w:pPr>
                <w:r>
                  <w:rPr>
                    <w:rFonts w:hint="eastAsia"/>
                    <w:color w:val="000000" w:themeColor="text1"/>
                  </w:rPr>
                  <w:t>计提理由</w:t>
                </w:r>
              </w:p>
            </w:tc>
          </w:sdtContent>
        </w:sdt>
      </w:tr>
      <w:tr w:rsidR="000C5659">
        <w:tc>
          <w:tcPr>
            <w:tcW w:w="1160" w:type="pct"/>
          </w:tcPr>
          <w:p w:rsidR="000C5659" w:rsidRDefault="000E33C4">
            <w:pPr>
              <w:pStyle w:val="Style325"/>
            </w:pPr>
            <w:r>
              <w:t>精致能量（无锡）科技有限公司</w:t>
            </w:r>
          </w:p>
        </w:tc>
        <w:tc>
          <w:tcPr>
            <w:tcW w:w="939" w:type="pct"/>
          </w:tcPr>
          <w:p w:rsidR="000C5659" w:rsidRDefault="000E33C4">
            <w:pPr>
              <w:jc w:val="right"/>
            </w:pPr>
            <w:r>
              <w:t>2,624,202.15</w:t>
            </w:r>
          </w:p>
        </w:tc>
        <w:tc>
          <w:tcPr>
            <w:tcW w:w="940" w:type="pct"/>
          </w:tcPr>
          <w:p w:rsidR="000C5659" w:rsidRDefault="000E33C4">
            <w:pPr>
              <w:jc w:val="right"/>
            </w:pPr>
            <w:r>
              <w:t>2,624,202.15</w:t>
            </w:r>
          </w:p>
        </w:tc>
        <w:tc>
          <w:tcPr>
            <w:tcW w:w="939" w:type="pct"/>
          </w:tcPr>
          <w:p w:rsidR="000C5659" w:rsidRDefault="000E33C4">
            <w:pPr>
              <w:jc w:val="right"/>
            </w:pPr>
            <w:r>
              <w:rPr>
                <w:rFonts w:hint="eastAsia"/>
              </w:rPr>
              <w:t>100</w:t>
            </w:r>
          </w:p>
        </w:tc>
        <w:tc>
          <w:tcPr>
            <w:tcW w:w="1023" w:type="pct"/>
          </w:tcPr>
          <w:p w:rsidR="000C5659" w:rsidRDefault="000E33C4">
            <w:pPr>
              <w:pStyle w:val="Style325"/>
            </w:pPr>
            <w:r>
              <w:rPr>
                <w:rFonts w:hint="eastAsia"/>
              </w:rPr>
              <w:t>预计无法收回</w:t>
            </w:r>
          </w:p>
        </w:tc>
      </w:tr>
      <w:tr w:rsidR="000C5659">
        <w:tc>
          <w:tcPr>
            <w:tcW w:w="1160" w:type="pct"/>
          </w:tcPr>
          <w:p w:rsidR="000C5659" w:rsidRDefault="000C5659">
            <w:pPr>
              <w:pStyle w:val="Style325"/>
            </w:pPr>
          </w:p>
        </w:tc>
        <w:tc>
          <w:tcPr>
            <w:tcW w:w="939" w:type="pct"/>
          </w:tcPr>
          <w:p w:rsidR="000C5659" w:rsidRDefault="000C5659">
            <w:pPr>
              <w:jc w:val="right"/>
            </w:pPr>
          </w:p>
        </w:tc>
        <w:tc>
          <w:tcPr>
            <w:tcW w:w="940" w:type="pct"/>
          </w:tcPr>
          <w:p w:rsidR="000C5659" w:rsidRDefault="000C5659">
            <w:pPr>
              <w:jc w:val="right"/>
            </w:pPr>
          </w:p>
        </w:tc>
        <w:tc>
          <w:tcPr>
            <w:tcW w:w="939" w:type="pct"/>
          </w:tcPr>
          <w:p w:rsidR="000C5659" w:rsidRDefault="000C5659">
            <w:pPr>
              <w:jc w:val="right"/>
            </w:pPr>
          </w:p>
        </w:tc>
        <w:tc>
          <w:tcPr>
            <w:tcW w:w="1023" w:type="pct"/>
          </w:tcPr>
          <w:p w:rsidR="000C5659" w:rsidRDefault="000C5659">
            <w:pPr>
              <w:pStyle w:val="Style325"/>
            </w:pPr>
          </w:p>
        </w:tc>
      </w:tr>
      <w:tr w:rsidR="000C5659">
        <w:tc>
          <w:tcPr>
            <w:tcW w:w="1160" w:type="pct"/>
            <w:vAlign w:val="center"/>
          </w:tcPr>
          <w:p w:rsidR="000C5659" w:rsidRDefault="000E33C4">
            <w:pPr>
              <w:jc w:val="center"/>
              <w:rPr>
                <w:color w:val="000000" w:themeColor="text1"/>
              </w:rPr>
            </w:pPr>
            <w:r>
              <w:rPr>
                <w:rFonts w:hint="eastAsia"/>
                <w:color w:val="000000" w:themeColor="text1"/>
              </w:rPr>
              <w:t>合计</w:t>
            </w:r>
          </w:p>
        </w:tc>
        <w:tc>
          <w:tcPr>
            <w:tcW w:w="939" w:type="pct"/>
          </w:tcPr>
          <w:p w:rsidR="000C5659" w:rsidRDefault="000E33C4">
            <w:pPr>
              <w:jc w:val="right"/>
            </w:pPr>
            <w:r>
              <w:t>2,624,202.15</w:t>
            </w:r>
          </w:p>
        </w:tc>
        <w:tc>
          <w:tcPr>
            <w:tcW w:w="940" w:type="pct"/>
          </w:tcPr>
          <w:p w:rsidR="000C5659" w:rsidRDefault="000E33C4">
            <w:pPr>
              <w:jc w:val="right"/>
            </w:pPr>
            <w:r>
              <w:t>2,624,202.15</w:t>
            </w:r>
          </w:p>
        </w:tc>
        <w:tc>
          <w:tcPr>
            <w:tcW w:w="939" w:type="pct"/>
          </w:tcPr>
          <w:p w:rsidR="000C5659" w:rsidRDefault="000E33C4">
            <w:pPr>
              <w:jc w:val="right"/>
            </w:pPr>
            <w:r>
              <w:rPr>
                <w:rFonts w:hint="eastAsia"/>
              </w:rPr>
              <w:t>100</w:t>
            </w:r>
          </w:p>
        </w:tc>
        <w:tc>
          <w:tcPr>
            <w:tcW w:w="1023" w:type="pct"/>
            <w:vAlign w:val="center"/>
          </w:tcPr>
          <w:p w:rsidR="000C5659" w:rsidRDefault="000E33C4">
            <w:pPr>
              <w:jc w:val="center"/>
              <w:rPr>
                <w:color w:val="000000" w:themeColor="text1"/>
              </w:rPr>
            </w:pPr>
            <w:r>
              <w:rPr>
                <w:rFonts w:hint="eastAsia"/>
                <w:color w:val="000000" w:themeColor="text1"/>
              </w:rPr>
              <w:t>/</w:t>
            </w:r>
          </w:p>
        </w:tc>
      </w:tr>
    </w:tbl>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应收账款说明[双击切换]"/>
        <w:tag w:val="_GBC_5058bdcf98524a1ba98e4618d094237d"/>
        <w:id w:val="1556126479"/>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164" w:name="_Hlk10467225"/>
      <w:bookmarkEnd w:id="163"/>
      <w:r>
        <w:rPr>
          <w:rFonts w:hint="eastAsia"/>
          <w:color w:val="000000" w:themeColor="text1"/>
        </w:rPr>
        <w:t>按组合计提坏账准备：</w:t>
      </w:r>
    </w:p>
    <w:sdt>
      <w:sdtPr>
        <w:rPr>
          <w:rFonts w:hint="eastAsia"/>
          <w:color w:val="000000" w:themeColor="text1"/>
        </w:rPr>
        <w:alias w:val="是否适用：按组合计提坏账准备的应收账款详细情况[双击切换]"/>
        <w:tag w:val="_GBC_47a07baa9a4f4c5ea6de193ae7b87e74"/>
        <w:id w:val="-71441243"/>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rPr>
          <w:color w:val="000000" w:themeColor="text1"/>
        </w:rPr>
      </w:pPr>
      <w:bookmarkStart w:id="165" w:name="_Hlk533607573"/>
      <w:r>
        <w:rPr>
          <w:rFonts w:hint="eastAsia"/>
          <w:color w:val="000000" w:themeColor="text1"/>
        </w:rPr>
        <w:t>组合计提项目：</w:t>
      </w:r>
      <w:sdt>
        <w:sdtPr>
          <w:rPr>
            <w:rFonts w:hint="eastAsia"/>
            <w:color w:val="000000" w:themeColor="text1"/>
          </w:rPr>
          <w:alias w:val="按组合计提坏账准备的应收账款明细-组合名称"/>
          <w:tag w:val="_GBC_fec033684b6e412cabcd0e0ea1c6cb96"/>
          <w:id w:val="-301543009"/>
          <w:placeholder>
            <w:docPart w:val="GBC22222222222222222222222222222"/>
          </w:placeholder>
          <w:comboBox>
            <w:listItem w:displayText="账龄组合" w:value="账龄组合"/>
          </w:comboBox>
        </w:sdtPr>
        <w:sdtEndPr/>
        <w:sdtContent>
          <w:r w:rsidR="00B708C8">
            <w:rPr>
              <w:rFonts w:hint="eastAsia"/>
              <w:color w:val="000000" w:themeColor="text1"/>
            </w:rPr>
            <w:t>账龄组合</w:t>
          </w:r>
        </w:sdtContent>
      </w:sdt>
    </w:p>
    <w:p w:rsidR="000C5659" w:rsidRDefault="000E33C4">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组合计提坏账准备的应收账款详细情况"/>
          <w:tag w:val="_GBC_ccac8c131a6748e699800a5f25e5efcf"/>
          <w:id w:val="5578218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按组合计提坏账准备的应收账款详细情况"/>
          <w:tag w:val="_GBC_f0296899749441bf8c33f5882df60a71"/>
          <w:id w:val="-6139825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0C5659">
        <w:sdt>
          <w:sdtPr>
            <w:rPr>
              <w:color w:val="000000" w:themeColor="text1"/>
            </w:rPr>
            <w:tag w:val="_PLD_331ca2a43a5247699c45fd6309aee7fd"/>
            <w:id w:val="1997602759"/>
          </w:sdtPr>
          <w:sdtEndPr/>
          <w:sdtContent>
            <w:tc>
              <w:tcPr>
                <w:tcW w:w="1158" w:type="pct"/>
                <w:vMerge w:val="restart"/>
                <w:vAlign w:val="center"/>
              </w:tcPr>
              <w:p w:rsidR="000C5659" w:rsidRDefault="000E33C4">
                <w:pPr>
                  <w:jc w:val="center"/>
                  <w:rPr>
                    <w:color w:val="000000" w:themeColor="text1"/>
                  </w:rPr>
                </w:pPr>
                <w:r>
                  <w:rPr>
                    <w:rFonts w:hint="eastAsia"/>
                    <w:color w:val="000000" w:themeColor="text1"/>
                  </w:rPr>
                  <w:t>名称</w:t>
                </w:r>
              </w:p>
            </w:tc>
          </w:sdtContent>
        </w:sdt>
        <w:sdt>
          <w:sdtPr>
            <w:rPr>
              <w:color w:val="000000" w:themeColor="text1"/>
            </w:rPr>
            <w:tag w:val="_PLD_271f4f470bff48e385b1a5d9080fde35"/>
            <w:id w:val="-140962617"/>
          </w:sdtPr>
          <w:sdtEndPr/>
          <w:sdtContent>
            <w:tc>
              <w:tcPr>
                <w:tcW w:w="3842" w:type="pct"/>
                <w:gridSpan w:val="3"/>
                <w:vAlign w:val="center"/>
              </w:tcPr>
              <w:p w:rsidR="000C5659" w:rsidRDefault="000E33C4">
                <w:pPr>
                  <w:jc w:val="center"/>
                  <w:rPr>
                    <w:color w:val="000000" w:themeColor="text1"/>
                  </w:rPr>
                </w:pPr>
                <w:r>
                  <w:rPr>
                    <w:rFonts w:hint="eastAsia"/>
                    <w:color w:val="000000" w:themeColor="text1"/>
                  </w:rPr>
                  <w:t>期末余额</w:t>
                </w:r>
              </w:p>
            </w:tc>
          </w:sdtContent>
        </w:sdt>
      </w:tr>
      <w:tr w:rsidR="000C5659">
        <w:tc>
          <w:tcPr>
            <w:tcW w:w="1158" w:type="pct"/>
            <w:vMerge/>
          </w:tcPr>
          <w:p w:rsidR="000C5659" w:rsidRDefault="000C5659">
            <w:pPr>
              <w:jc w:val="center"/>
              <w:rPr>
                <w:color w:val="000000" w:themeColor="text1"/>
              </w:rPr>
            </w:pPr>
          </w:p>
        </w:tc>
        <w:sdt>
          <w:sdtPr>
            <w:rPr>
              <w:color w:val="000000" w:themeColor="text1"/>
            </w:rPr>
            <w:tag w:val="_PLD_e1c956de9b3b4544a5d0584eaaf6aea2"/>
            <w:id w:val="1652330811"/>
          </w:sdtPr>
          <w:sdtEndPr/>
          <w:sdtContent>
            <w:tc>
              <w:tcPr>
                <w:tcW w:w="1276" w:type="pct"/>
                <w:vAlign w:val="center"/>
              </w:tcPr>
              <w:p w:rsidR="000C5659" w:rsidRDefault="000E33C4">
                <w:pPr>
                  <w:jc w:val="center"/>
                  <w:rPr>
                    <w:color w:val="000000" w:themeColor="text1"/>
                  </w:rPr>
                </w:pPr>
                <w:r>
                  <w:rPr>
                    <w:rFonts w:hint="eastAsia"/>
                    <w:color w:val="000000" w:themeColor="text1"/>
                  </w:rPr>
                  <w:t>应收账款</w:t>
                </w:r>
              </w:p>
            </w:tc>
          </w:sdtContent>
        </w:sdt>
        <w:sdt>
          <w:sdtPr>
            <w:rPr>
              <w:color w:val="000000" w:themeColor="text1"/>
            </w:rPr>
            <w:tag w:val="_PLD_0098acb8b7f640f29f65a14017e23f02"/>
            <w:id w:val="-368150835"/>
          </w:sdtPr>
          <w:sdtEndPr/>
          <w:sdtContent>
            <w:tc>
              <w:tcPr>
                <w:tcW w:w="1299" w:type="pct"/>
                <w:vAlign w:val="center"/>
              </w:tcPr>
              <w:p w:rsidR="000C5659" w:rsidRDefault="000E33C4">
                <w:pPr>
                  <w:jc w:val="center"/>
                  <w:rPr>
                    <w:color w:val="000000" w:themeColor="text1"/>
                  </w:rPr>
                </w:pPr>
                <w:r>
                  <w:rPr>
                    <w:rFonts w:hint="eastAsia"/>
                    <w:color w:val="000000" w:themeColor="text1"/>
                  </w:rPr>
                  <w:t>坏账准备</w:t>
                </w:r>
              </w:p>
            </w:tc>
          </w:sdtContent>
        </w:sdt>
        <w:sdt>
          <w:sdtPr>
            <w:rPr>
              <w:color w:val="000000" w:themeColor="text1"/>
            </w:rPr>
            <w:tag w:val="_PLD_290bbc3bde3c43c487996752ceb95160"/>
            <w:id w:val="-347714673"/>
          </w:sdtPr>
          <w:sdtEndPr/>
          <w:sdtContent>
            <w:tc>
              <w:tcPr>
                <w:tcW w:w="1267" w:type="pct"/>
                <w:vAlign w:val="center"/>
              </w:tcPr>
              <w:p w:rsidR="000C5659" w:rsidRDefault="000E33C4">
                <w:pPr>
                  <w:jc w:val="center"/>
                  <w:rPr>
                    <w:color w:val="000000" w:themeColor="text1"/>
                  </w:rPr>
                </w:pPr>
                <w:r>
                  <w:rPr>
                    <w:color w:val="000000" w:themeColor="text1"/>
                  </w:rPr>
                  <w:t>计提比例</w:t>
                </w:r>
                <w:r>
                  <w:rPr>
                    <w:rFonts w:hint="eastAsia"/>
                    <w:color w:val="000000" w:themeColor="text1"/>
                  </w:rPr>
                  <w:t>（%）</w:t>
                </w:r>
              </w:p>
            </w:tc>
          </w:sdtContent>
        </w:sdt>
      </w:tr>
      <w:tr w:rsidR="000C5659">
        <w:tc>
          <w:tcPr>
            <w:tcW w:w="1158" w:type="pct"/>
          </w:tcPr>
          <w:p w:rsidR="000C5659" w:rsidRDefault="000E33C4">
            <w:pPr>
              <w:pStyle w:val="Style325"/>
            </w:pPr>
            <w:r>
              <w:t>1年内应收账款</w:t>
            </w:r>
          </w:p>
        </w:tc>
        <w:tc>
          <w:tcPr>
            <w:tcW w:w="1276" w:type="pct"/>
          </w:tcPr>
          <w:p w:rsidR="000C5659" w:rsidRDefault="000E33C4">
            <w:pPr>
              <w:jc w:val="right"/>
            </w:pPr>
            <w:r>
              <w:rPr>
                <w:rFonts w:hint="eastAsia"/>
              </w:rPr>
              <w:t>241,728,819.42</w:t>
            </w:r>
          </w:p>
        </w:tc>
        <w:tc>
          <w:tcPr>
            <w:tcW w:w="1299" w:type="pct"/>
          </w:tcPr>
          <w:p w:rsidR="000C5659" w:rsidRDefault="000E33C4">
            <w:pPr>
              <w:jc w:val="right"/>
            </w:pPr>
            <w:r>
              <w:rPr>
                <w:rFonts w:hint="eastAsia"/>
              </w:rPr>
              <w:t>12,086,440.98</w:t>
            </w:r>
          </w:p>
        </w:tc>
        <w:tc>
          <w:tcPr>
            <w:tcW w:w="1267" w:type="pct"/>
          </w:tcPr>
          <w:p w:rsidR="000C5659" w:rsidRDefault="000E33C4">
            <w:pPr>
              <w:jc w:val="right"/>
            </w:pPr>
            <w:r>
              <w:t>5.00</w:t>
            </w:r>
          </w:p>
        </w:tc>
      </w:tr>
      <w:tr w:rsidR="000C5659">
        <w:tc>
          <w:tcPr>
            <w:tcW w:w="1158" w:type="pct"/>
          </w:tcPr>
          <w:p w:rsidR="000C5659" w:rsidRDefault="000E33C4">
            <w:pPr>
              <w:pStyle w:val="Style325"/>
            </w:pPr>
            <w:r>
              <w:t>1-2年应收账款</w:t>
            </w:r>
          </w:p>
        </w:tc>
        <w:tc>
          <w:tcPr>
            <w:tcW w:w="1276" w:type="pct"/>
          </w:tcPr>
          <w:p w:rsidR="000C5659" w:rsidRDefault="000E33C4">
            <w:pPr>
              <w:jc w:val="right"/>
            </w:pPr>
            <w:r>
              <w:rPr>
                <w:rFonts w:hint="eastAsia"/>
              </w:rPr>
              <w:t>792,226.34</w:t>
            </w:r>
          </w:p>
        </w:tc>
        <w:tc>
          <w:tcPr>
            <w:tcW w:w="1299" w:type="pct"/>
          </w:tcPr>
          <w:p w:rsidR="000C5659" w:rsidRDefault="000E33C4">
            <w:pPr>
              <w:jc w:val="right"/>
            </w:pPr>
            <w:r>
              <w:rPr>
                <w:rFonts w:hint="eastAsia"/>
              </w:rPr>
              <w:t>316,890.53</w:t>
            </w:r>
          </w:p>
        </w:tc>
        <w:tc>
          <w:tcPr>
            <w:tcW w:w="1267" w:type="pct"/>
          </w:tcPr>
          <w:p w:rsidR="000C5659" w:rsidRDefault="000E33C4">
            <w:pPr>
              <w:jc w:val="right"/>
            </w:pPr>
            <w:r>
              <w:t>40.00</w:t>
            </w:r>
          </w:p>
        </w:tc>
      </w:tr>
      <w:tr w:rsidR="000C5659">
        <w:tc>
          <w:tcPr>
            <w:tcW w:w="1158" w:type="pct"/>
            <w:vAlign w:val="center"/>
          </w:tcPr>
          <w:p w:rsidR="000C5659" w:rsidRDefault="000E33C4">
            <w:pPr>
              <w:jc w:val="both"/>
              <w:rPr>
                <w:color w:val="000000" w:themeColor="text1"/>
              </w:rPr>
            </w:pPr>
            <w:r>
              <w:t>2-3年应收账款</w:t>
            </w:r>
          </w:p>
        </w:tc>
        <w:tc>
          <w:tcPr>
            <w:tcW w:w="1276" w:type="pct"/>
          </w:tcPr>
          <w:p w:rsidR="000C5659" w:rsidRDefault="000E33C4">
            <w:pPr>
              <w:jc w:val="right"/>
            </w:pPr>
            <w:r>
              <w:rPr>
                <w:rFonts w:hint="eastAsia"/>
              </w:rPr>
              <w:t>204.54</w:t>
            </w:r>
          </w:p>
        </w:tc>
        <w:tc>
          <w:tcPr>
            <w:tcW w:w="1299" w:type="pct"/>
          </w:tcPr>
          <w:p w:rsidR="000C5659" w:rsidRDefault="000E33C4">
            <w:pPr>
              <w:jc w:val="right"/>
            </w:pPr>
            <w:r>
              <w:rPr>
                <w:rFonts w:hint="eastAsia"/>
              </w:rPr>
              <w:t>143.18</w:t>
            </w:r>
          </w:p>
        </w:tc>
        <w:tc>
          <w:tcPr>
            <w:tcW w:w="1267" w:type="pct"/>
          </w:tcPr>
          <w:p w:rsidR="000C5659" w:rsidRDefault="000E33C4">
            <w:pPr>
              <w:jc w:val="right"/>
            </w:pPr>
            <w:r>
              <w:t>70.00</w:t>
            </w:r>
          </w:p>
        </w:tc>
      </w:tr>
      <w:tr w:rsidR="000C5659">
        <w:tc>
          <w:tcPr>
            <w:tcW w:w="1158" w:type="pct"/>
            <w:vAlign w:val="center"/>
          </w:tcPr>
          <w:p w:rsidR="000C5659" w:rsidRDefault="000E33C4">
            <w:pPr>
              <w:jc w:val="both"/>
              <w:rPr>
                <w:color w:val="000000" w:themeColor="text1"/>
              </w:rPr>
            </w:pPr>
            <w:r>
              <w:t>3年以上应收账款</w:t>
            </w:r>
          </w:p>
        </w:tc>
        <w:tc>
          <w:tcPr>
            <w:tcW w:w="1276" w:type="pct"/>
          </w:tcPr>
          <w:p w:rsidR="000C5659" w:rsidRDefault="000E33C4">
            <w:pPr>
              <w:jc w:val="right"/>
            </w:pPr>
            <w:r>
              <w:rPr>
                <w:rFonts w:hint="eastAsia"/>
              </w:rPr>
              <w:t>13,369.48</w:t>
            </w:r>
          </w:p>
        </w:tc>
        <w:tc>
          <w:tcPr>
            <w:tcW w:w="1299" w:type="pct"/>
          </w:tcPr>
          <w:p w:rsidR="000C5659" w:rsidRDefault="000E33C4">
            <w:pPr>
              <w:jc w:val="right"/>
            </w:pPr>
            <w:r>
              <w:rPr>
                <w:rFonts w:hint="eastAsia"/>
              </w:rPr>
              <w:t>13,369.48</w:t>
            </w:r>
          </w:p>
        </w:tc>
        <w:tc>
          <w:tcPr>
            <w:tcW w:w="1267" w:type="pct"/>
          </w:tcPr>
          <w:p w:rsidR="000C5659" w:rsidRDefault="000E33C4">
            <w:pPr>
              <w:jc w:val="right"/>
            </w:pPr>
            <w:r>
              <w:t>100.00</w:t>
            </w:r>
          </w:p>
        </w:tc>
      </w:tr>
      <w:tr w:rsidR="000C5659">
        <w:tc>
          <w:tcPr>
            <w:tcW w:w="1158" w:type="pct"/>
            <w:vAlign w:val="center"/>
          </w:tcPr>
          <w:p w:rsidR="000C5659" w:rsidRDefault="000E33C4">
            <w:pPr>
              <w:jc w:val="center"/>
              <w:rPr>
                <w:color w:val="000000" w:themeColor="text1"/>
              </w:rPr>
            </w:pPr>
            <w:r>
              <w:rPr>
                <w:rFonts w:hint="eastAsia"/>
                <w:color w:val="000000" w:themeColor="text1"/>
              </w:rPr>
              <w:t>合计</w:t>
            </w:r>
          </w:p>
        </w:tc>
        <w:tc>
          <w:tcPr>
            <w:tcW w:w="1276" w:type="pct"/>
          </w:tcPr>
          <w:p w:rsidR="000C5659" w:rsidRDefault="000E33C4">
            <w:pPr>
              <w:jc w:val="right"/>
            </w:pPr>
            <w:r>
              <w:rPr>
                <w:rFonts w:hint="eastAsia"/>
              </w:rPr>
              <w:t>242,534,619.78</w:t>
            </w:r>
          </w:p>
        </w:tc>
        <w:tc>
          <w:tcPr>
            <w:tcW w:w="1299" w:type="pct"/>
          </w:tcPr>
          <w:p w:rsidR="000C5659" w:rsidRDefault="000E33C4">
            <w:pPr>
              <w:jc w:val="right"/>
            </w:pPr>
            <w:r>
              <w:rPr>
                <w:rFonts w:hint="eastAsia"/>
              </w:rPr>
              <w:t>12,416,844.17</w:t>
            </w:r>
          </w:p>
        </w:tc>
        <w:tc>
          <w:tcPr>
            <w:tcW w:w="1267" w:type="pct"/>
          </w:tcPr>
          <w:p w:rsidR="000C5659" w:rsidRDefault="000C5659">
            <w:pPr>
              <w:jc w:val="right"/>
            </w:pPr>
          </w:p>
        </w:tc>
      </w:tr>
    </w:tbl>
    <w:p w:rsidR="000C5659" w:rsidRDefault="000C5659">
      <w:pPr>
        <w:pStyle w:val="Style325"/>
      </w:pPr>
    </w:p>
    <w:p w:rsidR="000C5659" w:rsidRDefault="000C5659">
      <w:pPr>
        <w:pStyle w:val="Style325"/>
      </w:pPr>
    </w:p>
    <w:p w:rsidR="000C5659" w:rsidRDefault="000C5659">
      <w:pPr>
        <w:pStyle w:val="Style325"/>
      </w:pPr>
    </w:p>
    <w:p w:rsidR="000C5659" w:rsidRDefault="000C5659">
      <w:pPr>
        <w:pStyle w:val="Style325"/>
      </w:pPr>
    </w:p>
    <w:p w:rsidR="000C5659" w:rsidRDefault="000E33C4">
      <w:pPr>
        <w:rPr>
          <w:color w:val="000000" w:themeColor="text1"/>
        </w:rPr>
      </w:pPr>
      <w:r>
        <w:rPr>
          <w:rFonts w:hint="eastAsia"/>
          <w:color w:val="000000" w:themeColor="text1"/>
        </w:rPr>
        <w:t>按组合计提坏账准备的说明：</w:t>
      </w:r>
    </w:p>
    <w:sdt>
      <w:sdtPr>
        <w:rPr>
          <w:color w:val="000000" w:themeColor="text1"/>
        </w:rPr>
        <w:alias w:val="是否适用：按组合计提坏账准备的应收账款确认标准[双击切换]"/>
        <w:tag w:val="_GBC_8361cfeb973b4073b7fdbd49a393b38c"/>
        <w:id w:val="19828918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cstheme="minorBidi"/>
          <w:color w:val="000000" w:themeColor="text1"/>
          <w:szCs w:val="22"/>
        </w:rPr>
      </w:pPr>
      <w:bookmarkStart w:id="166" w:name="_Hlk167885281"/>
      <w:bookmarkStart w:id="167" w:name="_Hlk154134618"/>
      <w:bookmarkStart w:id="168" w:name="_Hlk153357523"/>
      <w:bookmarkEnd w:id="164"/>
      <w:bookmarkEnd w:id="165"/>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1d19b1b69e8344f18b14e15d329edea7"/>
        <w:id w:val="1366553703"/>
        <w:placeholder>
          <w:docPart w:val="GBC22222222222222222222222222222"/>
        </w:placeholder>
      </w:sdtPr>
      <w:sdtEndPr/>
      <w:sdtContent>
        <w:p w:rsidR="000C5659" w:rsidRDefault="000E33C4">
          <w:pPr>
            <w:autoSpaceDE w:val="0"/>
            <w:autoSpaceDN w:val="0"/>
            <w:adjustRightInd w:val="0"/>
            <w:ind w:rightChars="50" w:right="105"/>
            <w:rPr>
              <w:rFonts w:cstheme="minorBidi"/>
              <w:color w:val="000000" w:themeColor="text1"/>
              <w:szCs w:val="22"/>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C5659">
      <w:pPr>
        <w:autoSpaceDE w:val="0"/>
        <w:autoSpaceDN w:val="0"/>
        <w:adjustRightInd w:val="0"/>
        <w:ind w:rightChars="50" w:right="105"/>
        <w:rPr>
          <w:rFonts w:cstheme="minorBidi"/>
          <w:color w:val="000000" w:themeColor="text1"/>
          <w:szCs w:val="22"/>
        </w:rPr>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d8e8411c0a8c4c56aa732db88b5aee2e"/>
        <w:id w:val="2044862182"/>
        <w:placeholder>
          <w:docPart w:val="GBC22222222222222222222222222222"/>
        </w:placeholder>
      </w:sdtPr>
      <w:sdtEndPr/>
      <w:sdtContent>
        <w:p w:rsidR="000C5659" w:rsidRDefault="000E33C4">
          <w:pPr>
            <w:rPr>
              <w:rFonts w:cs="Times New Roman"/>
              <w:color w:val="000000" w:themeColor="text1"/>
              <w:szCs w:val="22"/>
            </w:rPr>
          </w:pPr>
          <w:r>
            <w:rPr>
              <w:rFonts w:cs="Times New Roman" w:hint="eastAsia"/>
              <w:color w:val="000000" w:themeColor="text1"/>
              <w:szCs w:val="22"/>
            </w:rPr>
            <w:t>1年内坏账计提比例5%，1-2年计提比例40%，2-3年计提70%，3年以上100%</w:t>
          </w:r>
        </w:p>
      </w:sdtContent>
    </w:sdt>
    <w:p w:rsidR="000C5659" w:rsidRDefault="000C5659">
      <w:pPr>
        <w:rPr>
          <w:rFonts w:asciiTheme="minorHAnsi" w:hAnsiTheme="minorHAnsi" w:cstheme="minorBidi"/>
          <w:b/>
          <w:color w:val="000000" w:themeColor="text1"/>
          <w:szCs w:val="22"/>
        </w:rPr>
      </w:pPr>
    </w:p>
    <w:p w:rsidR="000C5659" w:rsidRDefault="000E33C4">
      <w:pPr>
        <w:pStyle w:val="Style197"/>
        <w:rPr>
          <w:color w:val="000000" w:themeColor="text1"/>
        </w:rPr>
      </w:pPr>
      <w:r>
        <w:rPr>
          <w:rFonts w:hint="eastAsia"/>
          <w:color w:val="000000" w:themeColor="text1"/>
        </w:rPr>
        <w:t>对本期发生损失准备变动的应收账款账面余额显著变动的情况说明：</w:t>
      </w:r>
    </w:p>
    <w:sdt>
      <w:sdtPr>
        <w:rPr>
          <w:color w:val="000000" w:themeColor="text1"/>
        </w:rPr>
        <w:alias w:val="是否适用：对本期发生损失准备变动的账面余额显著变动的情况说明[双击切换]"/>
        <w:tag w:val="_GBC_69f0a67a74b04da0bfa388cc3243da42"/>
        <w:id w:val="-1365824250"/>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asciiTheme="minorHAnsi" w:hAnsiTheme="minorHAnsi" w:cstheme="minorBidi"/>
          <w:b/>
          <w:color w:val="000000" w:themeColor="text1"/>
          <w:szCs w:val="22"/>
        </w:rPr>
      </w:pPr>
    </w:p>
    <w:p w:rsidR="000C5659" w:rsidRDefault="000E33C4" w:rsidP="000743DD">
      <w:pPr>
        <w:pStyle w:val="43"/>
        <w:numPr>
          <w:ilvl w:val="3"/>
          <w:numId w:val="52"/>
        </w:numPr>
        <w:ind w:left="426" w:hanging="426"/>
        <w:rPr>
          <w:color w:val="000000" w:themeColor="text1"/>
        </w:rPr>
      </w:pPr>
      <w:bookmarkStart w:id="169" w:name="_Hlk10467433"/>
      <w:bookmarkEnd w:id="166"/>
      <w:bookmarkEnd w:id="167"/>
      <w:bookmarkEnd w:id="168"/>
      <w:r>
        <w:rPr>
          <w:rFonts w:hint="eastAsia"/>
          <w:color w:val="000000" w:themeColor="text1"/>
        </w:rPr>
        <w:t>坏账准备的情况</w:t>
      </w:r>
    </w:p>
    <w:sdt>
      <w:sdtPr>
        <w:rPr>
          <w:color w:val="000000" w:themeColor="text1"/>
        </w:rPr>
        <w:alias w:val="是否适用：应收账款坏账准备[双击切换]"/>
        <w:tag w:val="_GBC_fb482eb90dbc45c4a6420c45e8a46012"/>
        <w:id w:val="-213724909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应收账款坏账准备"/>
          <w:tag w:val="_GBC_f681542ff42f497c9ed44328f301413f"/>
          <w:id w:val="-4484750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应收账款坏账准备"/>
          <w:tag w:val="_GBC_79f82daaad1749fbb117cea0941b8667"/>
          <w:id w:val="-3270605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41"/>
        <w:gridCol w:w="1591"/>
        <w:gridCol w:w="1486"/>
        <w:gridCol w:w="812"/>
        <w:gridCol w:w="816"/>
        <w:gridCol w:w="1486"/>
        <w:gridCol w:w="1591"/>
      </w:tblGrid>
      <w:tr w:rsidR="000C5659">
        <w:sdt>
          <w:sdtPr>
            <w:rPr>
              <w:color w:val="000000" w:themeColor="text1"/>
            </w:rPr>
            <w:tag w:val="_PLD_82b0419f5c784cbe8b363ff715cfd4eb"/>
            <w:id w:val="15655627"/>
          </w:sdtPr>
          <w:sdtEndPr/>
          <w:sdtContent>
            <w:tc>
              <w:tcPr>
                <w:tcW w:w="817" w:type="pct"/>
                <w:vMerge w:val="restart"/>
                <w:shd w:val="clear" w:color="auto" w:fill="FFFFFF"/>
                <w:vAlign w:val="center"/>
              </w:tcPr>
              <w:p w:rsidR="000C5659" w:rsidRDefault="000E33C4">
                <w:pPr>
                  <w:widowControl w:val="0"/>
                  <w:jc w:val="center"/>
                  <w:rPr>
                    <w:color w:val="000000" w:themeColor="text1"/>
                  </w:rPr>
                </w:pPr>
                <w:r>
                  <w:rPr>
                    <w:color w:val="000000" w:themeColor="text1"/>
                  </w:rPr>
                  <w:t>类别</w:t>
                </w:r>
              </w:p>
            </w:tc>
          </w:sdtContent>
        </w:sdt>
        <w:sdt>
          <w:sdtPr>
            <w:rPr>
              <w:color w:val="000000" w:themeColor="text1"/>
            </w:rPr>
            <w:tag w:val="_PLD_6cba2c33cb334541980e3e13a6ee357d"/>
            <w:id w:val="-202180854"/>
          </w:sdtPr>
          <w:sdtEndPr/>
          <w:sdtContent>
            <w:tc>
              <w:tcPr>
                <w:tcW w:w="687" w:type="pct"/>
                <w:vMerge w:val="restart"/>
                <w:shd w:val="clear" w:color="auto" w:fill="FFFFFF"/>
                <w:vAlign w:val="center"/>
              </w:tcPr>
              <w:p w:rsidR="000C5659" w:rsidRDefault="000E33C4">
                <w:pPr>
                  <w:widowControl w:val="0"/>
                  <w:jc w:val="center"/>
                  <w:rPr>
                    <w:color w:val="000000" w:themeColor="text1"/>
                  </w:rPr>
                </w:pPr>
                <w:r>
                  <w:rPr>
                    <w:color w:val="000000" w:themeColor="text1"/>
                  </w:rPr>
                  <w:t>期初余额</w:t>
                </w:r>
              </w:p>
            </w:tc>
          </w:sdtContent>
        </w:sdt>
        <w:sdt>
          <w:sdtPr>
            <w:rPr>
              <w:color w:val="000000" w:themeColor="text1"/>
            </w:rPr>
            <w:tag w:val="_PLD_ec3d2e2cde2a4ba29c966861f9ca39c7"/>
            <w:id w:val="-1523780880"/>
          </w:sdtPr>
          <w:sdtEndPr/>
          <w:sdtContent>
            <w:tc>
              <w:tcPr>
                <w:tcW w:w="2810" w:type="pct"/>
                <w:gridSpan w:val="4"/>
                <w:shd w:val="clear" w:color="auto" w:fill="FFFFFF"/>
                <w:vAlign w:val="center"/>
              </w:tcPr>
              <w:p w:rsidR="000C5659" w:rsidRDefault="000E33C4">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rPr>
              <w:color w:val="000000" w:themeColor="text1"/>
            </w:rPr>
            <w:tag w:val="_PLD_9c167d6d72f94e22aecc39ba0e735a78"/>
            <w:id w:val="1119484166"/>
          </w:sdtPr>
          <w:sdtEndPr/>
          <w:sdtContent>
            <w:tc>
              <w:tcPr>
                <w:tcW w:w="685" w:type="pct"/>
                <w:vMerge w:val="restart"/>
                <w:shd w:val="clear" w:color="auto" w:fill="FFFFFF"/>
                <w:vAlign w:val="center"/>
              </w:tcPr>
              <w:p w:rsidR="000C5659" w:rsidRDefault="000E33C4">
                <w:pPr>
                  <w:widowControl w:val="0"/>
                  <w:jc w:val="center"/>
                  <w:rPr>
                    <w:color w:val="000000" w:themeColor="text1"/>
                  </w:rPr>
                </w:pPr>
                <w:r>
                  <w:rPr>
                    <w:color w:val="000000" w:themeColor="text1"/>
                  </w:rPr>
                  <w:t>期末余额</w:t>
                </w:r>
              </w:p>
            </w:tc>
          </w:sdtContent>
        </w:sdt>
      </w:tr>
      <w:tr w:rsidR="000C5659">
        <w:tc>
          <w:tcPr>
            <w:tcW w:w="817" w:type="pct"/>
            <w:vMerge/>
            <w:shd w:val="clear" w:color="auto" w:fill="FFFFFF"/>
            <w:vAlign w:val="center"/>
          </w:tcPr>
          <w:p w:rsidR="000C5659" w:rsidRDefault="000C5659">
            <w:pPr>
              <w:widowControl w:val="0"/>
              <w:jc w:val="center"/>
              <w:rPr>
                <w:color w:val="000000" w:themeColor="text1"/>
              </w:rPr>
            </w:pPr>
          </w:p>
        </w:tc>
        <w:tc>
          <w:tcPr>
            <w:tcW w:w="687" w:type="pct"/>
            <w:vMerge/>
            <w:shd w:val="clear" w:color="auto" w:fill="FFFFFF"/>
            <w:vAlign w:val="center"/>
          </w:tcPr>
          <w:p w:rsidR="000C5659" w:rsidRDefault="000C5659">
            <w:pPr>
              <w:widowControl w:val="0"/>
              <w:jc w:val="center"/>
              <w:rPr>
                <w:color w:val="000000" w:themeColor="text1"/>
              </w:rPr>
            </w:pPr>
          </w:p>
        </w:tc>
        <w:sdt>
          <w:sdtPr>
            <w:rPr>
              <w:color w:val="000000" w:themeColor="text1"/>
            </w:rPr>
            <w:tag w:val="_PLD_6cba23a5661e46c88bed469159b39a72"/>
            <w:id w:val="-938608041"/>
          </w:sdtPr>
          <w:sdtEndPr/>
          <w:sdtContent>
            <w:tc>
              <w:tcPr>
                <w:tcW w:w="746" w:type="pct"/>
                <w:shd w:val="clear" w:color="auto" w:fill="FFFFFF"/>
                <w:vAlign w:val="center"/>
              </w:tcPr>
              <w:p w:rsidR="000C5659" w:rsidRDefault="000E33C4">
                <w:pPr>
                  <w:widowControl w:val="0"/>
                  <w:jc w:val="center"/>
                  <w:rPr>
                    <w:color w:val="000000" w:themeColor="text1"/>
                  </w:rPr>
                </w:pPr>
                <w:r>
                  <w:rPr>
                    <w:color w:val="000000" w:themeColor="text1"/>
                  </w:rPr>
                  <w:t>计提</w:t>
                </w:r>
              </w:p>
            </w:tc>
          </w:sdtContent>
        </w:sdt>
        <w:sdt>
          <w:sdtPr>
            <w:rPr>
              <w:color w:val="000000" w:themeColor="text1"/>
            </w:rPr>
            <w:tag w:val="_PLD_eaa82901608843c6947a0e537e8e0700"/>
            <w:id w:val="1216543527"/>
          </w:sdtPr>
          <w:sdtEndPr/>
          <w:sdtContent>
            <w:tc>
              <w:tcPr>
                <w:tcW w:w="687" w:type="pct"/>
                <w:shd w:val="clear" w:color="auto" w:fill="FFFFFF"/>
                <w:vAlign w:val="center"/>
              </w:tcPr>
              <w:p w:rsidR="000C5659" w:rsidRDefault="000E33C4">
                <w:pPr>
                  <w:widowControl w:val="0"/>
                  <w:jc w:val="center"/>
                  <w:rPr>
                    <w:color w:val="000000" w:themeColor="text1"/>
                  </w:rPr>
                </w:pPr>
                <w:r>
                  <w:rPr>
                    <w:rFonts w:hint="eastAsia"/>
                    <w:color w:val="000000" w:themeColor="text1"/>
                  </w:rPr>
                  <w:t>收回或转回</w:t>
                </w:r>
              </w:p>
            </w:tc>
          </w:sdtContent>
        </w:sdt>
        <w:tc>
          <w:tcPr>
            <w:tcW w:w="689" w:type="pct"/>
            <w:shd w:val="clear" w:color="auto" w:fill="FFFFFF"/>
            <w:vAlign w:val="center"/>
          </w:tcPr>
          <w:sdt>
            <w:sdtPr>
              <w:rPr>
                <w:rFonts w:hint="eastAsia"/>
                <w:color w:val="000000" w:themeColor="text1"/>
              </w:rPr>
              <w:tag w:val="_PLD_4232da6e7f4d498bb5fd03aa253dd7d4"/>
              <w:id w:val="-2001341179"/>
            </w:sdtPr>
            <w:sdtEndPr/>
            <w:sdtContent>
              <w:p w:rsidR="000C5659" w:rsidRDefault="000E33C4">
                <w:pPr>
                  <w:widowControl w:val="0"/>
                  <w:jc w:val="center"/>
                  <w:rPr>
                    <w:color w:val="000000" w:themeColor="text1"/>
                  </w:rPr>
                </w:pPr>
                <w:r>
                  <w:rPr>
                    <w:rFonts w:hint="eastAsia"/>
                    <w:color w:val="000000" w:themeColor="text1"/>
                  </w:rPr>
                  <w:t>转销或核销</w:t>
                </w:r>
              </w:p>
            </w:sdtContent>
          </w:sdt>
        </w:tc>
        <w:tc>
          <w:tcPr>
            <w:tcW w:w="687" w:type="pct"/>
            <w:shd w:val="clear" w:color="auto" w:fill="FFFFFF"/>
            <w:vAlign w:val="center"/>
          </w:tcPr>
          <w:sdt>
            <w:sdtPr>
              <w:rPr>
                <w:rFonts w:hint="eastAsia"/>
                <w:color w:val="000000" w:themeColor="text1"/>
              </w:rPr>
              <w:tag w:val="_PLD_6a40df7ca60f4ded8af3453519948166"/>
              <w:id w:val="860175027"/>
            </w:sdtPr>
            <w:sdtEndPr/>
            <w:sdtContent>
              <w:p w:rsidR="000C5659" w:rsidRDefault="000E33C4">
                <w:pPr>
                  <w:widowControl w:val="0"/>
                  <w:jc w:val="center"/>
                  <w:rPr>
                    <w:color w:val="000000" w:themeColor="text1"/>
                  </w:rPr>
                </w:pPr>
                <w:r>
                  <w:rPr>
                    <w:rFonts w:hint="eastAsia"/>
                    <w:color w:val="000000" w:themeColor="text1"/>
                  </w:rPr>
                  <w:t>其他变动</w:t>
                </w:r>
              </w:p>
            </w:sdtContent>
          </w:sdt>
        </w:tc>
        <w:tc>
          <w:tcPr>
            <w:tcW w:w="685" w:type="pct"/>
            <w:vMerge/>
            <w:shd w:val="clear" w:color="auto" w:fill="FFFFFF"/>
            <w:vAlign w:val="center"/>
          </w:tcPr>
          <w:p w:rsidR="000C5659" w:rsidRDefault="000C5659">
            <w:pPr>
              <w:widowControl w:val="0"/>
              <w:jc w:val="right"/>
              <w:rPr>
                <w:color w:val="000000" w:themeColor="text1"/>
              </w:rPr>
            </w:pPr>
          </w:p>
        </w:tc>
      </w:tr>
      <w:tr w:rsidR="000C5659">
        <w:tc>
          <w:tcPr>
            <w:tcW w:w="817" w:type="pct"/>
            <w:shd w:val="clear" w:color="auto" w:fill="auto"/>
            <w:vAlign w:val="center"/>
          </w:tcPr>
          <w:p w:rsidR="000C5659" w:rsidRDefault="000E33C4">
            <w:pPr>
              <w:widowControl w:val="0"/>
            </w:pPr>
            <w:r>
              <w:rPr>
                <w:rFonts w:hint="eastAsia"/>
              </w:rPr>
              <w:t>账龄组合</w:t>
            </w:r>
          </w:p>
        </w:tc>
        <w:tc>
          <w:tcPr>
            <w:tcW w:w="687" w:type="pct"/>
            <w:shd w:val="clear" w:color="auto" w:fill="auto"/>
            <w:vAlign w:val="center"/>
          </w:tcPr>
          <w:p w:rsidR="000C5659" w:rsidRDefault="000E33C4">
            <w:pPr>
              <w:widowControl w:val="0"/>
              <w:jc w:val="right"/>
            </w:pPr>
            <w:r>
              <w:t>10,458,606.82</w:t>
            </w:r>
          </w:p>
        </w:tc>
        <w:tc>
          <w:tcPr>
            <w:tcW w:w="746" w:type="pct"/>
            <w:shd w:val="clear" w:color="auto" w:fill="auto"/>
            <w:vAlign w:val="center"/>
          </w:tcPr>
          <w:p w:rsidR="000C5659" w:rsidRDefault="000E33C4">
            <w:pPr>
              <w:widowControl w:val="0"/>
              <w:jc w:val="right"/>
            </w:pPr>
            <w:r>
              <w:rPr>
                <w:rFonts w:hint="eastAsia"/>
              </w:rPr>
              <w:t>1,676,963.17</w:t>
            </w:r>
          </w:p>
        </w:tc>
        <w:tc>
          <w:tcPr>
            <w:tcW w:w="687" w:type="pct"/>
            <w:shd w:val="clear" w:color="auto" w:fill="auto"/>
            <w:vAlign w:val="center"/>
          </w:tcPr>
          <w:p w:rsidR="000C5659" w:rsidRDefault="000C5659">
            <w:pPr>
              <w:widowControl w:val="0"/>
              <w:jc w:val="right"/>
            </w:pPr>
          </w:p>
        </w:tc>
        <w:tc>
          <w:tcPr>
            <w:tcW w:w="689" w:type="pct"/>
            <w:vAlign w:val="center"/>
          </w:tcPr>
          <w:p w:rsidR="000C5659" w:rsidRDefault="000C5659">
            <w:pPr>
              <w:widowControl w:val="0"/>
              <w:jc w:val="right"/>
            </w:pPr>
          </w:p>
        </w:tc>
        <w:tc>
          <w:tcPr>
            <w:tcW w:w="687" w:type="pct"/>
            <w:vAlign w:val="center"/>
          </w:tcPr>
          <w:p w:rsidR="000C5659" w:rsidRDefault="000E33C4">
            <w:pPr>
              <w:widowControl w:val="0"/>
              <w:jc w:val="right"/>
            </w:pPr>
            <w:r>
              <w:rPr>
                <w:rFonts w:hint="eastAsia"/>
              </w:rPr>
              <w:t>281,274.18</w:t>
            </w:r>
          </w:p>
        </w:tc>
        <w:tc>
          <w:tcPr>
            <w:tcW w:w="685" w:type="pct"/>
            <w:shd w:val="clear" w:color="auto" w:fill="auto"/>
            <w:vAlign w:val="center"/>
          </w:tcPr>
          <w:p w:rsidR="000C5659" w:rsidRDefault="000E33C4">
            <w:pPr>
              <w:widowControl w:val="0"/>
              <w:jc w:val="right"/>
            </w:pPr>
            <w:r>
              <w:rPr>
                <w:rFonts w:hint="eastAsia"/>
              </w:rPr>
              <w:t>12,416,844.17</w:t>
            </w:r>
          </w:p>
        </w:tc>
      </w:tr>
      <w:tr w:rsidR="000C5659">
        <w:trPr>
          <w:trHeight w:val="90"/>
        </w:trPr>
        <w:tc>
          <w:tcPr>
            <w:tcW w:w="817" w:type="pct"/>
            <w:shd w:val="clear" w:color="auto" w:fill="auto"/>
            <w:vAlign w:val="center"/>
          </w:tcPr>
          <w:p w:rsidR="000C5659" w:rsidRDefault="000E33C4">
            <w:pPr>
              <w:widowControl w:val="0"/>
            </w:pPr>
            <w:r>
              <w:rPr>
                <w:rFonts w:hint="eastAsia"/>
              </w:rPr>
              <w:lastRenderedPageBreak/>
              <w:t>单项计提</w:t>
            </w:r>
          </w:p>
        </w:tc>
        <w:tc>
          <w:tcPr>
            <w:tcW w:w="687" w:type="pct"/>
            <w:shd w:val="clear" w:color="auto" w:fill="auto"/>
            <w:vAlign w:val="center"/>
          </w:tcPr>
          <w:p w:rsidR="000C5659" w:rsidRDefault="000C5659">
            <w:pPr>
              <w:widowControl w:val="0"/>
              <w:jc w:val="right"/>
            </w:pPr>
          </w:p>
        </w:tc>
        <w:tc>
          <w:tcPr>
            <w:tcW w:w="746" w:type="pct"/>
            <w:shd w:val="clear" w:color="auto" w:fill="auto"/>
            <w:vAlign w:val="center"/>
          </w:tcPr>
          <w:p w:rsidR="000C5659" w:rsidRDefault="000C5659">
            <w:pPr>
              <w:widowControl w:val="0"/>
              <w:jc w:val="right"/>
            </w:pPr>
          </w:p>
        </w:tc>
        <w:tc>
          <w:tcPr>
            <w:tcW w:w="687" w:type="pct"/>
            <w:shd w:val="clear" w:color="auto" w:fill="auto"/>
            <w:vAlign w:val="center"/>
          </w:tcPr>
          <w:p w:rsidR="000C5659" w:rsidRDefault="000C5659">
            <w:pPr>
              <w:widowControl w:val="0"/>
              <w:jc w:val="right"/>
            </w:pPr>
          </w:p>
        </w:tc>
        <w:tc>
          <w:tcPr>
            <w:tcW w:w="689" w:type="pct"/>
            <w:vAlign w:val="center"/>
          </w:tcPr>
          <w:p w:rsidR="000C5659" w:rsidRDefault="000C5659">
            <w:pPr>
              <w:widowControl w:val="0"/>
              <w:jc w:val="right"/>
            </w:pPr>
          </w:p>
        </w:tc>
        <w:tc>
          <w:tcPr>
            <w:tcW w:w="687" w:type="pct"/>
            <w:vAlign w:val="center"/>
          </w:tcPr>
          <w:p w:rsidR="000C5659" w:rsidRDefault="000E33C4">
            <w:pPr>
              <w:widowControl w:val="0"/>
              <w:wordWrap w:val="0"/>
              <w:jc w:val="right"/>
            </w:pPr>
            <w:r>
              <w:rPr>
                <w:rFonts w:hint="eastAsia"/>
              </w:rPr>
              <w:t>2,624,202.15</w:t>
            </w:r>
          </w:p>
        </w:tc>
        <w:tc>
          <w:tcPr>
            <w:tcW w:w="685" w:type="pct"/>
            <w:shd w:val="clear" w:color="auto" w:fill="auto"/>
            <w:vAlign w:val="center"/>
          </w:tcPr>
          <w:p w:rsidR="000C5659" w:rsidRDefault="000E33C4">
            <w:pPr>
              <w:widowControl w:val="0"/>
              <w:jc w:val="right"/>
            </w:pPr>
            <w:r>
              <w:rPr>
                <w:rFonts w:ascii="Times New Roman" w:hAnsi="Times New Roman" w:cs="Times New Roman"/>
                <w:color w:val="000000"/>
                <w:sz w:val="18"/>
                <w:szCs w:val="18"/>
                <w:lang w:bidi="ar"/>
              </w:rPr>
              <w:t xml:space="preserve"> </w:t>
            </w:r>
            <w:r>
              <w:t>2,624,202.15</w:t>
            </w:r>
          </w:p>
        </w:tc>
      </w:tr>
      <w:tr w:rsidR="000C5659">
        <w:tc>
          <w:tcPr>
            <w:tcW w:w="817" w:type="pct"/>
            <w:shd w:val="clear" w:color="auto" w:fill="auto"/>
            <w:vAlign w:val="center"/>
          </w:tcPr>
          <w:p w:rsidR="000C5659" w:rsidRDefault="000E33C4">
            <w:pPr>
              <w:widowControl w:val="0"/>
              <w:jc w:val="center"/>
              <w:rPr>
                <w:color w:val="000000" w:themeColor="text1"/>
              </w:rPr>
            </w:pPr>
            <w:r>
              <w:rPr>
                <w:rFonts w:hint="eastAsia"/>
                <w:color w:val="000000" w:themeColor="text1"/>
              </w:rPr>
              <w:t>合计</w:t>
            </w:r>
          </w:p>
        </w:tc>
        <w:tc>
          <w:tcPr>
            <w:tcW w:w="687" w:type="pct"/>
            <w:shd w:val="clear" w:color="auto" w:fill="auto"/>
            <w:vAlign w:val="center"/>
          </w:tcPr>
          <w:p w:rsidR="000C5659" w:rsidRDefault="000E33C4">
            <w:pPr>
              <w:widowControl w:val="0"/>
              <w:jc w:val="right"/>
            </w:pPr>
            <w:r>
              <w:t>10,458,606.82</w:t>
            </w:r>
          </w:p>
        </w:tc>
        <w:tc>
          <w:tcPr>
            <w:tcW w:w="746" w:type="pct"/>
            <w:shd w:val="clear" w:color="auto" w:fill="auto"/>
            <w:vAlign w:val="center"/>
          </w:tcPr>
          <w:p w:rsidR="000C5659" w:rsidRDefault="000E33C4">
            <w:pPr>
              <w:widowControl w:val="0"/>
              <w:jc w:val="right"/>
            </w:pPr>
            <w:r>
              <w:rPr>
                <w:rFonts w:hint="eastAsia"/>
              </w:rPr>
              <w:t>1,676,963.17</w:t>
            </w:r>
          </w:p>
        </w:tc>
        <w:tc>
          <w:tcPr>
            <w:tcW w:w="687" w:type="pct"/>
            <w:shd w:val="clear" w:color="auto" w:fill="auto"/>
            <w:vAlign w:val="center"/>
          </w:tcPr>
          <w:p w:rsidR="000C5659" w:rsidRDefault="000C5659">
            <w:pPr>
              <w:widowControl w:val="0"/>
              <w:jc w:val="right"/>
            </w:pPr>
          </w:p>
        </w:tc>
        <w:tc>
          <w:tcPr>
            <w:tcW w:w="689" w:type="pct"/>
            <w:vAlign w:val="center"/>
          </w:tcPr>
          <w:p w:rsidR="000C5659" w:rsidRDefault="000C5659">
            <w:pPr>
              <w:widowControl w:val="0"/>
              <w:jc w:val="right"/>
            </w:pPr>
          </w:p>
        </w:tc>
        <w:tc>
          <w:tcPr>
            <w:tcW w:w="687" w:type="pct"/>
            <w:vAlign w:val="center"/>
          </w:tcPr>
          <w:p w:rsidR="000C5659" w:rsidRDefault="000E33C4">
            <w:pPr>
              <w:widowControl w:val="0"/>
              <w:jc w:val="right"/>
            </w:pPr>
            <w:r>
              <w:rPr>
                <w:rFonts w:hint="eastAsia"/>
              </w:rPr>
              <w:t>2,905,476.33</w:t>
            </w:r>
          </w:p>
        </w:tc>
        <w:tc>
          <w:tcPr>
            <w:tcW w:w="685" w:type="pct"/>
            <w:shd w:val="clear" w:color="auto" w:fill="auto"/>
            <w:vAlign w:val="center"/>
          </w:tcPr>
          <w:p w:rsidR="000C5659" w:rsidRDefault="000E33C4">
            <w:pPr>
              <w:jc w:val="right"/>
              <w:textAlignment w:val="bottom"/>
              <w:rPr>
                <w:rFonts w:ascii="黑体" w:eastAsia="黑体" w:cs="黑体"/>
                <w:color w:val="000000"/>
                <w:sz w:val="18"/>
                <w:szCs w:val="18"/>
              </w:rPr>
            </w:pPr>
            <w:r>
              <w:rPr>
                <w:rFonts w:hint="eastAsia"/>
              </w:rPr>
              <w:t xml:space="preserve">15,041,046.32 </w:t>
            </w:r>
          </w:p>
        </w:tc>
      </w:tr>
    </w:tbl>
    <w:p w:rsidR="000C5659" w:rsidRDefault="000C5659">
      <w:pPr>
        <w:rPr>
          <w:color w:val="000000" w:themeColor="text1"/>
        </w:rPr>
      </w:pPr>
    </w:p>
    <w:p w:rsidR="000C5659" w:rsidRDefault="000E33C4">
      <w:pPr>
        <w:rPr>
          <w:color w:val="000000" w:themeColor="text1"/>
        </w:rPr>
      </w:pPr>
      <w:bookmarkStart w:id="170" w:name="_Hlk167885446"/>
      <w:bookmarkEnd w:id="169"/>
      <w:r>
        <w:rPr>
          <w:rFonts w:hint="eastAsia"/>
          <w:color w:val="000000" w:themeColor="text1"/>
        </w:rPr>
        <w:t>其中本期坏账准备收回或转回金额重要的：</w:t>
      </w:r>
    </w:p>
    <w:sdt>
      <w:sdtPr>
        <w:rPr>
          <w:color w:val="000000" w:themeColor="text1"/>
        </w:rPr>
        <w:alias w:val="是否适用：其中本期坏账准备收回或转回金额重要的[双击切换]"/>
        <w:tag w:val="_GBC_782db13fff094d37b8b99f81224cac44"/>
        <w:id w:val="117314722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应收账款坏账准备情况的说明"/>
        <w:tag w:val="_GBC_112ac8bd16914f4682cf1367c6702f93"/>
        <w:id w:val="142551593"/>
        <w:placeholder>
          <w:docPart w:val="GBC22222222222222222222222222222"/>
        </w:placeholder>
      </w:sdtPr>
      <w:sdtEndPr/>
      <w:sdtContent>
        <w:p w:rsidR="000C5659" w:rsidRDefault="000E33C4">
          <w:pPr>
            <w:ind w:rightChars="20" w:right="42"/>
            <w:rPr>
              <w:color w:val="000000" w:themeColor="text1"/>
            </w:rPr>
          </w:pPr>
          <w:r>
            <w:rPr>
              <w:rFonts w:hint="eastAsia"/>
              <w:color w:val="000000" w:themeColor="text1"/>
            </w:rPr>
            <w:t>无</w:t>
          </w:r>
        </w:p>
      </w:sdtContent>
    </w:sdt>
    <w:p w:rsidR="000C5659" w:rsidRDefault="000C5659">
      <w:pPr>
        <w:ind w:rightChars="-759" w:right="-1594"/>
        <w:rPr>
          <w:rFonts w:ascii="Times New Roman" w:hAnsi="Times New Roman" w:cs="Times New Roman"/>
          <w:color w:val="000000" w:themeColor="text1"/>
          <w:kern w:val="2"/>
        </w:rPr>
      </w:pPr>
    </w:p>
    <w:bookmarkEnd w:id="170"/>
    <w:p w:rsidR="000C5659" w:rsidRDefault="000E33C4" w:rsidP="000743DD">
      <w:pPr>
        <w:pStyle w:val="43"/>
        <w:numPr>
          <w:ilvl w:val="3"/>
          <w:numId w:val="52"/>
        </w:numPr>
        <w:ind w:left="426" w:hanging="426"/>
        <w:rPr>
          <w:color w:val="000000" w:themeColor="text1"/>
        </w:rPr>
      </w:pPr>
      <w:r>
        <w:rPr>
          <w:rFonts w:hint="eastAsia"/>
          <w:color w:val="000000" w:themeColor="text1"/>
        </w:rPr>
        <w:t>本期实际核销的应收账款情况</w:t>
      </w:r>
    </w:p>
    <w:sdt>
      <w:sdtPr>
        <w:rPr>
          <w:color w:val="000000" w:themeColor="text1"/>
        </w:rPr>
        <w:alias w:val="是否适用：本期实际核销的应收账款情况[双击切换]"/>
        <w:tag w:val="_GBC_240341a3455747bb87ecabf420d94ec5"/>
        <w:id w:val="-14766821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其中重要的应收账款核销情况</w:t>
      </w:r>
    </w:p>
    <w:sdt>
      <w:sdtPr>
        <w:rPr>
          <w:color w:val="000000" w:themeColor="text1"/>
        </w:rPr>
        <w:alias w:val="是否适用：其中重要的应收账款核销情况[双击切换]"/>
        <w:tag w:val="_GBC_8a44f02ff52343a08b5e1e48c8b2cb3d"/>
        <w:id w:val="-157543280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应收账款核销说明[双击切换]"/>
        <w:tag w:val="_GBC_69824b683b7348d5abc31b2f2e813757"/>
        <w:id w:val="-37153993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2"/>
        </w:numPr>
        <w:ind w:left="426" w:hanging="426"/>
        <w:rPr>
          <w:color w:val="000000" w:themeColor="text1"/>
        </w:rPr>
      </w:pPr>
      <w:bookmarkStart w:id="171" w:name="_Hlk167885578"/>
      <w:r>
        <w:rPr>
          <w:rFonts w:hint="eastAsia"/>
          <w:color w:val="000000" w:themeColor="text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23de179fe67e4dae836713363b228dc1"/>
        <w:id w:val="1424140868"/>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7b83c21a9ac04b3f9556af0eefbf91af"/>
          <w:id w:val="146809022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收账款前五名欠款情况"/>
          <w:tag w:val="_GBC_aeac0acd27084bbe8582a2bdb9097b96"/>
          <w:id w:val="17417550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759"/>
        <w:gridCol w:w="1214"/>
        <w:gridCol w:w="1759"/>
        <w:gridCol w:w="1291"/>
        <w:gridCol w:w="1476"/>
      </w:tblGrid>
      <w:tr w:rsidR="000C5659">
        <w:trPr>
          <w:cantSplit/>
        </w:trPr>
        <w:sdt>
          <w:sdtPr>
            <w:rPr>
              <w:rFonts w:hint="eastAsia"/>
              <w:color w:val="000000" w:themeColor="text1"/>
            </w:rPr>
            <w:tag w:val="_PLD_f9c6798381a549c8be592d88dde64345"/>
            <w:id w:val="-1862583766"/>
          </w:sdtPr>
          <w:sdtEndPr/>
          <w:sdtContent>
            <w:tc>
              <w:tcPr>
                <w:tcW w:w="774" w:type="pct"/>
                <w:vAlign w:val="center"/>
              </w:tcPr>
              <w:p w:rsidR="000C5659" w:rsidRDefault="000E33C4">
                <w:pPr>
                  <w:ind w:right="105"/>
                  <w:jc w:val="center"/>
                  <w:rPr>
                    <w:color w:val="000000" w:themeColor="text1"/>
                  </w:rPr>
                </w:pPr>
                <w:r>
                  <w:rPr>
                    <w:rFonts w:hint="eastAsia"/>
                    <w:color w:val="000000" w:themeColor="text1"/>
                  </w:rPr>
                  <w:t>单位名称</w:t>
                </w:r>
              </w:p>
            </w:tc>
          </w:sdtContent>
        </w:sdt>
        <w:sdt>
          <w:sdtPr>
            <w:rPr>
              <w:rFonts w:hint="eastAsia"/>
              <w:color w:val="000000" w:themeColor="text1"/>
            </w:rPr>
            <w:tag w:val="_PLD_cb3675ff5adc4fc5a9134c43edda944a"/>
            <w:id w:val="-1488385980"/>
          </w:sdtPr>
          <w:sdtEndPr/>
          <w:sdtContent>
            <w:tc>
              <w:tcPr>
                <w:tcW w:w="972" w:type="pct"/>
                <w:vAlign w:val="center"/>
              </w:tcPr>
              <w:p w:rsidR="000C5659" w:rsidRDefault="000E33C4">
                <w:pPr>
                  <w:ind w:right="73"/>
                  <w:jc w:val="center"/>
                  <w:rPr>
                    <w:color w:val="000000" w:themeColor="text1"/>
                  </w:rPr>
                </w:pPr>
                <w:r>
                  <w:rPr>
                    <w:rFonts w:hint="eastAsia"/>
                    <w:color w:val="000000" w:themeColor="text1"/>
                  </w:rPr>
                  <w:t>应收账款期末余额</w:t>
                </w:r>
              </w:p>
            </w:tc>
          </w:sdtContent>
        </w:sdt>
        <w:sdt>
          <w:sdtPr>
            <w:rPr>
              <w:rFonts w:hint="eastAsia"/>
              <w:color w:val="000000" w:themeColor="text1"/>
            </w:rPr>
            <w:tag w:val="_PLD_ef22e7c0e8d749caad8859816f6d3d6d"/>
            <w:id w:val="1943185824"/>
          </w:sdtPr>
          <w:sdtEndPr/>
          <w:sdtContent>
            <w:tc>
              <w:tcPr>
                <w:tcW w:w="712" w:type="pct"/>
                <w:vAlign w:val="center"/>
              </w:tcPr>
              <w:p w:rsidR="000C5659" w:rsidRDefault="000E33C4">
                <w:pPr>
                  <w:jc w:val="center"/>
                  <w:rPr>
                    <w:color w:val="000000" w:themeColor="text1"/>
                  </w:rPr>
                </w:pPr>
                <w:r>
                  <w:rPr>
                    <w:rFonts w:hint="eastAsia"/>
                    <w:color w:val="000000" w:themeColor="text1"/>
                  </w:rPr>
                  <w:t>合同资产期末余额</w:t>
                </w:r>
              </w:p>
            </w:tc>
          </w:sdtContent>
        </w:sdt>
        <w:sdt>
          <w:sdtPr>
            <w:rPr>
              <w:rFonts w:hint="eastAsia"/>
              <w:color w:val="000000" w:themeColor="text1"/>
            </w:rPr>
            <w:tag w:val="_PLD_d4247a30e2224be4b066f9eb3e8b3980"/>
            <w:id w:val="-926426013"/>
          </w:sdtPr>
          <w:sdtEndPr/>
          <w:sdtContent>
            <w:tc>
              <w:tcPr>
                <w:tcW w:w="972" w:type="pct"/>
                <w:vAlign w:val="center"/>
              </w:tcPr>
              <w:p w:rsidR="000C5659" w:rsidRDefault="000E33C4">
                <w:pPr>
                  <w:jc w:val="center"/>
                  <w:rPr>
                    <w:color w:val="000000" w:themeColor="text1"/>
                  </w:rPr>
                </w:pPr>
                <w:r>
                  <w:rPr>
                    <w:rFonts w:hint="eastAsia"/>
                    <w:color w:val="000000" w:themeColor="text1"/>
                  </w:rPr>
                  <w:t>应收账款和合同资产期末余额</w:t>
                </w:r>
              </w:p>
            </w:tc>
          </w:sdtContent>
        </w:sdt>
        <w:sdt>
          <w:sdtPr>
            <w:rPr>
              <w:rFonts w:hint="eastAsia"/>
              <w:color w:val="000000" w:themeColor="text1"/>
            </w:rPr>
            <w:tag w:val="_PLD_973a396aab204cf2abdf2f7f405b9071"/>
            <w:id w:val="1016427105"/>
          </w:sdtPr>
          <w:sdtEndPr/>
          <w:sdtContent>
            <w:tc>
              <w:tcPr>
                <w:tcW w:w="755" w:type="pct"/>
                <w:vAlign w:val="center"/>
              </w:tcPr>
              <w:p w:rsidR="000C5659" w:rsidRDefault="000E33C4">
                <w:pPr>
                  <w:jc w:val="center"/>
                  <w:rPr>
                    <w:color w:val="000000" w:themeColor="text1"/>
                  </w:rPr>
                </w:pPr>
                <w:r>
                  <w:rPr>
                    <w:rFonts w:hint="eastAsia"/>
                    <w:color w:val="000000" w:themeColor="text1"/>
                  </w:rPr>
                  <w:t>占应收账款和合同资产期末余额合计数的比例（%）</w:t>
                </w:r>
              </w:p>
            </w:tc>
          </w:sdtContent>
        </w:sdt>
        <w:sdt>
          <w:sdtPr>
            <w:rPr>
              <w:rFonts w:hint="eastAsia"/>
              <w:color w:val="000000" w:themeColor="text1"/>
            </w:rPr>
            <w:tag w:val="_PLD_839fe6b484114addbcaeef57270c8a21"/>
            <w:id w:val="1338423910"/>
          </w:sdtPr>
          <w:sdtEndPr/>
          <w:sdtContent>
            <w:tc>
              <w:tcPr>
                <w:tcW w:w="816" w:type="pct"/>
                <w:vAlign w:val="center"/>
              </w:tcPr>
              <w:p w:rsidR="000C5659" w:rsidRDefault="000E33C4">
                <w:pPr>
                  <w:jc w:val="center"/>
                  <w:rPr>
                    <w:color w:val="000000" w:themeColor="text1"/>
                  </w:rPr>
                </w:pPr>
                <w:r>
                  <w:rPr>
                    <w:rFonts w:hint="eastAsia"/>
                    <w:color w:val="000000" w:themeColor="text1"/>
                  </w:rPr>
                  <w:t>坏账准备期末余额</w:t>
                </w:r>
              </w:p>
            </w:tc>
          </w:sdtContent>
        </w:sdt>
      </w:tr>
      <w:tr w:rsidR="000C5659">
        <w:trPr>
          <w:cantSplit/>
        </w:trPr>
        <w:tc>
          <w:tcPr>
            <w:tcW w:w="774" w:type="pct"/>
          </w:tcPr>
          <w:p w:rsidR="000C5659" w:rsidRDefault="000E33C4">
            <w:pPr>
              <w:ind w:right="105"/>
            </w:pPr>
            <w:r>
              <w:t>第一名</w:t>
            </w:r>
          </w:p>
        </w:tc>
        <w:tc>
          <w:tcPr>
            <w:tcW w:w="972" w:type="pct"/>
          </w:tcPr>
          <w:p w:rsidR="000C5659" w:rsidRDefault="000E33C4">
            <w:pPr>
              <w:ind w:right="73"/>
              <w:jc w:val="right"/>
            </w:pPr>
            <w:r>
              <w:rPr>
                <w:rFonts w:hint="eastAsia"/>
              </w:rPr>
              <w:t>35,326,687.81</w:t>
            </w:r>
          </w:p>
        </w:tc>
        <w:tc>
          <w:tcPr>
            <w:tcW w:w="712" w:type="pct"/>
          </w:tcPr>
          <w:p w:rsidR="000C5659" w:rsidRDefault="000C5659">
            <w:pPr>
              <w:ind w:right="73"/>
              <w:jc w:val="right"/>
            </w:pPr>
          </w:p>
        </w:tc>
        <w:tc>
          <w:tcPr>
            <w:tcW w:w="972" w:type="pct"/>
          </w:tcPr>
          <w:p w:rsidR="000C5659" w:rsidRDefault="000E33C4">
            <w:pPr>
              <w:ind w:right="73"/>
              <w:jc w:val="right"/>
            </w:pPr>
            <w:r>
              <w:rPr>
                <w:rFonts w:hint="eastAsia"/>
              </w:rPr>
              <w:t>35,326,687.81</w:t>
            </w:r>
          </w:p>
        </w:tc>
        <w:tc>
          <w:tcPr>
            <w:tcW w:w="1366" w:type="dxa"/>
          </w:tcPr>
          <w:p w:rsidR="000C5659" w:rsidRDefault="000E33C4">
            <w:pPr>
              <w:jc w:val="right"/>
              <w:textAlignment w:val="top"/>
              <w:rPr>
                <w:rFonts w:asciiTheme="minorEastAsia" w:eastAsiaTheme="minorEastAsia" w:hAnsiTheme="minorEastAsia" w:cstheme="minorEastAsia"/>
                <w:highlight w:val="yellow"/>
              </w:rPr>
            </w:pPr>
            <w:r>
              <w:rPr>
                <w:rFonts w:asciiTheme="minorEastAsia" w:eastAsiaTheme="minorEastAsia" w:hAnsiTheme="minorEastAsia" w:cstheme="minorEastAsia" w:hint="eastAsia"/>
                <w:color w:val="000000"/>
                <w:lang w:bidi="ar"/>
              </w:rPr>
              <w:t>14.41</w:t>
            </w:r>
          </w:p>
        </w:tc>
        <w:tc>
          <w:tcPr>
            <w:tcW w:w="816" w:type="pct"/>
          </w:tcPr>
          <w:p w:rsidR="000C5659" w:rsidRDefault="000E33C4">
            <w:pPr>
              <w:jc w:val="right"/>
            </w:pPr>
            <w:r>
              <w:rPr>
                <w:rFonts w:hint="eastAsia"/>
              </w:rPr>
              <w:t>1,766,334.39</w:t>
            </w:r>
          </w:p>
        </w:tc>
      </w:tr>
      <w:tr w:rsidR="000C5659">
        <w:trPr>
          <w:cantSplit/>
        </w:trPr>
        <w:tc>
          <w:tcPr>
            <w:tcW w:w="774" w:type="pct"/>
          </w:tcPr>
          <w:p w:rsidR="000C5659" w:rsidRDefault="000E33C4">
            <w:pPr>
              <w:ind w:right="105"/>
            </w:pPr>
            <w:r>
              <w:t>第二名</w:t>
            </w:r>
          </w:p>
        </w:tc>
        <w:tc>
          <w:tcPr>
            <w:tcW w:w="972" w:type="pct"/>
          </w:tcPr>
          <w:p w:rsidR="000C5659" w:rsidRDefault="000E33C4">
            <w:pPr>
              <w:ind w:right="73"/>
              <w:jc w:val="right"/>
            </w:pPr>
            <w:r>
              <w:rPr>
                <w:rFonts w:hint="eastAsia"/>
              </w:rPr>
              <w:t>26,628,177.46</w:t>
            </w:r>
          </w:p>
        </w:tc>
        <w:tc>
          <w:tcPr>
            <w:tcW w:w="712" w:type="pct"/>
          </w:tcPr>
          <w:p w:rsidR="000C5659" w:rsidRDefault="000C5659">
            <w:pPr>
              <w:ind w:right="73"/>
              <w:jc w:val="right"/>
            </w:pPr>
          </w:p>
        </w:tc>
        <w:tc>
          <w:tcPr>
            <w:tcW w:w="972" w:type="pct"/>
          </w:tcPr>
          <w:p w:rsidR="000C5659" w:rsidRDefault="000E33C4">
            <w:pPr>
              <w:ind w:right="73"/>
              <w:jc w:val="right"/>
            </w:pPr>
            <w:r>
              <w:rPr>
                <w:rFonts w:hint="eastAsia"/>
              </w:rPr>
              <w:t>26,628,177.46</w:t>
            </w:r>
          </w:p>
        </w:tc>
        <w:tc>
          <w:tcPr>
            <w:tcW w:w="1366" w:type="dxa"/>
          </w:tcPr>
          <w:p w:rsidR="000C5659" w:rsidRDefault="000E33C4">
            <w:pPr>
              <w:jc w:val="right"/>
              <w:textAlignment w:val="top"/>
              <w:rPr>
                <w:rFonts w:asciiTheme="minorEastAsia" w:eastAsiaTheme="minorEastAsia" w:hAnsiTheme="minorEastAsia" w:cstheme="minorEastAsia"/>
                <w:highlight w:val="yellow"/>
              </w:rPr>
            </w:pPr>
            <w:r>
              <w:rPr>
                <w:rFonts w:asciiTheme="minorEastAsia" w:eastAsiaTheme="minorEastAsia" w:hAnsiTheme="minorEastAsia" w:cstheme="minorEastAsia" w:hint="eastAsia"/>
                <w:color w:val="000000"/>
                <w:lang w:bidi="ar"/>
              </w:rPr>
              <w:t>10.86</w:t>
            </w:r>
          </w:p>
        </w:tc>
        <w:tc>
          <w:tcPr>
            <w:tcW w:w="816" w:type="pct"/>
          </w:tcPr>
          <w:p w:rsidR="000C5659" w:rsidRDefault="000E33C4">
            <w:pPr>
              <w:jc w:val="right"/>
            </w:pPr>
            <w:r>
              <w:rPr>
                <w:rFonts w:hint="eastAsia"/>
              </w:rPr>
              <w:t>1,331,408.87</w:t>
            </w:r>
          </w:p>
        </w:tc>
      </w:tr>
      <w:tr w:rsidR="000C5659">
        <w:trPr>
          <w:cantSplit/>
        </w:trPr>
        <w:tc>
          <w:tcPr>
            <w:tcW w:w="774" w:type="pct"/>
          </w:tcPr>
          <w:p w:rsidR="000C5659" w:rsidRDefault="000E33C4">
            <w:pPr>
              <w:ind w:right="105"/>
              <w:jc w:val="both"/>
              <w:rPr>
                <w:color w:val="000000" w:themeColor="text1"/>
              </w:rPr>
            </w:pPr>
            <w:r>
              <w:t>第三名</w:t>
            </w:r>
          </w:p>
        </w:tc>
        <w:tc>
          <w:tcPr>
            <w:tcW w:w="972" w:type="pct"/>
          </w:tcPr>
          <w:p w:rsidR="000C5659" w:rsidRDefault="000E33C4">
            <w:pPr>
              <w:ind w:right="73"/>
              <w:jc w:val="right"/>
            </w:pPr>
            <w:r>
              <w:rPr>
                <w:rFonts w:hint="eastAsia"/>
              </w:rPr>
              <w:t>17,026,395.08</w:t>
            </w:r>
          </w:p>
        </w:tc>
        <w:tc>
          <w:tcPr>
            <w:tcW w:w="712" w:type="pct"/>
          </w:tcPr>
          <w:p w:rsidR="000C5659" w:rsidRDefault="000C5659">
            <w:pPr>
              <w:ind w:right="73"/>
              <w:jc w:val="right"/>
            </w:pPr>
          </w:p>
        </w:tc>
        <w:tc>
          <w:tcPr>
            <w:tcW w:w="972" w:type="pct"/>
          </w:tcPr>
          <w:p w:rsidR="000C5659" w:rsidRDefault="000E33C4">
            <w:pPr>
              <w:ind w:right="73"/>
              <w:jc w:val="right"/>
            </w:pPr>
            <w:r>
              <w:rPr>
                <w:rFonts w:hint="eastAsia"/>
              </w:rPr>
              <w:t>17,026,395.08</w:t>
            </w:r>
          </w:p>
        </w:tc>
        <w:tc>
          <w:tcPr>
            <w:tcW w:w="1366" w:type="dxa"/>
          </w:tcPr>
          <w:p w:rsidR="000C5659" w:rsidRDefault="000E33C4">
            <w:pPr>
              <w:jc w:val="right"/>
              <w:textAlignment w:val="top"/>
              <w:rPr>
                <w:rFonts w:asciiTheme="minorEastAsia" w:eastAsiaTheme="minorEastAsia" w:hAnsiTheme="minorEastAsia" w:cstheme="minorEastAsia"/>
                <w:highlight w:val="yellow"/>
              </w:rPr>
            </w:pPr>
            <w:r>
              <w:rPr>
                <w:rFonts w:asciiTheme="minorEastAsia" w:eastAsiaTheme="minorEastAsia" w:hAnsiTheme="minorEastAsia" w:cstheme="minorEastAsia" w:hint="eastAsia"/>
                <w:color w:val="000000"/>
                <w:lang w:bidi="ar"/>
              </w:rPr>
              <w:t>6.95</w:t>
            </w:r>
          </w:p>
        </w:tc>
        <w:tc>
          <w:tcPr>
            <w:tcW w:w="816" w:type="pct"/>
          </w:tcPr>
          <w:p w:rsidR="000C5659" w:rsidRDefault="000E33C4">
            <w:pPr>
              <w:jc w:val="right"/>
            </w:pPr>
            <w:r>
              <w:rPr>
                <w:rFonts w:hint="eastAsia"/>
              </w:rPr>
              <w:t>851,319.75</w:t>
            </w:r>
          </w:p>
        </w:tc>
      </w:tr>
      <w:tr w:rsidR="000C5659">
        <w:trPr>
          <w:cantSplit/>
        </w:trPr>
        <w:tc>
          <w:tcPr>
            <w:tcW w:w="774" w:type="pct"/>
          </w:tcPr>
          <w:p w:rsidR="000C5659" w:rsidRDefault="000E33C4">
            <w:pPr>
              <w:ind w:right="105"/>
              <w:jc w:val="both"/>
              <w:rPr>
                <w:color w:val="000000" w:themeColor="text1"/>
              </w:rPr>
            </w:pPr>
            <w:r>
              <w:t>第四名</w:t>
            </w:r>
          </w:p>
        </w:tc>
        <w:tc>
          <w:tcPr>
            <w:tcW w:w="972" w:type="pct"/>
          </w:tcPr>
          <w:p w:rsidR="000C5659" w:rsidRDefault="000E33C4">
            <w:pPr>
              <w:ind w:right="73"/>
              <w:jc w:val="right"/>
            </w:pPr>
            <w:r>
              <w:rPr>
                <w:rFonts w:hint="eastAsia"/>
              </w:rPr>
              <w:t>16,319,081.53</w:t>
            </w:r>
          </w:p>
        </w:tc>
        <w:tc>
          <w:tcPr>
            <w:tcW w:w="712" w:type="pct"/>
          </w:tcPr>
          <w:p w:rsidR="000C5659" w:rsidRDefault="000C5659">
            <w:pPr>
              <w:ind w:right="73"/>
              <w:jc w:val="right"/>
            </w:pPr>
          </w:p>
        </w:tc>
        <w:tc>
          <w:tcPr>
            <w:tcW w:w="972" w:type="pct"/>
          </w:tcPr>
          <w:p w:rsidR="000C5659" w:rsidRDefault="000E33C4">
            <w:pPr>
              <w:ind w:right="73"/>
              <w:jc w:val="right"/>
            </w:pPr>
            <w:r>
              <w:rPr>
                <w:rFonts w:hint="eastAsia"/>
              </w:rPr>
              <w:t>16,319,081.53</w:t>
            </w:r>
          </w:p>
        </w:tc>
        <w:tc>
          <w:tcPr>
            <w:tcW w:w="1366" w:type="dxa"/>
          </w:tcPr>
          <w:p w:rsidR="000C5659" w:rsidRDefault="000E33C4">
            <w:pPr>
              <w:jc w:val="right"/>
              <w:textAlignment w:val="top"/>
              <w:rPr>
                <w:rFonts w:asciiTheme="minorEastAsia" w:eastAsiaTheme="minorEastAsia" w:hAnsiTheme="minorEastAsia" w:cstheme="minorEastAsia"/>
                <w:highlight w:val="yellow"/>
              </w:rPr>
            </w:pPr>
            <w:r>
              <w:rPr>
                <w:rFonts w:asciiTheme="minorEastAsia" w:eastAsiaTheme="minorEastAsia" w:hAnsiTheme="minorEastAsia" w:cstheme="minorEastAsia" w:hint="eastAsia"/>
                <w:color w:val="000000"/>
                <w:lang w:bidi="ar"/>
              </w:rPr>
              <w:t>6.66</w:t>
            </w:r>
          </w:p>
        </w:tc>
        <w:tc>
          <w:tcPr>
            <w:tcW w:w="816" w:type="pct"/>
          </w:tcPr>
          <w:p w:rsidR="000C5659" w:rsidRDefault="000E33C4">
            <w:pPr>
              <w:jc w:val="right"/>
            </w:pPr>
            <w:r>
              <w:rPr>
                <w:rFonts w:hint="eastAsia"/>
              </w:rPr>
              <w:t>815,954.08</w:t>
            </w:r>
          </w:p>
        </w:tc>
      </w:tr>
      <w:tr w:rsidR="000C5659">
        <w:trPr>
          <w:cantSplit/>
        </w:trPr>
        <w:tc>
          <w:tcPr>
            <w:tcW w:w="774" w:type="pct"/>
          </w:tcPr>
          <w:p w:rsidR="000C5659" w:rsidRDefault="000E33C4">
            <w:pPr>
              <w:ind w:right="105"/>
              <w:jc w:val="both"/>
              <w:rPr>
                <w:color w:val="000000" w:themeColor="text1"/>
              </w:rPr>
            </w:pPr>
            <w:r>
              <w:t>第五名</w:t>
            </w:r>
          </w:p>
        </w:tc>
        <w:tc>
          <w:tcPr>
            <w:tcW w:w="972" w:type="pct"/>
          </w:tcPr>
          <w:p w:rsidR="000C5659" w:rsidRDefault="000E33C4">
            <w:pPr>
              <w:ind w:right="73"/>
              <w:jc w:val="right"/>
            </w:pPr>
            <w:r>
              <w:rPr>
                <w:rFonts w:hint="eastAsia"/>
              </w:rPr>
              <w:t>11,223,388.13</w:t>
            </w:r>
          </w:p>
        </w:tc>
        <w:tc>
          <w:tcPr>
            <w:tcW w:w="712" w:type="pct"/>
          </w:tcPr>
          <w:p w:rsidR="000C5659" w:rsidRDefault="000C5659">
            <w:pPr>
              <w:ind w:right="73"/>
              <w:jc w:val="right"/>
            </w:pPr>
          </w:p>
        </w:tc>
        <w:tc>
          <w:tcPr>
            <w:tcW w:w="972" w:type="pct"/>
          </w:tcPr>
          <w:p w:rsidR="000C5659" w:rsidRDefault="000E33C4">
            <w:pPr>
              <w:ind w:right="73"/>
              <w:jc w:val="right"/>
            </w:pPr>
            <w:r>
              <w:rPr>
                <w:rFonts w:hint="eastAsia"/>
              </w:rPr>
              <w:t>11,223,388.13</w:t>
            </w:r>
          </w:p>
        </w:tc>
        <w:tc>
          <w:tcPr>
            <w:tcW w:w="1366" w:type="dxa"/>
          </w:tcPr>
          <w:p w:rsidR="000C5659" w:rsidRDefault="000E33C4">
            <w:pPr>
              <w:jc w:val="right"/>
              <w:textAlignment w:val="top"/>
              <w:rPr>
                <w:rFonts w:asciiTheme="minorEastAsia" w:eastAsiaTheme="minorEastAsia" w:hAnsiTheme="minorEastAsia" w:cstheme="minorEastAsia"/>
                <w:highlight w:val="yellow"/>
              </w:rPr>
            </w:pPr>
            <w:r>
              <w:rPr>
                <w:rFonts w:asciiTheme="minorEastAsia" w:eastAsiaTheme="minorEastAsia" w:hAnsiTheme="minorEastAsia" w:cstheme="minorEastAsia" w:hint="eastAsia"/>
                <w:color w:val="000000"/>
                <w:lang w:bidi="ar"/>
              </w:rPr>
              <w:t>4.58</w:t>
            </w:r>
          </w:p>
        </w:tc>
        <w:tc>
          <w:tcPr>
            <w:tcW w:w="816" w:type="pct"/>
          </w:tcPr>
          <w:p w:rsidR="000C5659" w:rsidRDefault="000E33C4">
            <w:pPr>
              <w:jc w:val="right"/>
            </w:pPr>
            <w:r>
              <w:rPr>
                <w:rFonts w:hint="eastAsia"/>
              </w:rPr>
              <w:t>561,169.41</w:t>
            </w:r>
          </w:p>
        </w:tc>
      </w:tr>
      <w:tr w:rsidR="000C5659">
        <w:trPr>
          <w:cantSplit/>
        </w:trPr>
        <w:tc>
          <w:tcPr>
            <w:tcW w:w="774" w:type="pct"/>
          </w:tcPr>
          <w:p w:rsidR="000C5659" w:rsidRDefault="000E33C4">
            <w:pPr>
              <w:ind w:right="105"/>
              <w:jc w:val="center"/>
              <w:rPr>
                <w:color w:val="000000" w:themeColor="text1"/>
              </w:rPr>
            </w:pPr>
            <w:r>
              <w:rPr>
                <w:rFonts w:hint="eastAsia"/>
                <w:color w:val="000000" w:themeColor="text1"/>
              </w:rPr>
              <w:t>合计</w:t>
            </w:r>
          </w:p>
        </w:tc>
        <w:tc>
          <w:tcPr>
            <w:tcW w:w="972" w:type="pct"/>
          </w:tcPr>
          <w:p w:rsidR="000C5659" w:rsidRDefault="000E33C4">
            <w:pPr>
              <w:ind w:right="73"/>
              <w:jc w:val="right"/>
            </w:pPr>
            <w:r>
              <w:rPr>
                <w:rFonts w:hint="eastAsia"/>
              </w:rPr>
              <w:t>106,523,730.01</w:t>
            </w:r>
          </w:p>
        </w:tc>
        <w:tc>
          <w:tcPr>
            <w:tcW w:w="712" w:type="pct"/>
          </w:tcPr>
          <w:p w:rsidR="000C5659" w:rsidRDefault="000C5659">
            <w:pPr>
              <w:ind w:right="73"/>
              <w:jc w:val="right"/>
            </w:pPr>
          </w:p>
        </w:tc>
        <w:tc>
          <w:tcPr>
            <w:tcW w:w="972" w:type="pct"/>
          </w:tcPr>
          <w:p w:rsidR="000C5659" w:rsidRDefault="000E33C4">
            <w:pPr>
              <w:ind w:right="73"/>
              <w:jc w:val="right"/>
            </w:pPr>
            <w:r>
              <w:rPr>
                <w:rFonts w:hint="eastAsia"/>
              </w:rPr>
              <w:t>106,523,730.01</w:t>
            </w:r>
          </w:p>
        </w:tc>
        <w:tc>
          <w:tcPr>
            <w:tcW w:w="1366" w:type="dxa"/>
          </w:tcPr>
          <w:p w:rsidR="000C5659" w:rsidRDefault="000E33C4">
            <w:pPr>
              <w:jc w:val="right"/>
              <w:textAlignment w:val="top"/>
              <w:rPr>
                <w:rFonts w:asciiTheme="minorEastAsia" w:eastAsiaTheme="minorEastAsia" w:hAnsiTheme="minorEastAsia" w:cstheme="minorEastAsia"/>
                <w:highlight w:val="yellow"/>
              </w:rPr>
            </w:pPr>
            <w:r>
              <w:rPr>
                <w:rFonts w:asciiTheme="minorEastAsia" w:eastAsiaTheme="minorEastAsia" w:hAnsiTheme="minorEastAsia" w:cstheme="minorEastAsia" w:hint="eastAsia"/>
                <w:color w:val="000000"/>
                <w:lang w:bidi="ar"/>
              </w:rPr>
              <w:t>43.45</w:t>
            </w:r>
          </w:p>
        </w:tc>
        <w:tc>
          <w:tcPr>
            <w:tcW w:w="816" w:type="pct"/>
          </w:tcPr>
          <w:p w:rsidR="000C5659" w:rsidRDefault="000E33C4">
            <w:pPr>
              <w:jc w:val="right"/>
            </w:pPr>
            <w:r>
              <w:rPr>
                <w:rFonts w:hint="eastAsia"/>
              </w:rPr>
              <w:t>5,326,186.50</w:t>
            </w:r>
          </w:p>
        </w:tc>
      </w:tr>
    </w:tbl>
    <w:p w:rsidR="000C5659" w:rsidRDefault="000C5659">
      <w:pPr>
        <w:rPr>
          <w:color w:val="000000" w:themeColor="text1"/>
        </w:rPr>
      </w:pPr>
    </w:p>
    <w:p w:rsidR="000C5659" w:rsidRDefault="000E33C4">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5c27d22f220747b1ae5c245364a28655"/>
        <w:id w:val="1398943299"/>
        <w:placeholder>
          <w:docPart w:val="GBC22222222222222222222222222222"/>
        </w:placeholder>
      </w:sdtPr>
      <w:sdtEndPr/>
      <w:sdtContent>
        <w:p w:rsidR="000C5659" w:rsidRDefault="000E33C4">
          <w:pPr>
            <w:snapToGrid w:val="0"/>
            <w:spacing w:line="240" w:lineRule="atLeast"/>
            <w:rPr>
              <w:color w:val="000000" w:themeColor="text1"/>
            </w:rPr>
          </w:pPr>
          <w:r>
            <w:rPr>
              <w:rFonts w:hint="eastAsia"/>
              <w:color w:val="000000" w:themeColor="text1"/>
            </w:rPr>
            <w:t>无</w:t>
          </w:r>
        </w:p>
      </w:sdtContent>
    </w:sdt>
    <w:p w:rsidR="000C5659" w:rsidRDefault="000C5659">
      <w:pPr>
        <w:snapToGrid w:val="0"/>
        <w:spacing w:line="240" w:lineRule="atLeast"/>
        <w:rPr>
          <w:rFonts w:ascii="Times New Roman" w:hAnsi="Times New Roman"/>
          <w:color w:val="000000" w:themeColor="text1"/>
        </w:rPr>
      </w:pPr>
    </w:p>
    <w:bookmarkEnd w:id="171"/>
    <w:p w:rsidR="000C5659" w:rsidRDefault="000E33C4">
      <w:pPr>
        <w:snapToGrid w:val="0"/>
        <w:spacing w:line="240" w:lineRule="atLeast"/>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应收账款其他说明[双击切换]"/>
        <w:tag w:val="_GBC_c06434ba43c5400a80d620a65b730fd9"/>
        <w:id w:val="445430025"/>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172" w:name="_Hlk10470760"/>
      <w:r>
        <w:rPr>
          <w:color w:val="000000" w:themeColor="text1"/>
          <w:szCs w:val="21"/>
        </w:rPr>
        <w:t>合同资产</w:t>
      </w:r>
    </w:p>
    <w:p w:rsidR="000C5659" w:rsidRDefault="000E33C4" w:rsidP="000743DD">
      <w:pPr>
        <w:pStyle w:val="43"/>
        <w:numPr>
          <w:ilvl w:val="3"/>
          <w:numId w:val="53"/>
        </w:numPr>
        <w:ind w:left="426" w:hanging="426"/>
        <w:rPr>
          <w:rFonts w:ascii="宋体" w:hAnsi="宋体"/>
          <w:color w:val="000000" w:themeColor="text1"/>
        </w:rPr>
      </w:pPr>
      <w:r>
        <w:rPr>
          <w:rFonts w:ascii="宋体" w:hAnsi="宋体" w:hint="eastAsia"/>
          <w:color w:val="000000" w:themeColor="text1"/>
        </w:rPr>
        <w:t>合同资产情况</w:t>
      </w:r>
    </w:p>
    <w:sdt>
      <w:sdtPr>
        <w:rPr>
          <w:color w:val="000000" w:themeColor="text1"/>
        </w:rPr>
        <w:alias w:val="是否适用：合同资产情况[双击切换]"/>
        <w:tag w:val="_GBC_d77156d135184e21a21238cac863494c"/>
        <w:id w:val="-28744269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3"/>
        </w:numPr>
        <w:ind w:left="426" w:hanging="426"/>
        <w:rPr>
          <w:rFonts w:ascii="宋体" w:hAnsi="宋体"/>
          <w:color w:val="000000" w:themeColor="text1"/>
        </w:rPr>
      </w:pPr>
      <w:bookmarkStart w:id="173" w:name="_Hlk10470932"/>
      <w:bookmarkStart w:id="174" w:name="_Hlk10470942"/>
      <w:bookmarkEnd w:id="172"/>
      <w:r>
        <w:rPr>
          <w:rFonts w:ascii="宋体" w:hAnsi="宋体" w:hint="eastAsia"/>
          <w:color w:val="000000" w:themeColor="text1"/>
        </w:rPr>
        <w:t>报告期内账面价值发生重大变动的金额和原因</w:t>
      </w:r>
      <w:bookmarkEnd w:id="173"/>
    </w:p>
    <w:sdt>
      <w:sdtPr>
        <w:rPr>
          <w:color w:val="000000" w:themeColor="text1"/>
        </w:rPr>
        <w:alias w:val="是否适用：合同资产账面价值发生重大变动[双击切换]"/>
        <w:tag w:val="_GBC_4cdeacc1c4f24682b8d7fe35b510e9c1"/>
        <w:id w:val="-195478033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3"/>
        </w:numPr>
        <w:ind w:left="426" w:hanging="426"/>
        <w:rPr>
          <w:rFonts w:ascii="宋体" w:hAnsi="宋体"/>
          <w:color w:val="000000" w:themeColor="text1"/>
        </w:rPr>
      </w:pPr>
      <w:bookmarkStart w:id="175" w:name="_Hlk153378989"/>
      <w:bookmarkStart w:id="176" w:name="_Hlk167887721"/>
      <w:bookmarkEnd w:id="174"/>
      <w:r>
        <w:rPr>
          <w:rFonts w:ascii="宋体" w:hAnsi="宋体" w:hint="eastAsia"/>
          <w:color w:val="000000" w:themeColor="text1"/>
        </w:rPr>
        <w:lastRenderedPageBreak/>
        <w:t>按坏账计提方法分类披露</w:t>
      </w:r>
    </w:p>
    <w:sdt>
      <w:sdtPr>
        <w:rPr>
          <w:color w:val="000000" w:themeColor="text1"/>
        </w:rPr>
        <w:alias w:val="是否适用：按坏账计提方法分类披露[双击切换]"/>
        <w:tag w:val="_GBC_2da6ba8f38a7432c80d6aa0ccacbb195"/>
        <w:id w:val="-113070623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c0b8b61f599949688a3e43c3f6163421"/>
        <w:id w:val="-3833317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027a4c6e526b4492855a75bfb12d58be"/>
        <w:id w:val="-197998943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059f7dfd74cd41d4b2b8918cfc3d067f"/>
        <w:id w:val="-1147436781"/>
        <w:placeholder>
          <w:docPart w:val="GBC22222222222222222222222222222"/>
        </w:placeholder>
      </w:sdtPr>
      <w:sdtEndPr/>
      <w:sdtContent>
        <w:p w:rsidR="000C5659" w:rsidRDefault="000E33C4">
          <w:pPr>
            <w:rPr>
              <w:color w:val="000000" w:themeColor="text1"/>
            </w:rPr>
          </w:pP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0C5659" w:rsidRDefault="000C5659">
      <w:pPr>
        <w:rPr>
          <w:rFonts w:ascii="Calibri" w:hAnsi="Calibri" w:cs="Times New Roman"/>
          <w:b/>
          <w:color w:val="000000" w:themeColor="text1"/>
          <w:szCs w:val="22"/>
        </w:rPr>
      </w:pPr>
    </w:p>
    <w:p w:rsidR="000C5659" w:rsidRDefault="000E33C4">
      <w:pPr>
        <w:rPr>
          <w:rFonts w:cstheme="minorBidi"/>
          <w:color w:val="000000" w:themeColor="text1"/>
          <w:szCs w:val="22"/>
        </w:rPr>
      </w:pPr>
      <w:bookmarkStart w:id="177" w:name="_Hlk153379126"/>
      <w:bookmarkStart w:id="178" w:name="_Hlk154135145"/>
      <w:bookmarkEnd w:id="175"/>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9ccc97f60d514bd1ad20e654db46063f"/>
        <w:id w:val="220879667"/>
        <w:placeholder>
          <w:docPart w:val="GBC22222222222222222222222222222"/>
        </w:placeholder>
      </w:sdtPr>
      <w:sdtEndPr/>
      <w:sdtContent>
        <w:p w:rsidR="000C5659" w:rsidRDefault="000E33C4">
          <w:pPr>
            <w:autoSpaceDE w:val="0"/>
            <w:autoSpaceDN w:val="0"/>
            <w:adjustRightInd w:val="0"/>
            <w:ind w:rightChars="50" w:right="105"/>
            <w:rPr>
              <w:rFonts w:cstheme="minorBidi"/>
              <w:color w:val="000000" w:themeColor="text1"/>
              <w:szCs w:val="22"/>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C5659">
      <w:pPr>
        <w:autoSpaceDE w:val="0"/>
        <w:autoSpaceDN w:val="0"/>
        <w:adjustRightInd w:val="0"/>
        <w:ind w:rightChars="50" w:right="105"/>
        <w:rPr>
          <w:rFonts w:cstheme="minorBidi"/>
          <w:color w:val="000000" w:themeColor="text1"/>
          <w:szCs w:val="22"/>
        </w:rPr>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27f65e0b0d264d76ba6ef36044133df3"/>
        <w:id w:val="122814278"/>
        <w:placeholder>
          <w:docPart w:val="GBC22222222222222222222222222222"/>
        </w:placeholder>
      </w:sdtPr>
      <w:sdtEndPr/>
      <w:sdtContent>
        <w:p w:rsidR="000C5659" w:rsidRDefault="000E33C4">
          <w:pPr>
            <w:rPr>
              <w:rFonts w:cs="Times New Roman"/>
              <w:color w:val="000000" w:themeColor="text1"/>
              <w:szCs w:val="22"/>
            </w:rPr>
          </w:pPr>
          <w:r>
            <w:rPr>
              <w:rFonts w:cs="Times New Roman" w:hint="eastAsia"/>
              <w:color w:val="000000" w:themeColor="text1"/>
              <w:szCs w:val="22"/>
            </w:rPr>
            <w:t>无</w:t>
          </w:r>
        </w:p>
      </w:sdtContent>
    </w:sdt>
    <w:p w:rsidR="000C5659" w:rsidRDefault="000C5659">
      <w:pPr>
        <w:pStyle w:val="Style197"/>
        <w:rPr>
          <w:color w:val="000000" w:themeColor="text1"/>
          <w:kern w:val="0"/>
          <w:szCs w:val="24"/>
        </w:rPr>
      </w:pPr>
    </w:p>
    <w:p w:rsidR="000C5659" w:rsidRDefault="000E33C4">
      <w:pPr>
        <w:pStyle w:val="Style197"/>
        <w:rPr>
          <w:color w:val="000000" w:themeColor="text1"/>
        </w:rPr>
      </w:pPr>
      <w:r>
        <w:rPr>
          <w:rFonts w:hint="eastAsia"/>
          <w:color w:val="000000" w:themeColor="text1"/>
        </w:rPr>
        <w:t>对本期发生损失准备变动的合同资产账面余额显著变动的情况说明：</w:t>
      </w:r>
    </w:p>
    <w:sdt>
      <w:sdtPr>
        <w:rPr>
          <w:color w:val="000000" w:themeColor="text1"/>
        </w:rPr>
        <w:alias w:val="是否适用：对本期发生损失准备变动的账面余额显著变动的情况说明[双击切换]"/>
        <w:tag w:val="_GBC_52ea8710f03d45c5bdb89559e11daa51"/>
        <w:id w:val="-1583213295"/>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asciiTheme="minorHAnsi" w:hAnsiTheme="minorHAnsi" w:cstheme="minorBidi"/>
          <w:b/>
          <w:color w:val="000000" w:themeColor="text1"/>
          <w:szCs w:val="22"/>
        </w:rPr>
      </w:pPr>
    </w:p>
    <w:p w:rsidR="000C5659" w:rsidRDefault="000E33C4" w:rsidP="000743DD">
      <w:pPr>
        <w:pStyle w:val="43"/>
        <w:numPr>
          <w:ilvl w:val="3"/>
          <w:numId w:val="53"/>
        </w:numPr>
        <w:ind w:left="426" w:hanging="426"/>
        <w:rPr>
          <w:rFonts w:ascii="宋体" w:hAnsi="宋体"/>
          <w:color w:val="000000" w:themeColor="text1"/>
        </w:rPr>
      </w:pPr>
      <w:bookmarkStart w:id="179" w:name="_Hlk10470956"/>
      <w:bookmarkStart w:id="180" w:name="_Hlk10470966"/>
      <w:bookmarkEnd w:id="176"/>
      <w:bookmarkEnd w:id="177"/>
      <w:bookmarkEnd w:id="178"/>
      <w:r>
        <w:rPr>
          <w:rFonts w:ascii="宋体" w:hAnsi="宋体" w:hint="eastAsia"/>
          <w:color w:val="000000" w:themeColor="text1"/>
        </w:rPr>
        <w:t>本期合同资产计提坏账准备情况</w:t>
      </w:r>
      <w:bookmarkEnd w:id="179"/>
    </w:p>
    <w:sdt>
      <w:sdtPr>
        <w:rPr>
          <w:color w:val="000000" w:themeColor="text1"/>
        </w:rPr>
        <w:alias w:val="是否适用：合同资产减值准备[双击切换]"/>
        <w:tag w:val="_GBC_47f239b7a5d442b0a0a358017de09567"/>
        <w:id w:val="-197266123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181" w:name="_Hlk167888739"/>
      <w:bookmarkEnd w:id="180"/>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a496695d0eb4d6eaee4f7f7f7615f95"/>
        <w:id w:val="185260777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坏账准备情况的说明"/>
        <w:tag w:val="_GBC_1e07c21bc8844634b0354dd2ff775cf3"/>
        <w:id w:val="482129470"/>
        <w:placeholder>
          <w:docPart w:val="GBC22222222222222222222222222222"/>
        </w:placeholder>
      </w:sdtPr>
      <w:sdtEndPr/>
      <w:sdtContent>
        <w:p w:rsidR="000C5659" w:rsidRDefault="000E33C4">
          <w:pPr>
            <w:ind w:rightChars="20" w:right="42"/>
            <w:rPr>
              <w:color w:val="000000" w:themeColor="text1"/>
            </w:rPr>
          </w:pPr>
          <w:r>
            <w:rPr>
              <w:rFonts w:hint="eastAsia"/>
              <w:color w:val="000000" w:themeColor="text1"/>
            </w:rPr>
            <w:t>无</w:t>
          </w:r>
        </w:p>
      </w:sdtContent>
    </w:sdt>
    <w:p w:rsidR="000C5659" w:rsidRDefault="000C5659">
      <w:pPr>
        <w:ind w:rightChars="-759" w:right="-1594"/>
        <w:rPr>
          <w:color w:val="000000" w:themeColor="text1"/>
        </w:rPr>
      </w:pPr>
    </w:p>
    <w:p w:rsidR="000C5659" w:rsidRDefault="000E33C4" w:rsidP="000743DD">
      <w:pPr>
        <w:pStyle w:val="43"/>
        <w:numPr>
          <w:ilvl w:val="3"/>
          <w:numId w:val="53"/>
        </w:numPr>
        <w:ind w:left="426" w:hanging="426"/>
        <w:rPr>
          <w:rFonts w:ascii="宋体" w:hAnsi="宋体"/>
          <w:color w:val="000000" w:themeColor="text1"/>
        </w:rPr>
      </w:pPr>
      <w:bookmarkStart w:id="182" w:name="_Hlk153379426"/>
      <w:bookmarkStart w:id="183" w:name="_Hlk167888904"/>
      <w:bookmarkEnd w:id="181"/>
      <w:r>
        <w:rPr>
          <w:rFonts w:ascii="宋体" w:hAnsi="宋体" w:hint="eastAsia"/>
          <w:color w:val="000000" w:themeColor="text1"/>
        </w:rPr>
        <w:t>本期实际核销的合同资产情况</w:t>
      </w:r>
    </w:p>
    <w:sdt>
      <w:sdtPr>
        <w:rPr>
          <w:color w:val="000000" w:themeColor="text1"/>
        </w:rPr>
        <w:alias w:val="是否适用：实际核销的情况[双击切换]"/>
        <w:tag w:val="_GBC_a2fe224348004dacb76f7686b01b39be"/>
        <w:id w:val="-10705001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其中重要的合同资产核销情况</w:t>
      </w:r>
    </w:p>
    <w:sdt>
      <w:sdtPr>
        <w:rPr>
          <w:rFonts w:hint="eastAsia"/>
          <w:color w:val="000000" w:themeColor="text1"/>
        </w:rPr>
        <w:alias w:val="是否适用：重要的核销情况[双击切换]"/>
        <w:tag w:val="_GBC_6bcd1c712b36426ab4d08b134810344a"/>
        <w:id w:val="-1921478735"/>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合同资产核销说明：</w:t>
      </w:r>
    </w:p>
    <w:sdt>
      <w:sdtPr>
        <w:rPr>
          <w:color w:val="000000" w:themeColor="text1"/>
        </w:rPr>
        <w:alias w:val="是否适用：核销说明[双击切换]"/>
        <w:tag w:val="_GBC_63a73902686f443c9c4dcd3cd18e6da4"/>
        <w:id w:val="-97784139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184" w:name="_Hlk10471002"/>
      <w:bookmarkStart w:id="185" w:name="_Hlk10471011"/>
      <w:bookmarkEnd w:id="182"/>
      <w:bookmarkEnd w:id="183"/>
      <w:r>
        <w:rPr>
          <w:rFonts w:hint="eastAsia"/>
          <w:color w:val="000000" w:themeColor="text1"/>
        </w:rPr>
        <w:t>其他说明：</w:t>
      </w:r>
      <w:bookmarkEnd w:id="184"/>
    </w:p>
    <w:sdt>
      <w:sdtPr>
        <w:rPr>
          <w:color w:val="000000" w:themeColor="text1"/>
        </w:rPr>
        <w:alias w:val="是否适用：合同资产其他说明[双击切换]"/>
        <w:tag w:val="_GBC_06cd3c0f93454d76bd0c7e20322e8a49"/>
        <w:id w:val="48637089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185"/>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186" w:name="_Hlk24102175"/>
      <w:bookmarkStart w:id="187" w:name="_Hlk167889313"/>
      <w:r>
        <w:rPr>
          <w:color w:val="000000" w:themeColor="text1"/>
          <w:szCs w:val="21"/>
        </w:rPr>
        <w:t>应收款项融资</w:t>
      </w:r>
    </w:p>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应收款项融资分类列示</w:t>
      </w:r>
    </w:p>
    <w:sdt>
      <w:sdtPr>
        <w:rPr>
          <w:color w:val="000000" w:themeColor="text1"/>
        </w:rPr>
        <w:alias w:val="是否适用：应收款项融资[双击切换]"/>
        <w:tag w:val="_GBC_ef490af2ae9646548061648e78d3873a"/>
        <w:id w:val="-100737118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ind w:left="420" w:right="-98"/>
        <w:jc w:val="right"/>
        <w:rPr>
          <w:color w:val="000000" w:themeColor="text1"/>
        </w:rPr>
      </w:pPr>
      <w:r>
        <w:rPr>
          <w:rFonts w:hint="eastAsia"/>
          <w:color w:val="000000" w:themeColor="text1"/>
        </w:rPr>
        <w:t xml:space="preserve">  单位：</w:t>
      </w:r>
      <w:sdt>
        <w:sdtPr>
          <w:rPr>
            <w:rFonts w:hint="eastAsia"/>
            <w:color w:val="000000" w:themeColor="text1"/>
          </w:rPr>
          <w:alias w:val="单位：应收款项融资"/>
          <w:tag w:val="_GBC_7cda8ff350bd4c7eba83f28198343ec1"/>
          <w:id w:val="10459445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应收款项融资"/>
          <w:tag w:val="_GBC_a63c9a5583bd46debcf8ddc8f5c8b5c5"/>
          <w:id w:val="-135564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824"/>
        <w:gridCol w:w="2834"/>
      </w:tblGrid>
      <w:tr w:rsidR="000C5659">
        <w:bookmarkStart w:id="188" w:name="_Hlk13057555" w:displacedByCustomXml="next"/>
        <w:bookmarkStart w:id="189" w:name="_Hlk12969247" w:displacedByCustomXml="next"/>
        <w:sdt>
          <w:sdtPr>
            <w:rPr>
              <w:color w:val="000000" w:themeColor="text1"/>
            </w:rPr>
            <w:tag w:val="_PLD_17a5cb5b46ad4341aab7ca7400bbb71f"/>
            <w:id w:val="-1024087568"/>
          </w:sdtPr>
          <w:sdtEndPr/>
          <w:sdtContent>
            <w:tc>
              <w:tcPr>
                <w:tcW w:w="1793"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22382bb64684420586d7f6150fc2ba41"/>
            <w:id w:val="-955258692"/>
          </w:sdtPr>
          <w:sdtEndPr/>
          <w:sdtContent>
            <w:tc>
              <w:tcPr>
                <w:tcW w:w="1600"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ea864dd29d6649ad84845cfd97103d69"/>
            <w:id w:val="-504906319"/>
          </w:sdtPr>
          <w:sdtEndPr/>
          <w:sdtContent>
            <w:tc>
              <w:tcPr>
                <w:tcW w:w="1605"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0C5659">
        <w:tc>
          <w:tcPr>
            <w:tcW w:w="1793" w:type="pct"/>
            <w:shd w:val="clear" w:color="auto" w:fill="auto"/>
          </w:tcPr>
          <w:p w:rsidR="000C5659" w:rsidRDefault="000E33C4">
            <w:pPr>
              <w:autoSpaceDE w:val="0"/>
              <w:autoSpaceDN w:val="0"/>
              <w:adjustRightInd w:val="0"/>
            </w:pPr>
            <w:r>
              <w:rPr>
                <w:rFonts w:hint="eastAsia"/>
              </w:rPr>
              <w:t>应收银行承兑汇票</w:t>
            </w:r>
          </w:p>
        </w:tc>
        <w:tc>
          <w:tcPr>
            <w:tcW w:w="1600" w:type="pct"/>
            <w:shd w:val="clear" w:color="auto" w:fill="auto"/>
          </w:tcPr>
          <w:p w:rsidR="000C5659" w:rsidRDefault="000E33C4">
            <w:pPr>
              <w:jc w:val="right"/>
            </w:pPr>
            <w:r>
              <w:rPr>
                <w:rFonts w:hint="eastAsia"/>
              </w:rPr>
              <w:t>1,036,675.50</w:t>
            </w:r>
          </w:p>
        </w:tc>
        <w:tc>
          <w:tcPr>
            <w:tcW w:w="1605" w:type="pct"/>
            <w:shd w:val="clear" w:color="auto" w:fill="auto"/>
          </w:tcPr>
          <w:p w:rsidR="000C5659" w:rsidRDefault="000E33C4">
            <w:pPr>
              <w:jc w:val="right"/>
            </w:pPr>
            <w:r>
              <w:t>6,494,371.77</w:t>
            </w:r>
          </w:p>
        </w:tc>
      </w:tr>
      <w:tr w:rsidR="000C5659">
        <w:tc>
          <w:tcPr>
            <w:tcW w:w="1793" w:type="pct"/>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1600" w:type="pct"/>
            <w:shd w:val="clear" w:color="auto" w:fill="auto"/>
          </w:tcPr>
          <w:p w:rsidR="000C5659" w:rsidRDefault="000E33C4">
            <w:pPr>
              <w:jc w:val="right"/>
            </w:pPr>
            <w:r>
              <w:rPr>
                <w:rFonts w:hint="eastAsia"/>
              </w:rPr>
              <w:t>1,036,675.50</w:t>
            </w:r>
          </w:p>
        </w:tc>
        <w:tc>
          <w:tcPr>
            <w:tcW w:w="1605" w:type="pct"/>
            <w:shd w:val="clear" w:color="auto" w:fill="auto"/>
          </w:tcPr>
          <w:p w:rsidR="000C5659" w:rsidRDefault="000E33C4">
            <w:pPr>
              <w:jc w:val="right"/>
            </w:pPr>
            <w:r>
              <w:t>6,494,371.77</w:t>
            </w:r>
          </w:p>
        </w:tc>
      </w:tr>
    </w:tbl>
    <w:p w:rsidR="000C5659" w:rsidRDefault="000C5659">
      <w:pPr>
        <w:rPr>
          <w:color w:val="000000" w:themeColor="text1"/>
        </w:rPr>
      </w:pPr>
    </w:p>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期末公司已质押的应收款项融资</w:t>
      </w:r>
    </w:p>
    <w:sdt>
      <w:sdtPr>
        <w:rPr>
          <w:color w:val="000000" w:themeColor="text1"/>
        </w:rPr>
        <w:alias w:val="是否适用：期末公司已质押的应收款项融资[双击切换]"/>
        <w:tag w:val="_GBC_be6effae9a0c46449ee5beec6506abc0"/>
        <w:id w:val="-159686218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期末公司已背书或贴现且在资产负债表日尚未到期的应收款项融资</w:t>
      </w:r>
    </w:p>
    <w:sdt>
      <w:sdtPr>
        <w:rPr>
          <w:color w:val="000000" w:themeColor="text1"/>
        </w:rPr>
        <w:alias w:val="是否适用：期末公司已背书或贴现且在资产负债表日尚未到期的应收款项融资[双击切换]"/>
        <w:tag w:val="_GBC_5aba7034811c436e8fdb090306fae25a"/>
        <w:id w:val="13631559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期末公司已背书或贴现且在资产负债表日尚未到期的应收款项融资"/>
          <w:tag w:val="_GBC_5629d3c7de2b430d964f79cd2922bbdd"/>
          <w:id w:val="-1401363537"/>
          <w:placeholder>
            <w:docPart w:val="{ea5d074c-0e72-49b2-acdc-0257bb670355}"/>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期末公司已背书或贴现且在资产负债表日尚未到期的应收款项融资"/>
          <w:tag w:val="_GBC_842647628955436292dcb5dbd82fc82a"/>
          <w:id w:val="-60103532"/>
          <w:placeholder>
            <w:docPart w:val="{ea5d074c-0e72-49b2-acdc-0257bb670355}"/>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B708C8">
            <w:rPr>
              <w:rFonts w:hint="eastAsia"/>
              <w:color w:val="000000" w:themeColor="text1"/>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0C5659">
        <w:sdt>
          <w:sdtPr>
            <w:rPr>
              <w:rFonts w:hint="eastAsia"/>
              <w:color w:val="000000" w:themeColor="text1"/>
            </w:rPr>
            <w:tag w:val="_PLD_61ee0c7055824e0a8c4e9342c43c1998"/>
            <w:id w:val="1469549980"/>
          </w:sdtPr>
          <w:sdtEndPr/>
          <w:sdtContent>
            <w:tc>
              <w:tcPr>
                <w:tcW w:w="2877" w:type="dxa"/>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rFonts w:hint="eastAsia"/>
              <w:color w:val="000000" w:themeColor="text1"/>
            </w:rPr>
            <w:tag w:val="_PLD_ee215b5b595d4f9087594da41584b53d"/>
            <w:id w:val="-755669746"/>
          </w:sdtPr>
          <w:sdtEndPr/>
          <w:sdtContent>
            <w:tc>
              <w:tcPr>
                <w:tcW w:w="3050" w:type="dxa"/>
                <w:shd w:val="clear" w:color="auto" w:fill="auto"/>
                <w:vAlign w:val="center"/>
              </w:tcPr>
              <w:p w:rsidR="000C5659" w:rsidRDefault="000E33C4">
                <w:pPr>
                  <w:jc w:val="center"/>
                  <w:rPr>
                    <w:color w:val="000000" w:themeColor="text1"/>
                  </w:rPr>
                </w:pPr>
                <w:r>
                  <w:rPr>
                    <w:rFonts w:hint="eastAsia"/>
                    <w:color w:val="000000" w:themeColor="text1"/>
                  </w:rPr>
                  <w:t>期末终止确认金额</w:t>
                </w:r>
              </w:p>
            </w:tc>
          </w:sdtContent>
        </w:sdt>
        <w:sdt>
          <w:sdtPr>
            <w:rPr>
              <w:rFonts w:hint="eastAsia"/>
              <w:color w:val="000000" w:themeColor="text1"/>
            </w:rPr>
            <w:tag w:val="_PLD_a58273833d134754b8f63be5a98d3b7b"/>
            <w:id w:val="-1037041517"/>
          </w:sdtPr>
          <w:sdtEndPr/>
          <w:sdtContent>
            <w:tc>
              <w:tcPr>
                <w:tcW w:w="3122" w:type="dxa"/>
                <w:shd w:val="clear" w:color="auto" w:fill="auto"/>
                <w:vAlign w:val="center"/>
              </w:tcPr>
              <w:p w:rsidR="000C5659" w:rsidRDefault="000E33C4">
                <w:pPr>
                  <w:jc w:val="center"/>
                  <w:rPr>
                    <w:color w:val="000000" w:themeColor="text1"/>
                  </w:rPr>
                </w:pPr>
                <w:r>
                  <w:rPr>
                    <w:rFonts w:hint="eastAsia"/>
                    <w:color w:val="000000" w:themeColor="text1"/>
                  </w:rPr>
                  <w:t>期末未终止确认金额</w:t>
                </w:r>
              </w:p>
            </w:tc>
          </w:sdtContent>
        </w:sdt>
      </w:tr>
      <w:tr w:rsidR="000C5659">
        <w:tc>
          <w:tcPr>
            <w:tcW w:w="2877" w:type="dxa"/>
            <w:shd w:val="clear" w:color="auto" w:fill="auto"/>
          </w:tcPr>
          <w:p w:rsidR="000C5659" w:rsidRDefault="000E33C4">
            <w:r>
              <w:rPr>
                <w:rFonts w:hint="eastAsia"/>
              </w:rPr>
              <w:t>应收银行承兑汇票</w:t>
            </w:r>
          </w:p>
        </w:tc>
        <w:tc>
          <w:tcPr>
            <w:tcW w:w="3050" w:type="dxa"/>
            <w:shd w:val="clear" w:color="auto" w:fill="auto"/>
          </w:tcPr>
          <w:p w:rsidR="000C5659" w:rsidRDefault="000E33C4">
            <w:pPr>
              <w:jc w:val="right"/>
            </w:pPr>
            <w:r>
              <w:t>11,808,684.56</w:t>
            </w:r>
          </w:p>
        </w:tc>
        <w:tc>
          <w:tcPr>
            <w:tcW w:w="3122" w:type="dxa"/>
            <w:shd w:val="clear" w:color="auto" w:fill="auto"/>
          </w:tcPr>
          <w:p w:rsidR="000C5659" w:rsidRDefault="000C5659">
            <w:pPr>
              <w:jc w:val="right"/>
            </w:pPr>
          </w:p>
        </w:tc>
      </w:tr>
      <w:tr w:rsidR="000C5659">
        <w:tc>
          <w:tcPr>
            <w:tcW w:w="2877" w:type="dxa"/>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3050" w:type="dxa"/>
            <w:shd w:val="clear" w:color="auto" w:fill="auto"/>
          </w:tcPr>
          <w:p w:rsidR="000C5659" w:rsidRDefault="000E33C4">
            <w:pPr>
              <w:jc w:val="right"/>
            </w:pPr>
            <w:r>
              <w:t>11,808,684.56</w:t>
            </w:r>
          </w:p>
        </w:tc>
        <w:tc>
          <w:tcPr>
            <w:tcW w:w="3122" w:type="dxa"/>
            <w:shd w:val="clear" w:color="auto" w:fill="auto"/>
          </w:tcPr>
          <w:p w:rsidR="000C5659" w:rsidRDefault="000C5659">
            <w:pPr>
              <w:jc w:val="right"/>
            </w:pPr>
          </w:p>
        </w:tc>
      </w:tr>
    </w:tbl>
    <w:p w:rsidR="000C5659" w:rsidRDefault="000C5659">
      <w:pPr>
        <w:rPr>
          <w:color w:val="000000" w:themeColor="text1"/>
        </w:rPr>
      </w:pPr>
    </w:p>
    <w:p w:rsidR="000C5659" w:rsidRDefault="000C5659">
      <w:pPr>
        <w:rPr>
          <w:color w:val="000000" w:themeColor="text1"/>
        </w:rPr>
      </w:pPr>
    </w:p>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按坏账计提方法分类披露</w:t>
      </w:r>
    </w:p>
    <w:sdt>
      <w:sdtPr>
        <w:rPr>
          <w:color w:val="000000" w:themeColor="text1"/>
        </w:rPr>
        <w:alias w:val="是否适用：按坏账计提方法分类披露[双击切换]"/>
        <w:tag w:val="_GBC_405ca68f760443499c1bd1a1fa1e9e7d"/>
        <w:id w:val="46709688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70906d84159d4210b15e17fb2293500d"/>
        <w:id w:val="173365549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f71cdd4ebdc046418cd6f9214346df97"/>
        <w:id w:val="210244766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02191f78423f4f4ca97cd31179bf21d5"/>
        <w:id w:val="128830656"/>
        <w:placeholder>
          <w:docPart w:val="GBC22222222222222222222222222222"/>
        </w:placeholder>
      </w:sdtPr>
      <w:sdtEndPr/>
      <w:sdtContent>
        <w:p w:rsidR="000C5659" w:rsidRDefault="000E33C4">
          <w:pPr>
            <w:rPr>
              <w:color w:val="000000" w:themeColor="text1"/>
            </w:rPr>
          </w:pP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0C5659" w:rsidRDefault="000C5659">
      <w:pPr>
        <w:rPr>
          <w:rFonts w:ascii="Calibri" w:hAnsi="Calibri" w:cs="Times New Roman"/>
          <w:b/>
          <w:color w:val="000000" w:themeColor="text1"/>
          <w:szCs w:val="22"/>
        </w:rPr>
      </w:pPr>
    </w:p>
    <w:p w:rsidR="000C5659" w:rsidRDefault="000E33C4">
      <w:pPr>
        <w:rPr>
          <w:rFonts w:cstheme="minorBidi"/>
          <w:color w:val="000000" w:themeColor="text1"/>
          <w:szCs w:val="22"/>
        </w:rPr>
      </w:pPr>
      <w:bookmarkStart w:id="190" w:name="_Hlk154134692"/>
      <w:bookmarkStart w:id="191" w:name="_Hlk153372713"/>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205986a144f344f78129e3fba39b34ca"/>
        <w:id w:val="1101223987"/>
        <w:placeholder>
          <w:docPart w:val="GBC22222222222222222222222222222"/>
        </w:placeholder>
      </w:sdtPr>
      <w:sdtEndPr/>
      <w:sdtContent>
        <w:p w:rsidR="000C5659" w:rsidRDefault="000E33C4">
          <w:pPr>
            <w:autoSpaceDE w:val="0"/>
            <w:autoSpaceDN w:val="0"/>
            <w:adjustRightInd w:val="0"/>
            <w:ind w:rightChars="50" w:right="105"/>
            <w:rPr>
              <w:rFonts w:cstheme="minorBidi"/>
              <w:color w:val="000000" w:themeColor="text1"/>
              <w:szCs w:val="22"/>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C5659">
      <w:pPr>
        <w:autoSpaceDE w:val="0"/>
        <w:autoSpaceDN w:val="0"/>
        <w:adjustRightInd w:val="0"/>
        <w:ind w:rightChars="50" w:right="105"/>
        <w:rPr>
          <w:rFonts w:cstheme="minorBidi"/>
          <w:color w:val="000000" w:themeColor="text1"/>
          <w:szCs w:val="22"/>
        </w:rPr>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p w:rsidR="000C5659" w:rsidRDefault="000E33C4">
      <w:pPr>
        <w:rPr>
          <w:rFonts w:cs="Times New Roman"/>
          <w:color w:val="000000" w:themeColor="text1"/>
          <w:szCs w:val="22"/>
        </w:rPr>
      </w:pPr>
      <w:r>
        <w:rPr>
          <w:rFonts w:cs="Times New Roman" w:hint="eastAsia"/>
          <w:color w:val="000000" w:themeColor="text1"/>
          <w:szCs w:val="22"/>
        </w:rPr>
        <w:t>无</w:t>
      </w:r>
    </w:p>
    <w:p w:rsidR="000C5659" w:rsidRDefault="000C5659">
      <w:pPr>
        <w:rPr>
          <w:rFonts w:asciiTheme="minorHAnsi" w:hAnsiTheme="minorHAnsi" w:cstheme="minorBidi"/>
          <w:b/>
          <w:color w:val="000000" w:themeColor="text1"/>
          <w:szCs w:val="22"/>
        </w:rPr>
      </w:pPr>
    </w:p>
    <w:p w:rsidR="000C5659" w:rsidRDefault="000E33C4">
      <w:pPr>
        <w:pStyle w:val="Style197"/>
        <w:rPr>
          <w:color w:val="000000" w:themeColor="text1"/>
        </w:rPr>
      </w:pPr>
      <w:r>
        <w:rPr>
          <w:rFonts w:hint="eastAsia"/>
          <w:color w:val="000000" w:themeColor="text1"/>
        </w:rPr>
        <w:t>对本期发生损失准备变动的应收款项融资账面余额显著变动的情况说明：</w:t>
      </w:r>
    </w:p>
    <w:sdt>
      <w:sdtPr>
        <w:rPr>
          <w:color w:val="000000" w:themeColor="text1"/>
        </w:rPr>
        <w:alias w:val="是否适用：对本期发生损失准备变动的账面余额显著变动的情况说明[双击切换]"/>
        <w:tag w:val="_GBC_ae382171e73840ef92b5fb34fa844e9f"/>
        <w:id w:val="-1689216480"/>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asciiTheme="minorHAnsi" w:hAnsiTheme="minorHAnsi" w:cstheme="minorBidi"/>
          <w:b/>
          <w:color w:val="000000" w:themeColor="text1"/>
          <w:szCs w:val="22"/>
        </w:rPr>
      </w:pPr>
    </w:p>
    <w:bookmarkEnd w:id="190"/>
    <w:bookmarkEnd w:id="191"/>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坏账准备的情况</w:t>
      </w:r>
    </w:p>
    <w:sdt>
      <w:sdtPr>
        <w:rPr>
          <w:color w:val="000000" w:themeColor="text1"/>
        </w:rPr>
        <w:alias w:val="是否适用：坏账准备情况[双击切换]"/>
        <w:tag w:val="_GBC_808e84ec9b034cfdb05b2cba07546530"/>
        <w:id w:val="745156175"/>
        <w:placeholder>
          <w:docPart w:val="GBC22222222222222222222222222222"/>
        </w:placeholder>
      </w:sdtPr>
      <w:sdtEndPr/>
      <w:sdtContent>
        <w:p w:rsidR="000C5659" w:rsidRDefault="000E33C4">
          <w:pPr>
            <w:pStyle w:val="Style197"/>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pStyle w:val="Style197"/>
        <w:rPr>
          <w:color w:val="000000" w:themeColor="text1"/>
        </w:rPr>
      </w:pPr>
    </w:p>
    <w:p w:rsidR="000C5659" w:rsidRDefault="000E33C4">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382a7c63c3664661a21baa08f6ba86a8"/>
        <w:id w:val="-43120635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坏账准备情况的说明"/>
        <w:tag w:val="_GBC_61ca0a7cb2a147fba52fe081c3ffe8b1"/>
        <w:id w:val="-175351293"/>
        <w:placeholder>
          <w:docPart w:val="GBC22222222222222222222222222222"/>
        </w:placeholder>
      </w:sdtPr>
      <w:sdtEndPr/>
      <w:sdtContent>
        <w:p w:rsidR="000C5659" w:rsidRDefault="000E33C4">
          <w:pPr>
            <w:ind w:rightChars="20" w:right="42"/>
            <w:rPr>
              <w:color w:val="000000" w:themeColor="text1"/>
            </w:rPr>
          </w:pPr>
          <w:r>
            <w:rPr>
              <w:rFonts w:hint="eastAsia"/>
              <w:color w:val="000000" w:themeColor="text1"/>
            </w:rPr>
            <w:t>无</w:t>
          </w:r>
        </w:p>
      </w:sdtContent>
    </w:sdt>
    <w:p w:rsidR="000C5659" w:rsidRDefault="000C5659">
      <w:pPr>
        <w:ind w:rightChars="-759" w:right="-1594"/>
        <w:rPr>
          <w:color w:val="000000" w:themeColor="text1"/>
        </w:rPr>
      </w:pPr>
    </w:p>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本期实际核销的应收款项融资情况</w:t>
      </w:r>
    </w:p>
    <w:sdt>
      <w:sdtPr>
        <w:rPr>
          <w:color w:val="000000" w:themeColor="text1"/>
        </w:rPr>
        <w:alias w:val="是否适用：实际核销的情况[双击切换]"/>
        <w:tag w:val="_GBC_a2d69dfc601543db9955bbac18a0162c"/>
        <w:id w:val="-19497007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其中重要的应收款项融资核销情况</w:t>
      </w:r>
    </w:p>
    <w:sdt>
      <w:sdtPr>
        <w:rPr>
          <w:rFonts w:hint="eastAsia"/>
          <w:color w:val="000000" w:themeColor="text1"/>
        </w:rPr>
        <w:alias w:val="是否适用：重要的核销情况[双击切换]"/>
        <w:tag w:val="_GBC_1b7bee0edc57444896650801ca80ffe4"/>
        <w:id w:val="418919468"/>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lastRenderedPageBreak/>
        <w:t>核销说明：</w:t>
      </w:r>
    </w:p>
    <w:sdt>
      <w:sdtPr>
        <w:rPr>
          <w:color w:val="000000" w:themeColor="text1"/>
        </w:rPr>
        <w:alias w:val="是否适用：核销说明[双击切换]"/>
        <w:tag w:val="_GBC_488ea774dd4f4c1d882f56da574ad29c"/>
        <w:id w:val="-105754150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应收款项融资本期增减变动及公允价值变动情况：</w:t>
      </w:r>
    </w:p>
    <w:sdt>
      <w:sdtPr>
        <w:rPr>
          <w:rFonts w:hint="eastAsia"/>
          <w:color w:val="000000" w:themeColor="text1"/>
        </w:rPr>
        <w:alias w:val="是否适用：应收款项融资本期增减变动及公允价值变动情况[双击切换]"/>
        <w:tag w:val="_GBC_229d012533ea43b7b63c184aa0b161d0"/>
        <w:id w:val="138590860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186"/>
    <w:bookmarkEnd w:id="189"/>
    <w:bookmarkEnd w:id="188"/>
    <w:p w:rsidR="000C5659" w:rsidRDefault="000E33C4" w:rsidP="000743DD">
      <w:pPr>
        <w:pStyle w:val="43"/>
        <w:numPr>
          <w:ilvl w:val="0"/>
          <w:numId w:val="54"/>
        </w:numPr>
        <w:tabs>
          <w:tab w:val="left" w:pos="360"/>
        </w:tabs>
        <w:ind w:left="0" w:firstLine="0"/>
        <w:rPr>
          <w:color w:val="000000" w:themeColor="text1"/>
        </w:rPr>
      </w:pPr>
      <w:r>
        <w:rPr>
          <w:rFonts w:hint="eastAsia"/>
          <w:color w:val="000000" w:themeColor="text1"/>
        </w:rPr>
        <w:t>其他说明：</w:t>
      </w:r>
    </w:p>
    <w:bookmarkStart w:id="192" w:name="_Hlk13057390" w:displacedByCustomXml="next"/>
    <w:sdt>
      <w:sdtPr>
        <w:rPr>
          <w:rFonts w:hint="eastAsia"/>
          <w:color w:val="000000" w:themeColor="text1"/>
        </w:rPr>
        <w:alias w:val="是否适用：应收款项融资其他说明[双击切换]"/>
        <w:tag w:val="_GBC_f2fd5be9d56145ea8eaacde595a4b245"/>
        <w:id w:val="-67835013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192"/>
    <w:p w:rsidR="000C5659" w:rsidRDefault="000C5659">
      <w:pPr>
        <w:rPr>
          <w:color w:val="000000" w:themeColor="text1"/>
        </w:rPr>
      </w:pPr>
    </w:p>
    <w:bookmarkEnd w:id="187"/>
    <w:p w:rsidR="000C5659" w:rsidRDefault="000E33C4" w:rsidP="000743DD">
      <w:pPr>
        <w:pStyle w:val="35"/>
        <w:numPr>
          <w:ilvl w:val="0"/>
          <w:numId w:val="50"/>
        </w:numPr>
        <w:rPr>
          <w:color w:val="000000" w:themeColor="text1"/>
          <w:szCs w:val="21"/>
        </w:rPr>
      </w:pPr>
      <w:r>
        <w:rPr>
          <w:color w:val="000000" w:themeColor="text1"/>
          <w:szCs w:val="21"/>
        </w:rPr>
        <w:t>预付款项</w:t>
      </w:r>
    </w:p>
    <w:p w:rsidR="000C5659" w:rsidRDefault="000E33C4" w:rsidP="000743DD">
      <w:pPr>
        <w:pStyle w:val="43"/>
        <w:numPr>
          <w:ilvl w:val="0"/>
          <w:numId w:val="55"/>
        </w:numPr>
        <w:tabs>
          <w:tab w:val="left" w:pos="616"/>
        </w:tabs>
        <w:rPr>
          <w:rFonts w:ascii="宋体" w:hAnsi="宋体"/>
          <w:color w:val="000000" w:themeColor="text1"/>
        </w:rPr>
      </w:pPr>
      <w:r>
        <w:rPr>
          <w:rFonts w:ascii="宋体" w:hAnsi="宋体" w:hint="eastAsia"/>
          <w:color w:val="000000" w:themeColor="text1"/>
        </w:rPr>
        <w:t>预付款项按账龄列示</w:t>
      </w:r>
    </w:p>
    <w:sdt>
      <w:sdtPr>
        <w:rPr>
          <w:color w:val="000000" w:themeColor="text1"/>
        </w:rPr>
        <w:alias w:val="是否适用：预付款项按账龄列示[双击切换]"/>
        <w:tag w:val="_GBC_af3b3e24767e48f7a70a5cfa609407a2"/>
        <w:id w:val="-14089112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b/>
          <w:color w:val="000000" w:themeColor="text1"/>
        </w:rPr>
      </w:pPr>
      <w:r>
        <w:rPr>
          <w:rFonts w:hint="eastAsia"/>
          <w:color w:val="000000" w:themeColor="text1"/>
        </w:rPr>
        <w:t>单位：</w:t>
      </w:r>
      <w:sdt>
        <w:sdtPr>
          <w:rPr>
            <w:rFonts w:hint="eastAsia"/>
            <w:color w:val="000000" w:themeColor="text1"/>
          </w:rPr>
          <w:alias w:val="单位：财务附注：预付账款账龄"/>
          <w:tag w:val="_GBC_9eb28bbf7d374cdf965c7e133b610fb3"/>
          <w:id w:val="-928345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预付账款账龄"/>
          <w:tag w:val="_GBC_d491347f74764df5af3312ad7a0a92e5"/>
          <w:id w:val="18432055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9"/>
        <w:gridCol w:w="1875"/>
        <w:gridCol w:w="1864"/>
        <w:gridCol w:w="1859"/>
        <w:gridCol w:w="1876"/>
      </w:tblGrid>
      <w:tr w:rsidR="000C5659">
        <w:trPr>
          <w:cantSplit/>
          <w:trHeight w:val="237"/>
        </w:trPr>
        <w:sdt>
          <w:sdtPr>
            <w:rPr>
              <w:color w:val="000000" w:themeColor="text1"/>
            </w:rPr>
            <w:tag w:val="_PLD_159a64f22a4a4b1ab31846b4d6034c4c"/>
            <w:id w:val="1097369411"/>
          </w:sdtPr>
          <w:sdtEndPr/>
          <w:sdtContent>
            <w:tc>
              <w:tcPr>
                <w:tcW w:w="764" w:type="pct"/>
                <w:vMerge w:val="restart"/>
                <w:vAlign w:val="center"/>
              </w:tcPr>
              <w:p w:rsidR="000C5659" w:rsidRDefault="000E33C4">
                <w:pPr>
                  <w:jc w:val="center"/>
                  <w:rPr>
                    <w:color w:val="000000" w:themeColor="text1"/>
                  </w:rPr>
                </w:pPr>
                <w:r>
                  <w:rPr>
                    <w:rFonts w:hint="eastAsia"/>
                    <w:color w:val="000000" w:themeColor="text1"/>
                  </w:rPr>
                  <w:t>账龄</w:t>
                </w:r>
              </w:p>
            </w:tc>
          </w:sdtContent>
        </w:sdt>
        <w:sdt>
          <w:sdtPr>
            <w:rPr>
              <w:color w:val="000000" w:themeColor="text1"/>
            </w:rPr>
            <w:tag w:val="_PLD_6ca82cba92a649d08c6ceb86dd951ef3"/>
            <w:id w:val="2079168596"/>
          </w:sdtPr>
          <w:sdtEndPr/>
          <w:sdtContent>
            <w:tc>
              <w:tcPr>
                <w:tcW w:w="2118" w:type="pct"/>
                <w:gridSpan w:val="2"/>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365dab2f8fd246d79543ed0d2e6dcab7"/>
            <w:id w:val="1075867240"/>
          </w:sdtPr>
          <w:sdtEndPr/>
          <w:sdtContent>
            <w:tc>
              <w:tcPr>
                <w:tcW w:w="2116" w:type="pct"/>
                <w:gridSpan w:val="2"/>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764" w:type="pct"/>
            <w:vMerge/>
          </w:tcPr>
          <w:p w:rsidR="000C5659" w:rsidRDefault="000C5659">
            <w:pPr>
              <w:rPr>
                <w:color w:val="000000" w:themeColor="text1"/>
              </w:rPr>
            </w:pPr>
          </w:p>
        </w:tc>
        <w:sdt>
          <w:sdtPr>
            <w:rPr>
              <w:color w:val="000000" w:themeColor="text1"/>
            </w:rPr>
            <w:tag w:val="_PLD_a9d7b721cfa446e9ae31149380da5970"/>
            <w:id w:val="-139353504"/>
          </w:sdtPr>
          <w:sdtEndPr/>
          <w:sdtContent>
            <w:tc>
              <w:tcPr>
                <w:tcW w:w="1062" w:type="pct"/>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2d8b8f523dcd4c95815b7c8fd528129d"/>
            <w:id w:val="-1589374323"/>
          </w:sdtPr>
          <w:sdtEndPr/>
          <w:sdtContent>
            <w:tc>
              <w:tcPr>
                <w:tcW w:w="1056" w:type="pct"/>
                <w:vAlign w:val="center"/>
              </w:tcPr>
              <w:p w:rsidR="000C5659" w:rsidRDefault="000E33C4">
                <w:pPr>
                  <w:jc w:val="center"/>
                  <w:rPr>
                    <w:color w:val="000000" w:themeColor="text1"/>
                  </w:rPr>
                </w:pPr>
                <w:r>
                  <w:rPr>
                    <w:rFonts w:hint="eastAsia"/>
                    <w:color w:val="000000" w:themeColor="text1"/>
                  </w:rPr>
                  <w:t>比例</w:t>
                </w:r>
                <w:r>
                  <w:rPr>
                    <w:color w:val="000000" w:themeColor="text1"/>
                  </w:rPr>
                  <w:t>(%)</w:t>
                </w:r>
              </w:p>
            </w:tc>
          </w:sdtContent>
        </w:sdt>
        <w:sdt>
          <w:sdtPr>
            <w:rPr>
              <w:color w:val="000000" w:themeColor="text1"/>
            </w:rPr>
            <w:tag w:val="_PLD_f01816a56b3f4ec1a7d603d3ac318eb1"/>
            <w:id w:val="161738687"/>
          </w:sdtPr>
          <w:sdtEndPr/>
          <w:sdtContent>
            <w:tc>
              <w:tcPr>
                <w:tcW w:w="1053" w:type="pct"/>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55adcab5f9be4d24b3d0faaf5403e89a"/>
            <w:id w:val="-651909234"/>
          </w:sdtPr>
          <w:sdtEndPr/>
          <w:sdtContent>
            <w:tc>
              <w:tcPr>
                <w:tcW w:w="1063" w:type="pct"/>
                <w:vAlign w:val="center"/>
              </w:tcPr>
              <w:p w:rsidR="000C5659" w:rsidRDefault="000E33C4">
                <w:pPr>
                  <w:jc w:val="center"/>
                  <w:rPr>
                    <w:color w:val="000000" w:themeColor="text1"/>
                  </w:rPr>
                </w:pPr>
                <w:r>
                  <w:rPr>
                    <w:rFonts w:hint="eastAsia"/>
                    <w:color w:val="000000" w:themeColor="text1"/>
                  </w:rPr>
                  <w:t>比例</w:t>
                </w:r>
                <w:r>
                  <w:rPr>
                    <w:color w:val="000000" w:themeColor="text1"/>
                  </w:rPr>
                  <w:t>(%)</w:t>
                </w:r>
              </w:p>
            </w:tc>
          </w:sdtContent>
        </w:sdt>
      </w:tr>
      <w:tr w:rsidR="000C5659">
        <w:trPr>
          <w:cantSplit/>
        </w:trPr>
        <w:tc>
          <w:tcPr>
            <w:tcW w:w="764" w:type="pct"/>
          </w:tcPr>
          <w:p w:rsidR="000C5659" w:rsidRDefault="000E33C4">
            <w:pPr>
              <w:rPr>
                <w:color w:val="000000" w:themeColor="text1"/>
              </w:rPr>
            </w:pPr>
            <w:r>
              <w:rPr>
                <w:rFonts w:hint="eastAsia"/>
                <w:color w:val="000000" w:themeColor="text1"/>
              </w:rPr>
              <w:t>1年以内</w:t>
            </w:r>
          </w:p>
        </w:tc>
        <w:tc>
          <w:tcPr>
            <w:tcW w:w="2961" w:type="dxa"/>
          </w:tcPr>
          <w:p w:rsidR="000C5659" w:rsidRDefault="000E33C4">
            <w:pPr>
              <w:jc w:val="right"/>
              <w:textAlignment w:val="top"/>
            </w:pPr>
            <w:r>
              <w:rPr>
                <w:rFonts w:hint="eastAsia"/>
                <w:color w:val="000000"/>
                <w:lang w:bidi="ar"/>
              </w:rPr>
              <w:t>20,430,628.80</w:t>
            </w:r>
          </w:p>
        </w:tc>
        <w:tc>
          <w:tcPr>
            <w:tcW w:w="2944" w:type="dxa"/>
          </w:tcPr>
          <w:p w:rsidR="000C5659" w:rsidRDefault="000E33C4">
            <w:pPr>
              <w:jc w:val="right"/>
              <w:textAlignment w:val="top"/>
            </w:pPr>
            <w:r>
              <w:rPr>
                <w:rFonts w:hint="eastAsia"/>
                <w:color w:val="000000"/>
                <w:lang w:bidi="ar"/>
              </w:rPr>
              <w:t>98.56</w:t>
            </w:r>
          </w:p>
        </w:tc>
        <w:tc>
          <w:tcPr>
            <w:tcW w:w="1053" w:type="pct"/>
          </w:tcPr>
          <w:p w:rsidR="000C5659" w:rsidRDefault="000E33C4">
            <w:pPr>
              <w:jc w:val="right"/>
            </w:pPr>
            <w:r>
              <w:t>11,657,413.28</w:t>
            </w:r>
          </w:p>
        </w:tc>
        <w:tc>
          <w:tcPr>
            <w:tcW w:w="1063" w:type="pct"/>
          </w:tcPr>
          <w:p w:rsidR="000C5659" w:rsidRDefault="000E33C4">
            <w:pPr>
              <w:jc w:val="right"/>
            </w:pPr>
            <w:r>
              <w:t>94.71</w:t>
            </w:r>
          </w:p>
        </w:tc>
      </w:tr>
      <w:tr w:rsidR="000C5659">
        <w:trPr>
          <w:cantSplit/>
        </w:trPr>
        <w:tc>
          <w:tcPr>
            <w:tcW w:w="764" w:type="pct"/>
          </w:tcPr>
          <w:p w:rsidR="000C5659" w:rsidRDefault="000E33C4">
            <w:pPr>
              <w:rPr>
                <w:color w:val="000000" w:themeColor="text1"/>
              </w:rPr>
            </w:pPr>
            <w:r>
              <w:rPr>
                <w:rFonts w:hint="eastAsia"/>
                <w:color w:val="000000" w:themeColor="text1"/>
              </w:rPr>
              <w:t>1至2年</w:t>
            </w:r>
          </w:p>
        </w:tc>
        <w:tc>
          <w:tcPr>
            <w:tcW w:w="2961" w:type="dxa"/>
          </w:tcPr>
          <w:p w:rsidR="000C5659" w:rsidRDefault="000E33C4">
            <w:pPr>
              <w:jc w:val="right"/>
              <w:textAlignment w:val="top"/>
            </w:pPr>
            <w:r>
              <w:rPr>
                <w:rFonts w:hint="eastAsia"/>
              </w:rPr>
              <w:t>299,326.06</w:t>
            </w:r>
          </w:p>
        </w:tc>
        <w:tc>
          <w:tcPr>
            <w:tcW w:w="2944" w:type="dxa"/>
          </w:tcPr>
          <w:p w:rsidR="000C5659" w:rsidRDefault="000E33C4">
            <w:pPr>
              <w:jc w:val="right"/>
              <w:textAlignment w:val="top"/>
            </w:pPr>
            <w:r>
              <w:rPr>
                <w:rFonts w:hint="eastAsia"/>
              </w:rPr>
              <w:t>1.44</w:t>
            </w:r>
          </w:p>
        </w:tc>
        <w:tc>
          <w:tcPr>
            <w:tcW w:w="1053" w:type="pct"/>
          </w:tcPr>
          <w:p w:rsidR="000C5659" w:rsidRDefault="000E33C4">
            <w:pPr>
              <w:jc w:val="right"/>
            </w:pPr>
            <w:r>
              <w:t>651,153.70</w:t>
            </w:r>
          </w:p>
        </w:tc>
        <w:tc>
          <w:tcPr>
            <w:tcW w:w="1063" w:type="pct"/>
          </w:tcPr>
          <w:p w:rsidR="000C5659" w:rsidRDefault="000E33C4">
            <w:pPr>
              <w:jc w:val="right"/>
            </w:pPr>
            <w:r>
              <w:t>5.29</w:t>
            </w:r>
          </w:p>
        </w:tc>
      </w:tr>
      <w:tr w:rsidR="000C5659">
        <w:trPr>
          <w:cantSplit/>
        </w:trPr>
        <w:tc>
          <w:tcPr>
            <w:tcW w:w="764" w:type="pct"/>
          </w:tcPr>
          <w:p w:rsidR="000C5659" w:rsidRDefault="000E33C4">
            <w:pPr>
              <w:rPr>
                <w:color w:val="000000" w:themeColor="text1"/>
              </w:rPr>
            </w:pPr>
            <w:r>
              <w:rPr>
                <w:rFonts w:hint="eastAsia"/>
                <w:color w:val="000000" w:themeColor="text1"/>
              </w:rPr>
              <w:t>2至3年</w:t>
            </w:r>
          </w:p>
        </w:tc>
        <w:tc>
          <w:tcPr>
            <w:tcW w:w="2961" w:type="dxa"/>
          </w:tcPr>
          <w:p w:rsidR="000C5659" w:rsidRDefault="000C5659">
            <w:pPr>
              <w:jc w:val="right"/>
              <w:textAlignment w:val="top"/>
            </w:pPr>
          </w:p>
        </w:tc>
        <w:tc>
          <w:tcPr>
            <w:tcW w:w="2944" w:type="dxa"/>
          </w:tcPr>
          <w:p w:rsidR="000C5659" w:rsidRDefault="000C5659">
            <w:pPr>
              <w:jc w:val="right"/>
              <w:textAlignment w:val="top"/>
            </w:pPr>
          </w:p>
        </w:tc>
        <w:tc>
          <w:tcPr>
            <w:tcW w:w="1053" w:type="pct"/>
          </w:tcPr>
          <w:p w:rsidR="000C5659" w:rsidRDefault="000C5659">
            <w:pPr>
              <w:jc w:val="right"/>
            </w:pPr>
          </w:p>
        </w:tc>
        <w:tc>
          <w:tcPr>
            <w:tcW w:w="1063" w:type="pct"/>
          </w:tcPr>
          <w:p w:rsidR="000C5659" w:rsidRDefault="000C5659">
            <w:pPr>
              <w:jc w:val="right"/>
            </w:pPr>
          </w:p>
        </w:tc>
      </w:tr>
      <w:tr w:rsidR="000C5659">
        <w:trPr>
          <w:cantSplit/>
        </w:trPr>
        <w:tc>
          <w:tcPr>
            <w:tcW w:w="764" w:type="pct"/>
          </w:tcPr>
          <w:p w:rsidR="000C5659" w:rsidRDefault="000E33C4">
            <w:pPr>
              <w:jc w:val="center"/>
              <w:rPr>
                <w:color w:val="000000" w:themeColor="text1"/>
              </w:rPr>
            </w:pPr>
            <w:r>
              <w:rPr>
                <w:rFonts w:hint="eastAsia"/>
                <w:color w:val="000000" w:themeColor="text1"/>
              </w:rPr>
              <w:t>合计</w:t>
            </w:r>
          </w:p>
        </w:tc>
        <w:tc>
          <w:tcPr>
            <w:tcW w:w="2961" w:type="dxa"/>
          </w:tcPr>
          <w:p w:rsidR="000C5659" w:rsidRDefault="000E33C4">
            <w:pPr>
              <w:jc w:val="right"/>
              <w:textAlignment w:val="top"/>
            </w:pPr>
            <w:r>
              <w:rPr>
                <w:rFonts w:hint="eastAsia"/>
                <w:color w:val="000000"/>
                <w:lang w:bidi="ar"/>
              </w:rPr>
              <w:t>20,729,954.86</w:t>
            </w:r>
          </w:p>
        </w:tc>
        <w:tc>
          <w:tcPr>
            <w:tcW w:w="2944" w:type="dxa"/>
          </w:tcPr>
          <w:p w:rsidR="000C5659" w:rsidRDefault="000E33C4">
            <w:pPr>
              <w:jc w:val="right"/>
              <w:textAlignment w:val="top"/>
            </w:pPr>
            <w:r>
              <w:rPr>
                <w:rFonts w:hint="eastAsia"/>
                <w:color w:val="000000"/>
                <w:lang w:bidi="ar"/>
              </w:rPr>
              <w:t>100</w:t>
            </w:r>
          </w:p>
        </w:tc>
        <w:tc>
          <w:tcPr>
            <w:tcW w:w="1053" w:type="pct"/>
          </w:tcPr>
          <w:p w:rsidR="000C5659" w:rsidRDefault="000E33C4">
            <w:pPr>
              <w:jc w:val="right"/>
            </w:pPr>
            <w:r>
              <w:t>12,308,566.98</w:t>
            </w:r>
          </w:p>
        </w:tc>
        <w:tc>
          <w:tcPr>
            <w:tcW w:w="1063" w:type="pct"/>
          </w:tcPr>
          <w:p w:rsidR="000C5659" w:rsidRDefault="000E33C4">
            <w:pPr>
              <w:jc w:val="right"/>
            </w:pPr>
            <w:r>
              <w:t>100.00</w:t>
            </w:r>
          </w:p>
        </w:tc>
      </w:tr>
    </w:tbl>
    <w:p w:rsidR="000C5659" w:rsidRDefault="000C5659">
      <w:pPr>
        <w:pStyle w:val="Style325"/>
      </w:pPr>
    </w:p>
    <w:p w:rsidR="000C5659" w:rsidRDefault="000E33C4">
      <w:pPr>
        <w:rPr>
          <w:color w:val="000000" w:themeColor="text1"/>
        </w:rPr>
      </w:pPr>
      <w:r>
        <w:rPr>
          <w:rFonts w:hint="eastAsia"/>
          <w:color w:val="000000" w:themeColor="text1"/>
        </w:rPr>
        <w:t>账龄超过1年且金额重要的预付款项未及时结算原因</w:t>
      </w:r>
      <w:r>
        <w:rPr>
          <w:color w:val="000000" w:themeColor="text1"/>
        </w:rPr>
        <w:t>的说明：</w:t>
      </w:r>
    </w:p>
    <w:sdt>
      <w:sdtPr>
        <w:rPr>
          <w:color w:val="000000" w:themeColor="text1"/>
        </w:rPr>
        <w:alias w:val="账龄超过1年且金额重要的预付款项未及时结算原因的说明"/>
        <w:tag w:val="_GBC_174a9654172e49e09cdbf18d854fdd51"/>
        <w:id w:val="1302571496"/>
        <w:placeholder>
          <w:docPart w:val="GBC22222222222222222222222222222"/>
        </w:placeholder>
      </w:sdtPr>
      <w:sdtEndPr/>
      <w:sdtContent>
        <w:p w:rsidR="000C5659" w:rsidRDefault="000E33C4">
          <w:pPr>
            <w:snapToGrid w:val="0"/>
            <w:spacing w:line="240" w:lineRule="atLeast"/>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43"/>
        <w:numPr>
          <w:ilvl w:val="0"/>
          <w:numId w:val="55"/>
        </w:numPr>
        <w:tabs>
          <w:tab w:val="left" w:pos="616"/>
        </w:tabs>
        <w:rPr>
          <w:rFonts w:ascii="宋体" w:hAnsi="宋体"/>
          <w:color w:val="000000" w:themeColor="text1"/>
        </w:rPr>
      </w:pPr>
      <w:r>
        <w:rPr>
          <w:rFonts w:ascii="宋体" w:hAnsi="宋体" w:hint="eastAsia"/>
          <w:color w:val="000000" w:themeColor="text1"/>
        </w:rPr>
        <w:t>按预付对象归集的期末余额前五名的预付款情况</w:t>
      </w:r>
    </w:p>
    <w:sdt>
      <w:sdtPr>
        <w:rPr>
          <w:rFonts w:hint="eastAsia"/>
          <w:color w:val="000000" w:themeColor="text1"/>
        </w:rPr>
        <w:alias w:val="是否适用：按预付对象归集的期末余额前五名的预付款情况[双击切换]"/>
        <w:tag w:val="_GBC_a1864f04af6d49bdb434d74a7f29f8c3"/>
        <w:id w:val="-2099704429"/>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按预付对象归集的期末余额前五名的预付款情况的说明"/>
        <w:tag w:val="_GBC_e2f1aa285f174786838e4fcd54656fec"/>
        <w:id w:val="359170132"/>
        <w:placeholder>
          <w:docPart w:val="GBC22222222222222222222222222222"/>
        </w:placeholder>
      </w:sdtPr>
      <w:sdtEndPr/>
      <w:sdtContent>
        <w:p w:rsidR="000C5659" w:rsidRDefault="000C5659">
          <w:pPr>
            <w:snapToGrid w:val="0"/>
            <w:spacing w:line="240" w:lineRule="atLeast"/>
            <w:rPr>
              <w:color w:val="000000" w:themeColor="text1"/>
            </w:rPr>
          </w:pPr>
        </w:p>
        <w:tbl>
          <w:tblPr>
            <w:tblStyle w:val="g5"/>
            <w:tblW w:w="4994" w:type="pct"/>
            <w:tblInd w:w="0" w:type="dxa"/>
            <w:tblCellMar>
              <w:left w:w="108" w:type="dxa"/>
              <w:right w:w="108" w:type="dxa"/>
            </w:tblCellMar>
            <w:tblLook w:val="04A0" w:firstRow="1" w:lastRow="0" w:firstColumn="1" w:lastColumn="0" w:noHBand="0" w:noVBand="1"/>
          </w:tblPr>
          <w:tblGrid>
            <w:gridCol w:w="2936"/>
            <w:gridCol w:w="2938"/>
            <w:gridCol w:w="2938"/>
          </w:tblGrid>
          <w:tr w:rsidR="000C5659">
            <w:trPr>
              <w:cantSplit/>
            </w:trPr>
            <w:tc>
              <w:tcPr>
                <w:tcW w:w="1666" w:type="pct"/>
                <w:vAlign w:val="center"/>
              </w:tcPr>
              <w:p w:rsidR="000C5659" w:rsidRDefault="000E33C4">
                <w:pPr>
                  <w:ind w:right="105"/>
                  <w:jc w:val="center"/>
                  <w:rPr>
                    <w:rFonts w:asciiTheme="minorEastAsia" w:eastAsiaTheme="minorEastAsia" w:hAnsiTheme="minorEastAsia" w:cs="Times New Roman"/>
                  </w:rPr>
                </w:pPr>
                <w:r>
                  <w:rPr>
                    <w:rFonts w:asciiTheme="minorEastAsia" w:eastAsiaTheme="minorEastAsia" w:hAnsiTheme="minorEastAsia" w:cs="Times New Roman" w:hint="eastAsia"/>
                  </w:rPr>
                  <w:t>单位名称</w:t>
                </w:r>
              </w:p>
            </w:tc>
            <w:tc>
              <w:tcPr>
                <w:tcW w:w="1667" w:type="pct"/>
                <w:vAlign w:val="center"/>
              </w:tcPr>
              <w:p w:rsidR="000C5659" w:rsidRDefault="000E33C4">
                <w:pPr>
                  <w:ind w:right="73"/>
                  <w:jc w:val="center"/>
                  <w:rPr>
                    <w:rFonts w:asciiTheme="minorEastAsia" w:eastAsiaTheme="minorEastAsia" w:hAnsiTheme="minorEastAsia" w:cs="Times New Roman"/>
                  </w:rPr>
                </w:pPr>
                <w:r>
                  <w:rPr>
                    <w:rFonts w:asciiTheme="minorEastAsia" w:eastAsiaTheme="minorEastAsia" w:hAnsiTheme="minorEastAsia" w:cs="Times New Roman" w:hint="eastAsia"/>
                  </w:rPr>
                  <w:t>期末余额</w:t>
                </w:r>
              </w:p>
            </w:tc>
            <w:tc>
              <w:tcPr>
                <w:tcW w:w="1667" w:type="pct"/>
                <w:vAlign w:val="center"/>
              </w:tcPr>
              <w:p w:rsidR="000C5659" w:rsidRDefault="000E33C4">
                <w:pPr>
                  <w:jc w:val="center"/>
                  <w:rPr>
                    <w:rFonts w:asciiTheme="minorEastAsia" w:eastAsiaTheme="minorEastAsia" w:hAnsiTheme="minorEastAsia" w:cs="Times New Roman"/>
                  </w:rPr>
                </w:pPr>
                <w:r>
                  <w:rPr>
                    <w:rFonts w:asciiTheme="minorEastAsia" w:eastAsiaTheme="minorEastAsia" w:hAnsiTheme="minorEastAsia" w:cs="Times New Roman" w:hint="eastAsia"/>
                  </w:rPr>
                  <w:t>占预付款项期末余额合计数的比例(</w:t>
                </w:r>
                <w:r>
                  <w:rPr>
                    <w:rFonts w:asciiTheme="minorEastAsia" w:eastAsiaTheme="minorEastAsia" w:hAnsiTheme="minorEastAsia" w:cs="Times New Roman"/>
                  </w:rPr>
                  <w:t>%)</w:t>
                </w:r>
              </w:p>
            </w:tc>
          </w:tr>
          <w:tr w:rsidR="000C5659">
            <w:trPr>
              <w:cantSplit/>
            </w:trPr>
            <w:tc>
              <w:tcPr>
                <w:tcW w:w="1666" w:type="pct"/>
              </w:tcPr>
              <w:p w:rsidR="000C5659" w:rsidRDefault="000E33C4">
                <w:pPr>
                  <w:ind w:right="105"/>
                  <w:rPr>
                    <w:rFonts w:asciiTheme="minorEastAsia" w:eastAsiaTheme="minorEastAsia" w:hAnsiTheme="minorEastAsia" w:cs="Times New Roman"/>
                  </w:rPr>
                </w:pPr>
                <w:r>
                  <w:rPr>
                    <w:rFonts w:asciiTheme="minorEastAsia" w:eastAsiaTheme="minorEastAsia" w:hAnsiTheme="minorEastAsia" w:cs="Times New Roman"/>
                  </w:rPr>
                  <w:t>第一名</w:t>
                </w:r>
              </w:p>
            </w:tc>
            <w:tc>
              <w:tcPr>
                <w:tcW w:w="3013" w:type="dxa"/>
                <w:vAlign w:val="center"/>
              </w:tcPr>
              <w:p w:rsidR="000C5659" w:rsidRDefault="000E33C4">
                <w:pPr>
                  <w:ind w:right="73"/>
                  <w:jc w:val="right"/>
                  <w:rPr>
                    <w:rFonts w:asciiTheme="minorEastAsia" w:eastAsiaTheme="minorEastAsia" w:hAnsiTheme="minorEastAsia" w:cs="Times New Roman"/>
                  </w:rPr>
                </w:pPr>
                <w:r>
                  <w:rPr>
                    <w:rFonts w:asciiTheme="minorEastAsia" w:eastAsiaTheme="minorEastAsia" w:hAnsiTheme="minorEastAsia" w:hint="eastAsia"/>
                  </w:rPr>
                  <w:t>1,961,873.64</w:t>
                </w:r>
              </w:p>
            </w:tc>
            <w:tc>
              <w:tcPr>
                <w:tcW w:w="3014" w:type="dxa"/>
                <w:vAlign w:val="bottom"/>
              </w:tcPr>
              <w:p w:rsidR="000C5659" w:rsidRDefault="000E33C4">
                <w:pPr>
                  <w:jc w:val="right"/>
                  <w:textAlignment w:val="bottom"/>
                  <w:rPr>
                    <w:rFonts w:asciiTheme="minorEastAsia" w:eastAsiaTheme="minorEastAsia" w:hAnsiTheme="minorEastAsia" w:cs="Times New Roman"/>
                  </w:rPr>
                </w:pPr>
                <w:r>
                  <w:rPr>
                    <w:rFonts w:asciiTheme="minorEastAsia" w:eastAsiaTheme="minorEastAsia" w:hAnsiTheme="minorEastAsia" w:cs="等线" w:hint="eastAsia"/>
                    <w:color w:val="000000"/>
                    <w:lang w:bidi="ar"/>
                  </w:rPr>
                  <w:t>9.46</w:t>
                </w:r>
              </w:p>
            </w:tc>
          </w:tr>
          <w:tr w:rsidR="000C5659">
            <w:trPr>
              <w:cantSplit/>
            </w:trPr>
            <w:tc>
              <w:tcPr>
                <w:tcW w:w="1666" w:type="pct"/>
              </w:tcPr>
              <w:p w:rsidR="000C5659" w:rsidRDefault="000E33C4">
                <w:pPr>
                  <w:ind w:right="105"/>
                  <w:rPr>
                    <w:rFonts w:asciiTheme="minorEastAsia" w:eastAsiaTheme="minorEastAsia" w:hAnsiTheme="minorEastAsia" w:cs="Times New Roman"/>
                  </w:rPr>
                </w:pPr>
                <w:r>
                  <w:rPr>
                    <w:rFonts w:asciiTheme="minorEastAsia" w:eastAsiaTheme="minorEastAsia" w:hAnsiTheme="minorEastAsia" w:cs="Times New Roman"/>
                  </w:rPr>
                  <w:t>第二名</w:t>
                </w:r>
              </w:p>
            </w:tc>
            <w:tc>
              <w:tcPr>
                <w:tcW w:w="3013" w:type="dxa"/>
                <w:vAlign w:val="center"/>
              </w:tcPr>
              <w:p w:rsidR="000C5659" w:rsidRDefault="000E33C4">
                <w:pPr>
                  <w:ind w:right="73"/>
                  <w:jc w:val="right"/>
                  <w:rPr>
                    <w:rFonts w:asciiTheme="minorEastAsia" w:eastAsiaTheme="minorEastAsia" w:hAnsiTheme="minorEastAsia" w:cs="Times New Roman"/>
                  </w:rPr>
                </w:pPr>
                <w:r>
                  <w:rPr>
                    <w:rFonts w:asciiTheme="minorEastAsia" w:eastAsiaTheme="minorEastAsia" w:hAnsiTheme="minorEastAsia" w:hint="eastAsia"/>
                  </w:rPr>
                  <w:t>1,716,140.93</w:t>
                </w:r>
              </w:p>
            </w:tc>
            <w:tc>
              <w:tcPr>
                <w:tcW w:w="3014" w:type="dxa"/>
                <w:vAlign w:val="bottom"/>
              </w:tcPr>
              <w:p w:rsidR="000C5659" w:rsidRDefault="000E33C4">
                <w:pPr>
                  <w:jc w:val="right"/>
                  <w:textAlignment w:val="bottom"/>
                  <w:rPr>
                    <w:rFonts w:asciiTheme="minorEastAsia" w:eastAsiaTheme="minorEastAsia" w:hAnsiTheme="minorEastAsia" w:cs="Times New Roman"/>
                  </w:rPr>
                </w:pPr>
                <w:r>
                  <w:rPr>
                    <w:rFonts w:asciiTheme="minorEastAsia" w:eastAsiaTheme="minorEastAsia" w:hAnsiTheme="minorEastAsia" w:cs="等线" w:hint="eastAsia"/>
                    <w:color w:val="000000"/>
                    <w:lang w:bidi="ar"/>
                  </w:rPr>
                  <w:t>8.28</w:t>
                </w:r>
              </w:p>
            </w:tc>
          </w:tr>
          <w:tr w:rsidR="000C5659">
            <w:trPr>
              <w:cantSplit/>
            </w:trPr>
            <w:tc>
              <w:tcPr>
                <w:tcW w:w="1666" w:type="pct"/>
              </w:tcPr>
              <w:p w:rsidR="000C5659" w:rsidRDefault="000E33C4">
                <w:pPr>
                  <w:ind w:right="105"/>
                  <w:rPr>
                    <w:rFonts w:asciiTheme="minorEastAsia" w:eastAsiaTheme="minorEastAsia" w:hAnsiTheme="minorEastAsia" w:cs="Times New Roman"/>
                  </w:rPr>
                </w:pPr>
                <w:r>
                  <w:rPr>
                    <w:rFonts w:asciiTheme="minorEastAsia" w:eastAsiaTheme="minorEastAsia" w:hAnsiTheme="minorEastAsia" w:cs="Times New Roman"/>
                  </w:rPr>
                  <w:t>第三名</w:t>
                </w:r>
              </w:p>
            </w:tc>
            <w:tc>
              <w:tcPr>
                <w:tcW w:w="3013" w:type="dxa"/>
                <w:vAlign w:val="center"/>
              </w:tcPr>
              <w:p w:rsidR="000C5659" w:rsidRDefault="000E33C4">
                <w:pPr>
                  <w:ind w:right="73"/>
                  <w:jc w:val="right"/>
                  <w:rPr>
                    <w:rFonts w:asciiTheme="minorEastAsia" w:eastAsiaTheme="minorEastAsia" w:hAnsiTheme="minorEastAsia" w:cs="Times New Roman"/>
                  </w:rPr>
                </w:pPr>
                <w:r>
                  <w:rPr>
                    <w:rFonts w:asciiTheme="minorEastAsia" w:eastAsiaTheme="minorEastAsia" w:hAnsiTheme="minorEastAsia" w:hint="eastAsia"/>
                  </w:rPr>
                  <w:t>1,200,000.00</w:t>
                </w:r>
              </w:p>
            </w:tc>
            <w:tc>
              <w:tcPr>
                <w:tcW w:w="3014" w:type="dxa"/>
                <w:vAlign w:val="bottom"/>
              </w:tcPr>
              <w:p w:rsidR="000C5659" w:rsidRDefault="000E33C4">
                <w:pPr>
                  <w:jc w:val="right"/>
                  <w:textAlignment w:val="bottom"/>
                  <w:rPr>
                    <w:rFonts w:asciiTheme="minorEastAsia" w:eastAsiaTheme="minorEastAsia" w:hAnsiTheme="minorEastAsia" w:cs="Times New Roman"/>
                  </w:rPr>
                </w:pPr>
                <w:r>
                  <w:rPr>
                    <w:rFonts w:asciiTheme="minorEastAsia" w:eastAsiaTheme="minorEastAsia" w:hAnsiTheme="minorEastAsia" w:cs="等线" w:hint="eastAsia"/>
                    <w:color w:val="000000"/>
                    <w:lang w:bidi="ar"/>
                  </w:rPr>
                  <w:t>5.79</w:t>
                </w:r>
              </w:p>
            </w:tc>
          </w:tr>
          <w:tr w:rsidR="000C5659">
            <w:trPr>
              <w:cantSplit/>
            </w:trPr>
            <w:tc>
              <w:tcPr>
                <w:tcW w:w="1666" w:type="pct"/>
              </w:tcPr>
              <w:p w:rsidR="000C5659" w:rsidRDefault="000E33C4">
                <w:pPr>
                  <w:ind w:right="105"/>
                  <w:rPr>
                    <w:rFonts w:asciiTheme="minorEastAsia" w:eastAsiaTheme="minorEastAsia" w:hAnsiTheme="minorEastAsia" w:cs="Times New Roman"/>
                  </w:rPr>
                </w:pPr>
                <w:r>
                  <w:rPr>
                    <w:rFonts w:asciiTheme="minorEastAsia" w:eastAsiaTheme="minorEastAsia" w:hAnsiTheme="minorEastAsia" w:cs="Times New Roman"/>
                  </w:rPr>
                  <w:t>第四名</w:t>
                </w:r>
              </w:p>
            </w:tc>
            <w:tc>
              <w:tcPr>
                <w:tcW w:w="3013" w:type="dxa"/>
              </w:tcPr>
              <w:p w:rsidR="000C5659" w:rsidRDefault="000E33C4">
                <w:pPr>
                  <w:ind w:right="73"/>
                  <w:jc w:val="right"/>
                  <w:rPr>
                    <w:rFonts w:asciiTheme="minorEastAsia" w:eastAsiaTheme="minorEastAsia" w:hAnsiTheme="minorEastAsia" w:cs="Times New Roman"/>
                  </w:rPr>
                </w:pPr>
                <w:r>
                  <w:rPr>
                    <w:rFonts w:asciiTheme="minorEastAsia" w:eastAsiaTheme="minorEastAsia" w:hAnsiTheme="minorEastAsia" w:hint="eastAsia"/>
                  </w:rPr>
                  <w:t>1,197,397.96</w:t>
                </w:r>
              </w:p>
            </w:tc>
            <w:tc>
              <w:tcPr>
                <w:tcW w:w="3014" w:type="dxa"/>
                <w:vAlign w:val="bottom"/>
              </w:tcPr>
              <w:p w:rsidR="000C5659" w:rsidRDefault="000E33C4">
                <w:pPr>
                  <w:jc w:val="right"/>
                  <w:textAlignment w:val="bottom"/>
                  <w:rPr>
                    <w:rFonts w:asciiTheme="minorEastAsia" w:eastAsiaTheme="minorEastAsia" w:hAnsiTheme="minorEastAsia" w:cs="Times New Roman"/>
                  </w:rPr>
                </w:pPr>
                <w:r>
                  <w:rPr>
                    <w:rFonts w:asciiTheme="minorEastAsia" w:eastAsiaTheme="minorEastAsia" w:hAnsiTheme="minorEastAsia" w:cs="等线" w:hint="eastAsia"/>
                    <w:color w:val="000000"/>
                    <w:lang w:bidi="ar"/>
                  </w:rPr>
                  <w:t>5.78</w:t>
                </w:r>
              </w:p>
            </w:tc>
          </w:tr>
          <w:tr w:rsidR="000C5659">
            <w:trPr>
              <w:cantSplit/>
            </w:trPr>
            <w:tc>
              <w:tcPr>
                <w:tcW w:w="1666" w:type="pct"/>
              </w:tcPr>
              <w:p w:rsidR="000C5659" w:rsidRDefault="000E33C4">
                <w:pPr>
                  <w:ind w:right="105"/>
                  <w:rPr>
                    <w:rFonts w:asciiTheme="minorEastAsia" w:eastAsiaTheme="minorEastAsia" w:hAnsiTheme="minorEastAsia" w:cs="Times New Roman"/>
                  </w:rPr>
                </w:pPr>
                <w:r>
                  <w:rPr>
                    <w:rFonts w:asciiTheme="minorEastAsia" w:eastAsiaTheme="minorEastAsia" w:hAnsiTheme="minorEastAsia" w:cs="Times New Roman"/>
                  </w:rPr>
                  <w:t>第五名</w:t>
                </w:r>
              </w:p>
            </w:tc>
            <w:tc>
              <w:tcPr>
                <w:tcW w:w="3013" w:type="dxa"/>
              </w:tcPr>
              <w:p w:rsidR="000C5659" w:rsidRDefault="000E33C4">
                <w:pPr>
                  <w:ind w:right="73"/>
                  <w:jc w:val="right"/>
                  <w:rPr>
                    <w:rFonts w:asciiTheme="minorEastAsia" w:eastAsiaTheme="minorEastAsia" w:hAnsiTheme="minorEastAsia" w:cs="Times New Roman"/>
                  </w:rPr>
                </w:pPr>
                <w:r>
                  <w:rPr>
                    <w:rFonts w:asciiTheme="minorEastAsia" w:eastAsiaTheme="minorEastAsia" w:hAnsiTheme="minorEastAsia" w:hint="eastAsia"/>
                  </w:rPr>
                  <w:t>860,138.06</w:t>
                </w:r>
              </w:p>
            </w:tc>
            <w:tc>
              <w:tcPr>
                <w:tcW w:w="3014" w:type="dxa"/>
                <w:vAlign w:val="bottom"/>
              </w:tcPr>
              <w:p w:rsidR="000C5659" w:rsidRDefault="000E33C4">
                <w:pPr>
                  <w:jc w:val="right"/>
                  <w:textAlignment w:val="bottom"/>
                  <w:rPr>
                    <w:rFonts w:asciiTheme="minorEastAsia" w:eastAsiaTheme="minorEastAsia" w:hAnsiTheme="minorEastAsia" w:cs="Times New Roman"/>
                  </w:rPr>
                </w:pPr>
                <w:r>
                  <w:rPr>
                    <w:rFonts w:asciiTheme="minorEastAsia" w:eastAsiaTheme="minorEastAsia" w:hAnsiTheme="minorEastAsia" w:cs="等线" w:hint="eastAsia"/>
                    <w:color w:val="000000"/>
                    <w:lang w:bidi="ar"/>
                  </w:rPr>
                  <w:t>4.15</w:t>
                </w:r>
              </w:p>
            </w:tc>
          </w:tr>
          <w:tr w:rsidR="000C5659">
            <w:trPr>
              <w:cantSplit/>
            </w:trPr>
            <w:tc>
              <w:tcPr>
                <w:tcW w:w="1666" w:type="pct"/>
              </w:tcPr>
              <w:p w:rsidR="000C5659" w:rsidRDefault="000E33C4">
                <w:pPr>
                  <w:ind w:right="105"/>
                  <w:jc w:val="center"/>
                  <w:rPr>
                    <w:rFonts w:asciiTheme="minorEastAsia" w:eastAsiaTheme="minorEastAsia" w:hAnsiTheme="minorEastAsia" w:cs="Times New Roman"/>
                  </w:rPr>
                </w:pPr>
                <w:r>
                  <w:rPr>
                    <w:rFonts w:asciiTheme="minorEastAsia" w:eastAsiaTheme="minorEastAsia" w:hAnsiTheme="minorEastAsia" w:cs="Times New Roman" w:hint="eastAsia"/>
                  </w:rPr>
                  <w:t>合计</w:t>
                </w:r>
              </w:p>
            </w:tc>
            <w:tc>
              <w:tcPr>
                <w:tcW w:w="3013" w:type="dxa"/>
              </w:tcPr>
              <w:p w:rsidR="000C5659" w:rsidRDefault="000E33C4">
                <w:pPr>
                  <w:ind w:right="73"/>
                  <w:jc w:val="right"/>
                  <w:rPr>
                    <w:rFonts w:asciiTheme="minorEastAsia" w:eastAsiaTheme="minorEastAsia" w:hAnsiTheme="minorEastAsia" w:cs="Times New Roman"/>
                  </w:rPr>
                </w:pPr>
                <w:r>
                  <w:rPr>
                    <w:rFonts w:asciiTheme="minorEastAsia" w:eastAsiaTheme="minorEastAsia" w:hAnsiTheme="minorEastAsia" w:hint="eastAsia"/>
                  </w:rPr>
                  <w:t>6,935,550.59</w:t>
                </w:r>
              </w:p>
            </w:tc>
            <w:tc>
              <w:tcPr>
                <w:tcW w:w="3014" w:type="dxa"/>
                <w:vAlign w:val="bottom"/>
              </w:tcPr>
              <w:p w:rsidR="000C5659" w:rsidRDefault="000E33C4">
                <w:pPr>
                  <w:jc w:val="right"/>
                  <w:textAlignment w:val="bottom"/>
                  <w:rPr>
                    <w:rFonts w:asciiTheme="minorEastAsia" w:eastAsiaTheme="minorEastAsia" w:hAnsiTheme="minorEastAsia" w:cs="Times New Roman"/>
                  </w:rPr>
                </w:pPr>
                <w:r>
                  <w:rPr>
                    <w:rFonts w:asciiTheme="minorEastAsia" w:eastAsiaTheme="minorEastAsia" w:hAnsiTheme="minorEastAsia" w:cs="等线" w:hint="eastAsia"/>
                    <w:color w:val="000000"/>
                    <w:lang w:bidi="ar"/>
                  </w:rPr>
                  <w:t>33.46</w:t>
                </w:r>
              </w:p>
            </w:tc>
          </w:tr>
        </w:tbl>
        <w:p w:rsidR="000C5659" w:rsidRDefault="00220B84">
          <w:pPr>
            <w:snapToGrid w:val="0"/>
            <w:spacing w:line="240" w:lineRule="atLeast"/>
            <w:rPr>
              <w:color w:val="000000" w:themeColor="text1"/>
            </w:rPr>
          </w:pPr>
        </w:p>
      </w:sdtContent>
    </w:sdt>
    <w:p w:rsidR="000C5659" w:rsidRDefault="000E33C4">
      <w:pPr>
        <w:rPr>
          <w:color w:val="000000" w:themeColor="text1"/>
        </w:rPr>
      </w:pPr>
      <w:r>
        <w:rPr>
          <w:rFonts w:hint="eastAsia"/>
          <w:color w:val="000000" w:themeColor="text1"/>
        </w:rPr>
        <w:t>其他说明</w:t>
      </w:r>
    </w:p>
    <w:sdt>
      <w:sdtPr>
        <w:rPr>
          <w:color w:val="000000" w:themeColor="text1"/>
        </w:rPr>
        <w:alias w:val="是否适用：预付帐款的说明[双击切换]"/>
        <w:tag w:val="_GBC_c712ee6483d44c77b1f563e552689c6d"/>
        <w:id w:val="160839478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其他应收款</w:t>
      </w:r>
    </w:p>
    <w:p w:rsidR="000C5659" w:rsidRDefault="000E33C4">
      <w:pPr>
        <w:pStyle w:val="43"/>
        <w:rPr>
          <w:rFonts w:ascii="宋体" w:hAnsi="宋体"/>
          <w:color w:val="000000" w:themeColor="text1"/>
        </w:rPr>
      </w:pPr>
      <w:bookmarkStart w:id="193" w:name="_Hlk10467611"/>
      <w:r>
        <w:rPr>
          <w:rFonts w:ascii="宋体" w:hAnsi="宋体" w:hint="eastAsia"/>
          <w:color w:val="000000" w:themeColor="text1"/>
        </w:rPr>
        <w:t>项目列示</w:t>
      </w:r>
    </w:p>
    <w:sdt>
      <w:sdtPr>
        <w:rPr>
          <w:color w:val="000000" w:themeColor="text1"/>
        </w:rPr>
        <w:alias w:val="是否适用：其他应收款分类列示[双击切换]"/>
        <w:tag w:val="_GBC_23e3e9ad53624abaaa00fc7f7c24842a"/>
        <w:id w:val="-30193240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其他应收款分类列示"/>
          <w:tag w:val="_GBC_b73f89c776a341249ed520fe726b4db9"/>
          <w:id w:val="18312534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应收款分类列示"/>
          <w:tag w:val="_GBC_a23554f2403346ea97b8fb1ef551ebe4"/>
          <w:id w:val="6877142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6"/>
        <w:gridCol w:w="2862"/>
        <w:gridCol w:w="2845"/>
      </w:tblGrid>
      <w:tr w:rsidR="000C5659">
        <w:trPr>
          <w:cantSplit/>
        </w:trPr>
        <w:bookmarkStart w:id="194" w:name="_Hlk532906097" w:displacedByCustomXml="next"/>
        <w:sdt>
          <w:sdtPr>
            <w:rPr>
              <w:color w:val="000000" w:themeColor="text1"/>
            </w:rPr>
            <w:tag w:val="_PLD_3b049b9a7f344665a70a23c402afbda5"/>
            <w:id w:val="-1014457611"/>
          </w:sdtPr>
          <w:sdtEndPr/>
          <w:sdtContent>
            <w:tc>
              <w:tcPr>
                <w:tcW w:w="1765" w:type="pct"/>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550a4ba0fb444ea69297bd36780a7618"/>
            <w:id w:val="222342805"/>
          </w:sdtPr>
          <w:sdtEndPr/>
          <w:sdtContent>
            <w:tc>
              <w:tcPr>
                <w:tcW w:w="1622" w:type="pct"/>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d58c3f70487c440b99a9f440a2d57d1e"/>
            <w:id w:val="-115527836"/>
          </w:sdtPr>
          <w:sdtEndPr/>
          <w:sdtContent>
            <w:tc>
              <w:tcPr>
                <w:tcW w:w="1612" w:type="pct"/>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1765" w:type="pct"/>
          </w:tcPr>
          <w:p w:rsidR="000C5659" w:rsidRDefault="000E33C4">
            <w:pPr>
              <w:ind w:right="5"/>
              <w:rPr>
                <w:color w:val="000000" w:themeColor="text1"/>
              </w:rPr>
            </w:pPr>
            <w:r>
              <w:rPr>
                <w:rFonts w:hint="eastAsia"/>
                <w:color w:val="000000" w:themeColor="text1"/>
              </w:rPr>
              <w:t>应收利息</w:t>
            </w:r>
          </w:p>
        </w:tc>
        <w:tc>
          <w:tcPr>
            <w:tcW w:w="1622" w:type="pct"/>
          </w:tcPr>
          <w:p w:rsidR="000C5659" w:rsidRDefault="000C5659">
            <w:pPr>
              <w:ind w:right="5"/>
              <w:jc w:val="right"/>
            </w:pPr>
          </w:p>
        </w:tc>
        <w:tc>
          <w:tcPr>
            <w:tcW w:w="1612" w:type="pct"/>
          </w:tcPr>
          <w:p w:rsidR="000C5659" w:rsidRDefault="000C5659">
            <w:pPr>
              <w:ind w:right="5"/>
              <w:jc w:val="right"/>
            </w:pPr>
          </w:p>
        </w:tc>
      </w:tr>
      <w:tr w:rsidR="000C5659">
        <w:trPr>
          <w:cantSplit/>
        </w:trPr>
        <w:tc>
          <w:tcPr>
            <w:tcW w:w="1765" w:type="pct"/>
          </w:tcPr>
          <w:p w:rsidR="000C5659" w:rsidRDefault="000E33C4">
            <w:pPr>
              <w:ind w:right="5"/>
              <w:rPr>
                <w:color w:val="000000" w:themeColor="text1"/>
              </w:rPr>
            </w:pPr>
            <w:r>
              <w:rPr>
                <w:rFonts w:hint="eastAsia"/>
                <w:color w:val="000000" w:themeColor="text1"/>
              </w:rPr>
              <w:t>应收股利</w:t>
            </w:r>
          </w:p>
        </w:tc>
        <w:tc>
          <w:tcPr>
            <w:tcW w:w="1622" w:type="pct"/>
          </w:tcPr>
          <w:p w:rsidR="000C5659" w:rsidRDefault="000C5659">
            <w:pPr>
              <w:ind w:right="5"/>
              <w:jc w:val="right"/>
            </w:pPr>
          </w:p>
        </w:tc>
        <w:tc>
          <w:tcPr>
            <w:tcW w:w="1612" w:type="pct"/>
          </w:tcPr>
          <w:p w:rsidR="000C5659" w:rsidRDefault="000C5659">
            <w:pPr>
              <w:ind w:right="5"/>
              <w:jc w:val="right"/>
            </w:pPr>
          </w:p>
        </w:tc>
      </w:tr>
      <w:tr w:rsidR="000C5659">
        <w:trPr>
          <w:cantSplit/>
        </w:trPr>
        <w:tc>
          <w:tcPr>
            <w:tcW w:w="1765" w:type="pct"/>
          </w:tcPr>
          <w:p w:rsidR="000C5659" w:rsidRDefault="000E33C4">
            <w:pPr>
              <w:ind w:right="5"/>
              <w:rPr>
                <w:color w:val="000000" w:themeColor="text1"/>
              </w:rPr>
            </w:pPr>
            <w:r>
              <w:rPr>
                <w:rFonts w:hint="eastAsia"/>
                <w:color w:val="000000" w:themeColor="text1"/>
              </w:rPr>
              <w:t>其他应收款</w:t>
            </w:r>
          </w:p>
        </w:tc>
        <w:tc>
          <w:tcPr>
            <w:tcW w:w="1622" w:type="pct"/>
          </w:tcPr>
          <w:p w:rsidR="000C5659" w:rsidRDefault="000E33C4">
            <w:pPr>
              <w:ind w:right="5"/>
              <w:jc w:val="right"/>
            </w:pPr>
            <w:r>
              <w:rPr>
                <w:rFonts w:hint="eastAsia"/>
              </w:rPr>
              <w:t>6,971,476.01</w:t>
            </w:r>
          </w:p>
        </w:tc>
        <w:tc>
          <w:tcPr>
            <w:tcW w:w="1612" w:type="pct"/>
          </w:tcPr>
          <w:p w:rsidR="000C5659" w:rsidRDefault="000E33C4">
            <w:pPr>
              <w:ind w:right="5"/>
              <w:jc w:val="right"/>
            </w:pPr>
            <w:r>
              <w:t>5,219,383.26</w:t>
            </w:r>
          </w:p>
        </w:tc>
      </w:tr>
      <w:tr w:rsidR="000C5659">
        <w:trPr>
          <w:cantSplit/>
        </w:trPr>
        <w:tc>
          <w:tcPr>
            <w:tcW w:w="1765" w:type="pct"/>
          </w:tcPr>
          <w:p w:rsidR="000C5659" w:rsidRDefault="000E33C4">
            <w:pPr>
              <w:autoSpaceDE w:val="0"/>
              <w:autoSpaceDN w:val="0"/>
              <w:adjustRightInd w:val="0"/>
              <w:jc w:val="center"/>
              <w:rPr>
                <w:color w:val="000000" w:themeColor="text1"/>
              </w:rPr>
            </w:pPr>
            <w:r>
              <w:rPr>
                <w:rFonts w:hint="eastAsia"/>
                <w:color w:val="000000" w:themeColor="text1"/>
              </w:rPr>
              <w:t>合计</w:t>
            </w:r>
          </w:p>
        </w:tc>
        <w:tc>
          <w:tcPr>
            <w:tcW w:w="1622" w:type="pct"/>
            <w:shd w:val="clear" w:color="auto" w:fill="auto"/>
            <w:vAlign w:val="bottom"/>
          </w:tcPr>
          <w:p w:rsidR="000C5659" w:rsidRDefault="000E33C4">
            <w:pPr>
              <w:jc w:val="right"/>
              <w:textAlignment w:val="bottom"/>
              <w:rPr>
                <w:rFonts w:ascii="黑体" w:eastAsia="黑体" w:cs="黑体"/>
                <w:b/>
                <w:color w:val="000000"/>
                <w:sz w:val="18"/>
                <w:szCs w:val="18"/>
              </w:rPr>
            </w:pPr>
            <w:r>
              <w:rPr>
                <w:rFonts w:eastAsia="黑体" w:hint="eastAsia"/>
              </w:rPr>
              <w:t>6,971,476.01</w:t>
            </w:r>
          </w:p>
        </w:tc>
        <w:tc>
          <w:tcPr>
            <w:tcW w:w="1612" w:type="pct"/>
          </w:tcPr>
          <w:p w:rsidR="000C5659" w:rsidRDefault="000E33C4">
            <w:pPr>
              <w:jc w:val="right"/>
            </w:pPr>
            <w:r>
              <w:t>5,219,383.26</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bookmarkEnd w:id="194"/>
    </w:p>
    <w:sdt>
      <w:sdtPr>
        <w:rPr>
          <w:color w:val="000000" w:themeColor="text1"/>
        </w:rPr>
        <w:alias w:val="是否适用：其他应收款分类列示其他说明[双击切换]"/>
        <w:tag w:val="_GBC_73a4089b33094d13b0ea7c9bf8cfb58f"/>
        <w:id w:val="184920583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193"/>
    <w:p w:rsidR="000C5659" w:rsidRDefault="000E33C4">
      <w:pPr>
        <w:pStyle w:val="43"/>
        <w:tabs>
          <w:tab w:val="left" w:pos="546"/>
        </w:tabs>
        <w:rPr>
          <w:rFonts w:ascii="宋体" w:hAnsi="宋体"/>
          <w:color w:val="000000" w:themeColor="text1"/>
        </w:rPr>
      </w:pPr>
      <w:r>
        <w:rPr>
          <w:rFonts w:ascii="宋体" w:hAnsi="宋体" w:cs="宋体" w:hint="eastAsia"/>
          <w:color w:val="000000" w:themeColor="text1"/>
          <w:kern w:val="0"/>
          <w:szCs w:val="22"/>
        </w:rPr>
        <w:t>应收利息</w:t>
      </w:r>
    </w:p>
    <w:p w:rsidR="000C5659" w:rsidRDefault="000E33C4" w:rsidP="000743DD">
      <w:pPr>
        <w:pStyle w:val="43"/>
        <w:numPr>
          <w:ilvl w:val="3"/>
          <w:numId w:val="56"/>
        </w:numPr>
        <w:tabs>
          <w:tab w:val="left" w:pos="546"/>
        </w:tabs>
        <w:rPr>
          <w:rFonts w:ascii="宋体" w:hAnsi="宋体"/>
          <w:color w:val="000000" w:themeColor="text1"/>
        </w:rPr>
      </w:pPr>
      <w:r>
        <w:rPr>
          <w:rFonts w:ascii="宋体" w:hAnsi="宋体" w:hint="eastAsia"/>
          <w:color w:val="000000" w:themeColor="text1"/>
        </w:rPr>
        <w:t>应收利息分类</w:t>
      </w:r>
    </w:p>
    <w:sdt>
      <w:sdtPr>
        <w:rPr>
          <w:color w:val="000000" w:themeColor="text1"/>
        </w:rPr>
        <w:alias w:val="是否适用：应收利息分类[双击切换]"/>
        <w:tag w:val="_GBC_86f9e9a81d7d4e07ae6873a88ddf6cc7"/>
        <w:id w:val="17254117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6"/>
        </w:numPr>
        <w:tabs>
          <w:tab w:val="left" w:pos="546"/>
        </w:tabs>
        <w:rPr>
          <w:rFonts w:ascii="宋体" w:hAnsi="宋体"/>
          <w:color w:val="000000" w:themeColor="text1"/>
        </w:rPr>
      </w:pPr>
      <w:r>
        <w:rPr>
          <w:rFonts w:ascii="宋体" w:hAnsi="宋体" w:hint="eastAsia"/>
          <w:color w:val="000000" w:themeColor="text1"/>
        </w:rPr>
        <w:t>重要逾期利息</w:t>
      </w:r>
    </w:p>
    <w:sdt>
      <w:sdtPr>
        <w:rPr>
          <w:color w:val="000000" w:themeColor="text1"/>
        </w:rPr>
        <w:alias w:val="是否适用：重要逾期利息[双击切换]"/>
        <w:tag w:val="_GBC_4554f307ef2241a583829b74df8ef0c3"/>
        <w:id w:val="140680995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6"/>
        </w:numPr>
        <w:tabs>
          <w:tab w:val="left" w:pos="546"/>
        </w:tabs>
        <w:rPr>
          <w:rFonts w:ascii="宋体" w:hAnsi="宋体" w:cs="宋体"/>
          <w:color w:val="000000" w:themeColor="text1"/>
          <w:kern w:val="0"/>
          <w:szCs w:val="24"/>
        </w:rPr>
      </w:pPr>
      <w:bookmarkStart w:id="195" w:name="_Hlk153374831"/>
      <w:bookmarkStart w:id="196" w:name="_Hlk167889561"/>
      <w:r>
        <w:rPr>
          <w:rFonts w:ascii="宋体" w:hAnsi="宋体" w:cs="宋体" w:hint="eastAsia"/>
          <w:color w:val="000000" w:themeColor="text1"/>
          <w:kern w:val="0"/>
          <w:szCs w:val="24"/>
        </w:rPr>
        <w:t>按</w:t>
      </w:r>
      <w:r>
        <w:rPr>
          <w:rFonts w:ascii="宋体" w:hAnsi="宋体" w:cs="宋体"/>
          <w:color w:val="000000" w:themeColor="text1"/>
          <w:kern w:val="0"/>
          <w:szCs w:val="24"/>
        </w:rPr>
        <w:t>坏账计提方法分类披露</w:t>
      </w:r>
    </w:p>
    <w:sdt>
      <w:sdtPr>
        <w:rPr>
          <w:color w:val="000000" w:themeColor="text1"/>
        </w:rPr>
        <w:alias w:val="是否适用：按坏账计提方法分类披露[双击切换]"/>
        <w:tag w:val="_GBC_e7c7032e67f14d5baddb2d7b0cdebf38"/>
        <w:id w:val="79186478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07ebcd379e854ad8bd9de0d3ef457583"/>
        <w:id w:val="86941858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e47d50d50fc4b3095057ac3908e407b"/>
        <w:id w:val="-150874131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0dc49505e0b44d56bf15079c4ea20a9a"/>
        <w:id w:val="-583609103"/>
        <w:placeholder>
          <w:docPart w:val="GBC22222222222222222222222222222"/>
        </w:placeholder>
      </w:sdtPr>
      <w:sdtEndPr/>
      <w:sdtContent>
        <w:p w:rsidR="000C5659" w:rsidRDefault="000E33C4">
          <w:pPr>
            <w:rPr>
              <w:color w:val="000000" w:themeColor="text1"/>
            </w:rPr>
          </w:pP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0C5659" w:rsidRDefault="000C5659">
      <w:pPr>
        <w:rPr>
          <w:rFonts w:ascii="Calibri" w:hAnsi="Calibri" w:cs="Times New Roman"/>
          <w:b/>
          <w:color w:val="000000" w:themeColor="text1"/>
          <w:szCs w:val="22"/>
        </w:rPr>
      </w:pPr>
    </w:p>
    <w:p w:rsidR="000C5659" w:rsidRDefault="000E33C4" w:rsidP="000743DD">
      <w:pPr>
        <w:pStyle w:val="43"/>
        <w:numPr>
          <w:ilvl w:val="3"/>
          <w:numId w:val="56"/>
        </w:numPr>
        <w:tabs>
          <w:tab w:val="left" w:pos="546"/>
        </w:tabs>
        <w:rPr>
          <w:rFonts w:ascii="宋体" w:hAnsi="宋体"/>
          <w:color w:val="000000" w:themeColor="text1"/>
          <w:szCs w:val="21"/>
        </w:rPr>
      </w:pPr>
      <w:bookmarkStart w:id="197" w:name="_Hlk10468247"/>
      <w:bookmarkEnd w:id="195"/>
      <w:bookmarkEnd w:id="196"/>
      <w:r>
        <w:rPr>
          <w:rFonts w:ascii="宋体" w:hAnsi="宋体" w:hint="eastAsia"/>
          <w:color w:val="000000" w:themeColor="text1"/>
          <w:szCs w:val="21"/>
        </w:rPr>
        <w:t>按预期信用损失一般模型计提坏账准备</w:t>
      </w:r>
    </w:p>
    <w:sdt>
      <w:sdtPr>
        <w:rPr>
          <w:color w:val="000000" w:themeColor="text1"/>
        </w:rPr>
        <w:alias w:val="是否适用：应收利息坏账准备调节表[双击切换]"/>
        <w:tag w:val="_GBC_2081adab30854417bcfae25caae8c9f9"/>
        <w:id w:val="-1805226527"/>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6"/>
        </w:numPr>
        <w:tabs>
          <w:tab w:val="left" w:pos="546"/>
        </w:tabs>
        <w:rPr>
          <w:rFonts w:ascii="宋体" w:hAnsi="宋体" w:cs="宋体"/>
          <w:color w:val="000000" w:themeColor="text1"/>
          <w:kern w:val="0"/>
          <w:szCs w:val="21"/>
        </w:rPr>
      </w:pPr>
      <w:bookmarkStart w:id="198" w:name="_Hlk153375041"/>
      <w:bookmarkStart w:id="199" w:name="_Hlk167889778"/>
      <w:bookmarkEnd w:id="197"/>
      <w:r>
        <w:rPr>
          <w:rFonts w:ascii="宋体" w:hAnsi="宋体" w:cs="宋体" w:hint="eastAsia"/>
          <w:color w:val="000000" w:themeColor="text1"/>
          <w:kern w:val="0"/>
          <w:szCs w:val="21"/>
        </w:rPr>
        <w:t>坏账准备的情况</w:t>
      </w:r>
    </w:p>
    <w:sdt>
      <w:sdtPr>
        <w:rPr>
          <w:color w:val="000000" w:themeColor="text1"/>
        </w:rPr>
        <w:alias w:val="是否适用：坏账准备情况[双击切换]"/>
        <w:tag w:val="_GBC_4a551e6f1c064b2d9170d6f608a5d12b"/>
        <w:id w:val="-1163699926"/>
        <w:placeholder>
          <w:docPart w:val="GBC22222222222222222222222222222"/>
        </w:placeholder>
      </w:sdtPr>
      <w:sdtEndPr/>
      <w:sdtContent>
        <w:p w:rsidR="000C5659" w:rsidRDefault="000E33C4">
          <w:pPr>
            <w:pStyle w:val="Style197"/>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pStyle w:val="Style197"/>
        <w:rPr>
          <w:color w:val="000000" w:themeColor="text1"/>
        </w:rPr>
      </w:pPr>
    </w:p>
    <w:p w:rsidR="000C5659" w:rsidRDefault="000E33C4">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092fe8f9b7d425eb163b84fd07f53f0"/>
        <w:id w:val="-43158563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坏账准备情况的说明"/>
        <w:tag w:val="_GBC_456f6a2707124917aced7af3ec2980f6"/>
        <w:id w:val="132535312"/>
        <w:placeholder>
          <w:docPart w:val="GBC22222222222222222222222222222"/>
        </w:placeholder>
      </w:sdtPr>
      <w:sdtEndPr/>
      <w:sdtContent>
        <w:p w:rsidR="000C5659" w:rsidRDefault="000E33C4">
          <w:pPr>
            <w:ind w:rightChars="20" w:right="42"/>
            <w:rPr>
              <w:color w:val="000000" w:themeColor="text1"/>
            </w:rPr>
          </w:pPr>
          <w:r>
            <w:rPr>
              <w:rFonts w:hint="eastAsia"/>
              <w:color w:val="000000" w:themeColor="text1"/>
            </w:rPr>
            <w:t>无</w:t>
          </w:r>
        </w:p>
      </w:sdtContent>
    </w:sdt>
    <w:p w:rsidR="000C5659" w:rsidRDefault="000C5659">
      <w:pPr>
        <w:ind w:rightChars="-759" w:right="-1594"/>
        <w:rPr>
          <w:color w:val="000000" w:themeColor="text1"/>
        </w:rPr>
      </w:pPr>
    </w:p>
    <w:p w:rsidR="000C5659" w:rsidRDefault="000E33C4" w:rsidP="000743DD">
      <w:pPr>
        <w:pStyle w:val="43"/>
        <w:numPr>
          <w:ilvl w:val="3"/>
          <w:numId w:val="56"/>
        </w:numPr>
        <w:tabs>
          <w:tab w:val="left" w:pos="546"/>
        </w:tabs>
        <w:rPr>
          <w:rFonts w:ascii="宋体" w:hAnsi="宋体" w:cs="宋体"/>
          <w:color w:val="000000" w:themeColor="text1"/>
          <w:kern w:val="0"/>
          <w:szCs w:val="21"/>
        </w:rPr>
      </w:pPr>
      <w:r>
        <w:rPr>
          <w:rFonts w:ascii="宋体" w:hAnsi="宋体" w:cs="宋体"/>
          <w:color w:val="000000" w:themeColor="text1"/>
          <w:kern w:val="0"/>
          <w:szCs w:val="21"/>
        </w:rPr>
        <w:t>本期实际核销的应收</w:t>
      </w:r>
      <w:r>
        <w:rPr>
          <w:rFonts w:ascii="宋体" w:hAnsi="宋体" w:cs="宋体" w:hint="eastAsia"/>
          <w:color w:val="000000" w:themeColor="text1"/>
          <w:kern w:val="0"/>
          <w:szCs w:val="21"/>
        </w:rPr>
        <w:t>利息</w:t>
      </w:r>
      <w:r>
        <w:rPr>
          <w:rFonts w:ascii="宋体" w:hAnsi="宋体" w:cs="宋体"/>
          <w:color w:val="000000" w:themeColor="text1"/>
          <w:kern w:val="0"/>
          <w:szCs w:val="21"/>
        </w:rPr>
        <w:t>情况</w:t>
      </w:r>
    </w:p>
    <w:sdt>
      <w:sdtPr>
        <w:rPr>
          <w:color w:val="000000" w:themeColor="text1"/>
        </w:rPr>
        <w:alias w:val="是否适用：实际核销的情况[双击切换]"/>
        <w:tag w:val="_GBC_4b850c38d1264ec6b7921671d08b78eb"/>
        <w:id w:val="11170228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其中重要的应收利息核销情况</w:t>
      </w:r>
    </w:p>
    <w:sdt>
      <w:sdtPr>
        <w:rPr>
          <w:rFonts w:hint="eastAsia"/>
          <w:color w:val="000000" w:themeColor="text1"/>
        </w:rPr>
        <w:alias w:val="是否适用：重要的核销情况[双击切换]"/>
        <w:tag w:val="_GBC_01d7a4e15dbb43749e9afdba26e20527"/>
        <w:id w:val="169996866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fa943be869f247e4945a7336e3ce2e1f"/>
        <w:id w:val="109406462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198"/>
    <w:bookmarkEnd w:id="199"/>
    <w:p w:rsidR="000C5659" w:rsidRDefault="000E33C4">
      <w:pPr>
        <w:rPr>
          <w:color w:val="000000" w:themeColor="text1"/>
        </w:rPr>
      </w:pPr>
      <w:r>
        <w:rPr>
          <w:rFonts w:hint="eastAsia"/>
          <w:color w:val="000000" w:themeColor="text1"/>
        </w:rPr>
        <w:t>其他说明：</w:t>
      </w:r>
    </w:p>
    <w:sdt>
      <w:sdtPr>
        <w:rPr>
          <w:color w:val="000000" w:themeColor="text1"/>
        </w:rPr>
        <w:alias w:val="是否适用：应收利息的说明[双击切换]"/>
        <w:tag w:val="_GBC_9fcbab94f58048baace4761ca17ae925"/>
        <w:id w:val="-206340104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43"/>
        <w:rPr>
          <w:rFonts w:ascii="宋体" w:hAnsi="宋体"/>
          <w:color w:val="000000" w:themeColor="text1"/>
        </w:rPr>
      </w:pPr>
      <w:r>
        <w:rPr>
          <w:rFonts w:ascii="宋体" w:hAnsi="宋体" w:hint="eastAsia"/>
          <w:color w:val="000000" w:themeColor="text1"/>
        </w:rPr>
        <w:lastRenderedPageBreak/>
        <w:t>应收股利</w:t>
      </w:r>
    </w:p>
    <w:p w:rsidR="000C5659" w:rsidRDefault="000E33C4" w:rsidP="000743DD">
      <w:pPr>
        <w:pStyle w:val="43"/>
        <w:numPr>
          <w:ilvl w:val="3"/>
          <w:numId w:val="57"/>
        </w:numPr>
        <w:tabs>
          <w:tab w:val="left" w:pos="560"/>
        </w:tabs>
        <w:rPr>
          <w:rFonts w:ascii="宋体" w:hAnsi="宋体"/>
          <w:color w:val="000000" w:themeColor="text1"/>
        </w:rPr>
      </w:pPr>
      <w:r>
        <w:rPr>
          <w:rFonts w:ascii="宋体" w:hAnsi="宋体" w:hint="eastAsia"/>
          <w:color w:val="000000" w:themeColor="text1"/>
        </w:rPr>
        <w:t>应收股利</w:t>
      </w:r>
    </w:p>
    <w:sdt>
      <w:sdtPr>
        <w:rPr>
          <w:color w:val="000000" w:themeColor="text1"/>
        </w:rPr>
        <w:alias w:val="是否适用：应收股利[双击切换]"/>
        <w:tag w:val="_GBC_002b8ba295db406eb34a179aa27a4801"/>
        <w:id w:val="26628155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7"/>
        </w:numPr>
        <w:tabs>
          <w:tab w:val="left" w:pos="560"/>
        </w:tabs>
        <w:rPr>
          <w:rFonts w:ascii="宋体" w:hAnsi="宋体"/>
          <w:color w:val="000000" w:themeColor="text1"/>
        </w:rPr>
      </w:pPr>
      <w:r>
        <w:rPr>
          <w:rFonts w:ascii="宋体" w:hAnsi="宋体" w:hint="eastAsia"/>
          <w:color w:val="000000" w:themeColor="text1"/>
        </w:rPr>
        <w:t>重要的账龄超过1年的应收股利</w:t>
      </w:r>
    </w:p>
    <w:p w:rsidR="000C5659" w:rsidRDefault="00220B84">
      <w:pPr>
        <w:rPr>
          <w:color w:val="000000" w:themeColor="text1"/>
        </w:rPr>
      </w:pPr>
      <w:sdt>
        <w:sdtPr>
          <w:rPr>
            <w:rFonts w:hint="eastAsia"/>
            <w:color w:val="000000" w:themeColor="text1"/>
          </w:rPr>
          <w:alias w:val="是否适用：重要的账龄超过1年的应收股利[双击切换]"/>
          <w:tag w:val="_GBC_9aa7ef4a3c0c40638901a5b7f6224231"/>
          <w:id w:val="-1810079040"/>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rPr>
      </w:pPr>
    </w:p>
    <w:p w:rsidR="000C5659" w:rsidRDefault="000E33C4" w:rsidP="000743DD">
      <w:pPr>
        <w:pStyle w:val="43"/>
        <w:numPr>
          <w:ilvl w:val="3"/>
          <w:numId w:val="57"/>
        </w:numPr>
        <w:tabs>
          <w:tab w:val="left" w:pos="560"/>
        </w:tabs>
        <w:rPr>
          <w:rFonts w:ascii="宋体" w:hAnsi="宋体" w:cstheme="minorBidi"/>
          <w:color w:val="000000" w:themeColor="text1"/>
          <w:kern w:val="0"/>
          <w:szCs w:val="22"/>
        </w:rPr>
      </w:pPr>
      <w:bookmarkStart w:id="200" w:name="_Hlk167889908"/>
      <w:bookmarkStart w:id="201" w:name="_Hlk153377225"/>
      <w:r>
        <w:rPr>
          <w:rFonts w:ascii="宋体" w:hAnsi="宋体" w:cstheme="minorBidi" w:hint="eastAsia"/>
          <w:color w:val="000000" w:themeColor="text1"/>
          <w:kern w:val="0"/>
          <w:szCs w:val="22"/>
        </w:rPr>
        <w:t>按</w:t>
      </w:r>
      <w:r>
        <w:rPr>
          <w:rFonts w:ascii="宋体" w:hAnsi="宋体" w:cstheme="minorBidi"/>
          <w:color w:val="000000" w:themeColor="text1"/>
          <w:kern w:val="0"/>
          <w:szCs w:val="22"/>
        </w:rPr>
        <w:t>坏账计提方法分类披露</w:t>
      </w:r>
    </w:p>
    <w:sdt>
      <w:sdtPr>
        <w:rPr>
          <w:color w:val="000000" w:themeColor="text1"/>
        </w:rPr>
        <w:alias w:val="是否适用：按坏账计提方法分类披露[双击切换]"/>
        <w:tag w:val="_GBC_8b70ad2470ad4f7fa9d5783df04c53e3"/>
        <w:id w:val="-132712644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483991b4a15b41e5972cf3114089a5f0"/>
        <w:id w:val="-59656044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d7afb2e278434689a41c386c91ae5fd8"/>
        <w:id w:val="-5966432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37434366d06a4e49b22522b1d88358dd"/>
        <w:id w:val="1824382187"/>
        <w:placeholder>
          <w:docPart w:val="GBC22222222222222222222222222222"/>
        </w:placeholder>
      </w:sdtPr>
      <w:sdtEndPr/>
      <w:sdtContent>
        <w:p w:rsidR="000C5659" w:rsidRDefault="000E33C4">
          <w:pPr>
            <w:rPr>
              <w:color w:val="000000" w:themeColor="text1"/>
            </w:rPr>
          </w:pP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0C5659" w:rsidRDefault="000C5659">
      <w:pPr>
        <w:rPr>
          <w:rFonts w:ascii="Calibri" w:hAnsi="Calibri" w:cs="Times New Roman"/>
          <w:b/>
          <w:color w:val="000000" w:themeColor="text1"/>
          <w:szCs w:val="22"/>
        </w:rPr>
      </w:pPr>
    </w:p>
    <w:p w:rsidR="000C5659" w:rsidRDefault="000E33C4" w:rsidP="000743DD">
      <w:pPr>
        <w:pStyle w:val="43"/>
        <w:numPr>
          <w:ilvl w:val="3"/>
          <w:numId w:val="57"/>
        </w:numPr>
        <w:tabs>
          <w:tab w:val="left" w:pos="560"/>
        </w:tabs>
        <w:rPr>
          <w:rFonts w:ascii="宋体" w:hAnsi="宋体"/>
          <w:color w:val="000000" w:themeColor="text1"/>
        </w:rPr>
      </w:pPr>
      <w:bookmarkStart w:id="202" w:name="_Hlk10468610"/>
      <w:bookmarkEnd w:id="200"/>
      <w:bookmarkEnd w:id="201"/>
      <w:r>
        <w:rPr>
          <w:rFonts w:ascii="宋体" w:hAnsi="宋体" w:hint="eastAsia"/>
          <w:color w:val="000000" w:themeColor="text1"/>
        </w:rPr>
        <w:t>按预期信用损失一般模型计提坏账准备</w:t>
      </w:r>
    </w:p>
    <w:sdt>
      <w:sdtPr>
        <w:rPr>
          <w:color w:val="000000" w:themeColor="text1"/>
        </w:rPr>
        <w:alias w:val="是否适用：应收股利坏账准备调节表[双击切换]"/>
        <w:tag w:val="_GBC_5a51eb2bfb0643eb8b9c73cdd0dbec60"/>
        <w:id w:val="2073152353"/>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7"/>
        </w:numPr>
        <w:tabs>
          <w:tab w:val="left" w:pos="560"/>
        </w:tabs>
        <w:rPr>
          <w:rFonts w:ascii="宋体" w:hAnsi="宋体" w:cs="宋体"/>
          <w:color w:val="000000" w:themeColor="text1"/>
          <w:kern w:val="0"/>
          <w:szCs w:val="24"/>
        </w:rPr>
      </w:pPr>
      <w:bookmarkStart w:id="203" w:name="_Hlk153377452"/>
      <w:bookmarkStart w:id="204" w:name="_Hlk167890094"/>
      <w:bookmarkEnd w:id="202"/>
      <w:r>
        <w:rPr>
          <w:rFonts w:ascii="宋体" w:hAnsi="宋体" w:cs="宋体" w:hint="eastAsia"/>
          <w:color w:val="000000" w:themeColor="text1"/>
          <w:kern w:val="0"/>
          <w:szCs w:val="24"/>
        </w:rPr>
        <w:t>坏账准备的情况</w:t>
      </w:r>
    </w:p>
    <w:sdt>
      <w:sdtPr>
        <w:rPr>
          <w:color w:val="000000" w:themeColor="text1"/>
        </w:rPr>
        <w:alias w:val="是否适用：坏账准备情况[双击切换]"/>
        <w:tag w:val="_GBC_27a4f54f16d145c384ec77d7ec602dbc"/>
        <w:id w:val="-1513687747"/>
        <w:placeholder>
          <w:docPart w:val="GBC22222222222222222222222222222"/>
        </w:placeholder>
      </w:sdtPr>
      <w:sdtEndPr/>
      <w:sdtContent>
        <w:p w:rsidR="000C5659" w:rsidRDefault="000E33C4">
          <w:pPr>
            <w:pStyle w:val="Style197"/>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pStyle w:val="Style197"/>
        <w:rPr>
          <w:color w:val="000000" w:themeColor="text1"/>
        </w:rPr>
      </w:pPr>
    </w:p>
    <w:p w:rsidR="000C5659" w:rsidRDefault="000E33C4">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e4fd140c18e841efba2e4cb5bf308654"/>
        <w:id w:val="-211134072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p w:rsidR="000C5659" w:rsidRDefault="000E33C4">
      <w:pPr>
        <w:ind w:rightChars="20" w:right="42"/>
        <w:rPr>
          <w:color w:val="000000" w:themeColor="text1"/>
        </w:rPr>
      </w:pPr>
      <w:r>
        <w:rPr>
          <w:rFonts w:hint="eastAsia"/>
          <w:color w:val="000000" w:themeColor="text1"/>
        </w:rPr>
        <w:t>无</w:t>
      </w:r>
    </w:p>
    <w:p w:rsidR="000C5659" w:rsidRDefault="000C5659">
      <w:pPr>
        <w:ind w:rightChars="-759" w:right="-1594"/>
        <w:rPr>
          <w:color w:val="000000" w:themeColor="text1"/>
        </w:rPr>
      </w:pPr>
    </w:p>
    <w:p w:rsidR="000C5659" w:rsidRDefault="000E33C4" w:rsidP="000743DD">
      <w:pPr>
        <w:pStyle w:val="43"/>
        <w:numPr>
          <w:ilvl w:val="3"/>
          <w:numId w:val="57"/>
        </w:numPr>
        <w:tabs>
          <w:tab w:val="left" w:pos="560"/>
        </w:tabs>
        <w:adjustRightInd w:val="0"/>
        <w:rPr>
          <w:rFonts w:ascii="宋体" w:hAnsi="宋体" w:cs="宋体"/>
          <w:color w:val="000000" w:themeColor="text1"/>
          <w:kern w:val="0"/>
          <w:szCs w:val="24"/>
        </w:rPr>
      </w:pPr>
      <w:r>
        <w:rPr>
          <w:rFonts w:ascii="宋体" w:hAnsi="宋体" w:cs="宋体"/>
          <w:color w:val="000000" w:themeColor="text1"/>
          <w:kern w:val="0"/>
          <w:szCs w:val="24"/>
        </w:rPr>
        <w:t>本期实际核销的应收</w:t>
      </w:r>
      <w:r>
        <w:rPr>
          <w:rFonts w:ascii="宋体" w:hAnsi="宋体" w:cs="宋体" w:hint="eastAsia"/>
          <w:color w:val="000000" w:themeColor="text1"/>
          <w:kern w:val="0"/>
          <w:szCs w:val="24"/>
        </w:rPr>
        <w:t>股利</w:t>
      </w:r>
      <w:r>
        <w:rPr>
          <w:rFonts w:ascii="宋体" w:hAnsi="宋体" w:cs="宋体"/>
          <w:color w:val="000000" w:themeColor="text1"/>
          <w:kern w:val="0"/>
          <w:szCs w:val="24"/>
        </w:rPr>
        <w:t>情况</w:t>
      </w:r>
    </w:p>
    <w:sdt>
      <w:sdtPr>
        <w:rPr>
          <w:color w:val="000000" w:themeColor="text1"/>
        </w:rPr>
        <w:alias w:val="是否适用：实际核销的情况[双击切换]"/>
        <w:tag w:val="_GBC_9eaf5a867a514dab9094fbf8401be69b"/>
        <w:id w:val="-17858832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其中重要的应收股利核销情况</w:t>
      </w:r>
    </w:p>
    <w:sdt>
      <w:sdtPr>
        <w:rPr>
          <w:rFonts w:hint="eastAsia"/>
          <w:color w:val="000000" w:themeColor="text1"/>
        </w:rPr>
        <w:alias w:val="是否适用：重要的核销情况[双击切换]"/>
        <w:tag w:val="_GBC_5cf96e8ce96146ed94b21417af438fca"/>
        <w:id w:val="1818685144"/>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cdab003e34144d27a769732520f8f54a"/>
        <w:id w:val="13259440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203"/>
    <w:bookmarkEnd w:id="204"/>
    <w:p w:rsidR="000C5659" w:rsidRDefault="000E33C4">
      <w:pPr>
        <w:rPr>
          <w:color w:val="000000" w:themeColor="text1"/>
        </w:rPr>
      </w:pPr>
      <w:r>
        <w:rPr>
          <w:rFonts w:hint="eastAsia"/>
          <w:color w:val="000000" w:themeColor="text1"/>
        </w:rPr>
        <w:t>其他说明：</w:t>
      </w:r>
    </w:p>
    <w:sdt>
      <w:sdtPr>
        <w:rPr>
          <w:color w:val="000000" w:themeColor="text1"/>
        </w:rPr>
        <w:alias w:val="是否适用：应收股利的说明[双击切换]"/>
        <w:tag w:val="_GBC_108dd924d7ca4fa78961046db5cd354e"/>
        <w:id w:val="-93050542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ind w:rightChars="12" w:right="25"/>
        <w:rPr>
          <w:color w:val="000000" w:themeColor="text1"/>
        </w:rPr>
      </w:pPr>
    </w:p>
    <w:p w:rsidR="00B820E0" w:rsidRDefault="00B820E0">
      <w:pPr>
        <w:snapToGrid w:val="0"/>
        <w:spacing w:line="240" w:lineRule="atLeast"/>
        <w:ind w:rightChars="12" w:right="25"/>
        <w:rPr>
          <w:color w:val="000000" w:themeColor="text1"/>
        </w:rPr>
      </w:pPr>
    </w:p>
    <w:p w:rsidR="000C5659" w:rsidRDefault="000E33C4">
      <w:pPr>
        <w:pStyle w:val="43"/>
        <w:rPr>
          <w:rFonts w:ascii="宋体" w:hAnsi="宋体"/>
          <w:color w:val="000000" w:themeColor="text1"/>
        </w:rPr>
      </w:pPr>
      <w:r>
        <w:rPr>
          <w:rFonts w:ascii="宋体" w:hAnsi="宋体" w:hint="eastAsia"/>
          <w:color w:val="000000" w:themeColor="text1"/>
        </w:rPr>
        <w:t>其他应收款</w:t>
      </w:r>
    </w:p>
    <w:p w:rsidR="000C5659" w:rsidRDefault="000E33C4" w:rsidP="000743DD">
      <w:pPr>
        <w:pStyle w:val="43"/>
        <w:numPr>
          <w:ilvl w:val="3"/>
          <w:numId w:val="58"/>
        </w:numPr>
        <w:tabs>
          <w:tab w:val="left" w:pos="560"/>
        </w:tabs>
        <w:rPr>
          <w:rFonts w:ascii="宋体" w:hAnsi="宋体" w:cs="宋体"/>
          <w:color w:val="000000" w:themeColor="text1"/>
          <w:kern w:val="0"/>
          <w:szCs w:val="24"/>
        </w:rPr>
      </w:pPr>
      <w:bookmarkStart w:id="205" w:name="_Hlk533421204"/>
      <w:bookmarkStart w:id="206" w:name="_Hlk167890330"/>
      <w:r>
        <w:rPr>
          <w:rFonts w:ascii="宋体" w:hAnsi="宋体" w:cs="宋体" w:hint="eastAsia"/>
          <w:color w:val="000000" w:themeColor="text1"/>
          <w:kern w:val="0"/>
          <w:szCs w:val="24"/>
        </w:rPr>
        <w:t>按账龄披露</w:t>
      </w:r>
      <w:bookmarkEnd w:id="205"/>
    </w:p>
    <w:sdt>
      <w:sdtPr>
        <w:rPr>
          <w:rFonts w:hint="eastAsia"/>
          <w:color w:val="000000" w:themeColor="text1"/>
        </w:rPr>
        <w:alias w:val="是否适用：组合中，按账龄分析法计提坏账准备的其他应收账款[双击切换]"/>
        <w:tag w:val="_GBC_2dc7496d7daf42fabc670f597f99f9a3"/>
        <w:id w:val="-105284850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lastRenderedPageBreak/>
        <w:t>单位：</w:t>
      </w:r>
      <w:sdt>
        <w:sdtPr>
          <w:rPr>
            <w:rFonts w:hint="eastAsia"/>
            <w:color w:val="000000" w:themeColor="text1"/>
          </w:rPr>
          <w:alias w:val="单位：财务附注：单项金额不重大但按信用风险特征组合后该组合的风险较大的其他应收账款"/>
          <w:tag w:val="_GBC_cdb739275e9048aba4230ed9bd146a45"/>
          <w:id w:val="-13558873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单项金额不重大但按信用风险特征组合后该组合的风险较大的其他应收账款"/>
          <w:tag w:val="_GBC_3fef54d9cee94f85a0131be89bc468aa"/>
          <w:id w:val="-7070290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1"/>
        <w:gridCol w:w="2910"/>
        <w:gridCol w:w="2922"/>
      </w:tblGrid>
      <w:tr w:rsidR="000C5659">
        <w:trPr>
          <w:cantSplit/>
        </w:trPr>
        <w:sdt>
          <w:sdtPr>
            <w:rPr>
              <w:color w:val="000000" w:themeColor="text1"/>
            </w:rPr>
            <w:tag w:val="_PLD_b6e27a2b2e82491eabe1f7ae934a9024"/>
            <w:id w:val="885067568"/>
          </w:sdtPr>
          <w:sdtEndPr/>
          <w:sdtContent>
            <w:tc>
              <w:tcPr>
                <w:tcW w:w="1695"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账龄</w:t>
                </w:r>
              </w:p>
            </w:tc>
          </w:sdtContent>
        </w:sdt>
        <w:sdt>
          <w:sdtPr>
            <w:rPr>
              <w:color w:val="000000" w:themeColor="text1"/>
            </w:rPr>
            <w:tag w:val="_PLD_1ec6a999d56e428c86b4b1d15e441db3"/>
            <w:id w:val="-245725619"/>
          </w:sdtPr>
          <w:sdtEndPr/>
          <w:sdtContent>
            <w:tc>
              <w:tcPr>
                <w:tcW w:w="1649"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期末账面余额</w:t>
                </w:r>
              </w:p>
            </w:tc>
          </w:sdtContent>
        </w:sdt>
        <w:tc>
          <w:tcPr>
            <w:tcW w:w="1655" w:type="pct"/>
            <w:tcBorders>
              <w:top w:val="single" w:sz="4" w:space="0" w:color="auto"/>
              <w:left w:val="single" w:sz="4" w:space="0" w:color="auto"/>
              <w:bottom w:val="single" w:sz="4" w:space="0" w:color="auto"/>
              <w:right w:val="single" w:sz="4" w:space="0" w:color="auto"/>
            </w:tcBorders>
          </w:tcPr>
          <w:sdt>
            <w:sdtPr>
              <w:rPr>
                <w:rFonts w:hint="eastAsia"/>
                <w:color w:val="000000" w:themeColor="text1"/>
              </w:rPr>
              <w:tag w:val="_PLD_7e4dd2ab04c74f9b948d19d48ec6182e"/>
              <w:id w:val="-1971351922"/>
            </w:sdtPr>
            <w:sdtEndPr/>
            <w:sdtContent>
              <w:p w:rsidR="000C5659" w:rsidRDefault="000E33C4">
                <w:pPr>
                  <w:jc w:val="center"/>
                  <w:rPr>
                    <w:color w:val="000000" w:themeColor="text1"/>
                  </w:rPr>
                </w:pPr>
                <w:r>
                  <w:rPr>
                    <w:rFonts w:hint="eastAsia"/>
                    <w:color w:val="000000" w:themeColor="text1"/>
                  </w:rPr>
                  <w:t>期初账面余额</w:t>
                </w:r>
              </w:p>
            </w:sdtContent>
          </w:sdt>
        </w:tc>
      </w:tr>
      <w:tr w:rsidR="000C5659">
        <w:trPr>
          <w:cantSplit/>
        </w:trPr>
        <w:sdt>
          <w:sdtPr>
            <w:rPr>
              <w:color w:val="000000" w:themeColor="text1"/>
            </w:rPr>
            <w:tag w:val="_PLD_3f8fab58905040cd95df1aa7dc0d2e48"/>
            <w:id w:val="845136325"/>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1年以内</w:t>
                </w:r>
              </w:p>
            </w:tc>
          </w:sdtContent>
        </w:sdt>
      </w:tr>
      <w:tr w:rsidR="000C5659">
        <w:trPr>
          <w:cantSplit/>
        </w:trPr>
        <w:sdt>
          <w:sdtPr>
            <w:rPr>
              <w:color w:val="000000" w:themeColor="text1"/>
            </w:rPr>
            <w:tag w:val="_PLD_3b23f2554c3a45d2ba4989cc2c31489b"/>
            <w:id w:val="215864628"/>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其中：1年以内分项</w:t>
                </w:r>
              </w:p>
            </w:tc>
          </w:sdtContent>
        </w:sdt>
      </w:tr>
      <w:tr w:rsidR="000C5659">
        <w:trPr>
          <w:cantSplit/>
        </w:trPr>
        <w:tc>
          <w:tcPr>
            <w:tcW w:w="1695" w:type="pct"/>
            <w:tcBorders>
              <w:top w:val="single" w:sz="4" w:space="0" w:color="auto"/>
              <w:left w:val="single" w:sz="4" w:space="0" w:color="auto"/>
              <w:bottom w:val="single" w:sz="4" w:space="0" w:color="auto"/>
              <w:right w:val="single" w:sz="4" w:space="0" w:color="auto"/>
            </w:tcBorders>
          </w:tcPr>
          <w:p w:rsidR="000C5659" w:rsidRDefault="000E33C4">
            <w:pPr>
              <w:pStyle w:val="Style325"/>
            </w:pPr>
            <w:r>
              <w:rPr>
                <w:rFonts w:hint="eastAsia"/>
              </w:rPr>
              <w:t>1年以内</w:t>
            </w:r>
          </w:p>
        </w:tc>
        <w:tc>
          <w:tcPr>
            <w:tcW w:w="4650" w:type="dxa"/>
            <w:tcBorders>
              <w:top w:val="single" w:sz="4" w:space="0" w:color="auto"/>
              <w:left w:val="single" w:sz="4" w:space="0" w:color="auto"/>
              <w:bottom w:val="single" w:sz="4" w:space="0" w:color="auto"/>
              <w:right w:val="single" w:sz="4" w:space="0" w:color="auto"/>
            </w:tcBorders>
          </w:tcPr>
          <w:p w:rsidR="000C5659" w:rsidRDefault="000E33C4">
            <w:pPr>
              <w:jc w:val="right"/>
              <w:textAlignment w:val="top"/>
            </w:pPr>
            <w:r>
              <w:rPr>
                <w:rFonts w:hint="eastAsia"/>
              </w:rPr>
              <w:t>3,958,696.01</w:t>
            </w:r>
          </w:p>
        </w:tc>
        <w:tc>
          <w:tcPr>
            <w:tcW w:w="1655" w:type="pct"/>
            <w:tcBorders>
              <w:top w:val="single" w:sz="4" w:space="0" w:color="auto"/>
              <w:left w:val="single" w:sz="4" w:space="0" w:color="auto"/>
              <w:bottom w:val="single" w:sz="4" w:space="0" w:color="auto"/>
              <w:right w:val="single" w:sz="4" w:space="0" w:color="auto"/>
            </w:tcBorders>
          </w:tcPr>
          <w:p w:rsidR="000C5659" w:rsidRDefault="000E33C4">
            <w:pPr>
              <w:jc w:val="right"/>
            </w:pPr>
            <w:r>
              <w:t>2,222,611.28</w:t>
            </w:r>
          </w:p>
        </w:tc>
      </w:tr>
      <w:tr w:rsidR="000C5659">
        <w:trPr>
          <w:cantSplit/>
        </w:trPr>
        <w:tc>
          <w:tcPr>
            <w:tcW w:w="1695"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1年以内小计</w:t>
            </w:r>
          </w:p>
        </w:tc>
        <w:tc>
          <w:tcPr>
            <w:tcW w:w="4650" w:type="dxa"/>
            <w:tcBorders>
              <w:top w:val="single" w:sz="4" w:space="0" w:color="auto"/>
              <w:left w:val="single" w:sz="4" w:space="0" w:color="auto"/>
              <w:bottom w:val="single" w:sz="4" w:space="0" w:color="auto"/>
              <w:right w:val="single" w:sz="4" w:space="0" w:color="auto"/>
            </w:tcBorders>
          </w:tcPr>
          <w:p w:rsidR="000C5659" w:rsidRDefault="000E33C4">
            <w:pPr>
              <w:jc w:val="right"/>
              <w:textAlignment w:val="top"/>
            </w:pPr>
            <w:r>
              <w:rPr>
                <w:rFonts w:hint="eastAsia"/>
              </w:rPr>
              <w:t>3,958,696.01</w:t>
            </w:r>
          </w:p>
        </w:tc>
        <w:tc>
          <w:tcPr>
            <w:tcW w:w="1655" w:type="pct"/>
            <w:tcBorders>
              <w:top w:val="single" w:sz="4" w:space="0" w:color="auto"/>
              <w:left w:val="single" w:sz="4" w:space="0" w:color="auto"/>
              <w:bottom w:val="single" w:sz="4" w:space="0" w:color="auto"/>
              <w:right w:val="single" w:sz="4" w:space="0" w:color="auto"/>
            </w:tcBorders>
          </w:tcPr>
          <w:p w:rsidR="000C5659" w:rsidRDefault="000E33C4">
            <w:pPr>
              <w:jc w:val="right"/>
            </w:pPr>
            <w:r>
              <w:t>2,222,611.28</w:t>
            </w:r>
          </w:p>
        </w:tc>
      </w:tr>
      <w:tr w:rsidR="000C5659">
        <w:trPr>
          <w:cantSplit/>
        </w:trPr>
        <w:tc>
          <w:tcPr>
            <w:tcW w:w="1695"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1至2年</w:t>
            </w:r>
          </w:p>
        </w:tc>
        <w:tc>
          <w:tcPr>
            <w:tcW w:w="4650" w:type="dxa"/>
            <w:tcBorders>
              <w:top w:val="single" w:sz="4" w:space="0" w:color="auto"/>
              <w:left w:val="single" w:sz="4" w:space="0" w:color="auto"/>
              <w:bottom w:val="single" w:sz="4" w:space="0" w:color="auto"/>
              <w:right w:val="single" w:sz="4" w:space="0" w:color="auto"/>
            </w:tcBorders>
          </w:tcPr>
          <w:p w:rsidR="000C5659" w:rsidRDefault="000E33C4">
            <w:pPr>
              <w:jc w:val="right"/>
              <w:textAlignment w:val="top"/>
            </w:pPr>
            <w:r>
              <w:rPr>
                <w:rFonts w:hint="eastAsia"/>
                <w:color w:val="000000"/>
                <w:lang w:bidi="ar"/>
              </w:rPr>
              <w:t>162,000.00</w:t>
            </w:r>
          </w:p>
        </w:tc>
        <w:tc>
          <w:tcPr>
            <w:tcW w:w="1655" w:type="pct"/>
            <w:tcBorders>
              <w:top w:val="single" w:sz="4" w:space="0" w:color="auto"/>
              <w:left w:val="single" w:sz="4" w:space="0" w:color="auto"/>
              <w:bottom w:val="single" w:sz="4" w:space="0" w:color="auto"/>
              <w:right w:val="single" w:sz="4" w:space="0" w:color="auto"/>
            </w:tcBorders>
          </w:tcPr>
          <w:p w:rsidR="000C5659" w:rsidRDefault="000E33C4">
            <w:pPr>
              <w:jc w:val="right"/>
            </w:pPr>
            <w:r>
              <w:t>357,830.00</w:t>
            </w:r>
          </w:p>
        </w:tc>
      </w:tr>
      <w:tr w:rsidR="000C5659">
        <w:trPr>
          <w:cantSplit/>
        </w:trPr>
        <w:tc>
          <w:tcPr>
            <w:tcW w:w="1695"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2至3年</w:t>
            </w:r>
          </w:p>
        </w:tc>
        <w:tc>
          <w:tcPr>
            <w:tcW w:w="4650" w:type="dxa"/>
            <w:tcBorders>
              <w:top w:val="single" w:sz="4" w:space="0" w:color="auto"/>
              <w:left w:val="single" w:sz="4" w:space="0" w:color="auto"/>
              <w:bottom w:val="single" w:sz="4" w:space="0" w:color="auto"/>
              <w:right w:val="single" w:sz="4" w:space="0" w:color="auto"/>
            </w:tcBorders>
          </w:tcPr>
          <w:p w:rsidR="000C5659" w:rsidRDefault="000E33C4">
            <w:pPr>
              <w:jc w:val="right"/>
              <w:textAlignment w:val="top"/>
            </w:pPr>
            <w:r>
              <w:rPr>
                <w:rFonts w:hint="eastAsia"/>
                <w:color w:val="000000"/>
                <w:lang w:bidi="ar"/>
              </w:rPr>
              <w:t>265,520.00</w:t>
            </w:r>
          </w:p>
        </w:tc>
        <w:tc>
          <w:tcPr>
            <w:tcW w:w="1655" w:type="pct"/>
            <w:tcBorders>
              <w:top w:val="single" w:sz="4" w:space="0" w:color="auto"/>
              <w:left w:val="single" w:sz="4" w:space="0" w:color="auto"/>
              <w:bottom w:val="single" w:sz="4" w:space="0" w:color="auto"/>
              <w:right w:val="single" w:sz="4" w:space="0" w:color="auto"/>
            </w:tcBorders>
          </w:tcPr>
          <w:p w:rsidR="000C5659" w:rsidRDefault="000E33C4">
            <w:pPr>
              <w:jc w:val="right"/>
            </w:pPr>
            <w:r>
              <w:t>332,993.81</w:t>
            </w:r>
          </w:p>
        </w:tc>
      </w:tr>
      <w:tr w:rsidR="000C5659">
        <w:trPr>
          <w:cantSplit/>
        </w:trPr>
        <w:tc>
          <w:tcPr>
            <w:tcW w:w="1695"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3年以上</w:t>
            </w:r>
          </w:p>
        </w:tc>
        <w:tc>
          <w:tcPr>
            <w:tcW w:w="4650" w:type="dxa"/>
            <w:tcBorders>
              <w:top w:val="single" w:sz="4" w:space="0" w:color="auto"/>
              <w:left w:val="single" w:sz="4" w:space="0" w:color="auto"/>
              <w:bottom w:val="single" w:sz="4" w:space="0" w:color="auto"/>
              <w:right w:val="single" w:sz="4" w:space="0" w:color="auto"/>
            </w:tcBorders>
          </w:tcPr>
          <w:p w:rsidR="000C5659" w:rsidRDefault="000E33C4">
            <w:pPr>
              <w:jc w:val="right"/>
              <w:textAlignment w:val="top"/>
            </w:pPr>
            <w:r>
              <w:rPr>
                <w:rFonts w:hint="eastAsia"/>
                <w:color w:val="000000"/>
                <w:lang w:bidi="ar"/>
              </w:rPr>
              <w:t>2,770,380.00</w:t>
            </w:r>
          </w:p>
        </w:tc>
        <w:tc>
          <w:tcPr>
            <w:tcW w:w="1655" w:type="pct"/>
            <w:tcBorders>
              <w:top w:val="single" w:sz="4" w:space="0" w:color="auto"/>
              <w:left w:val="single" w:sz="4" w:space="0" w:color="auto"/>
              <w:bottom w:val="single" w:sz="4" w:space="0" w:color="auto"/>
              <w:right w:val="single" w:sz="4" w:space="0" w:color="auto"/>
            </w:tcBorders>
          </w:tcPr>
          <w:p w:rsidR="000C5659" w:rsidRDefault="000E33C4">
            <w:pPr>
              <w:jc w:val="right"/>
            </w:pPr>
            <w:r>
              <w:t>2,463,003.17</w:t>
            </w:r>
          </w:p>
        </w:tc>
      </w:tr>
      <w:tr w:rsidR="000C5659">
        <w:trPr>
          <w:cantSplit/>
        </w:trPr>
        <w:tc>
          <w:tcPr>
            <w:tcW w:w="1695"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tc>
          <w:tcPr>
            <w:tcW w:w="4650" w:type="dxa"/>
            <w:tcBorders>
              <w:top w:val="single" w:sz="4" w:space="0" w:color="auto"/>
              <w:left w:val="single" w:sz="4" w:space="0" w:color="auto"/>
              <w:bottom w:val="single" w:sz="4" w:space="0" w:color="auto"/>
              <w:right w:val="single" w:sz="4" w:space="0" w:color="auto"/>
            </w:tcBorders>
          </w:tcPr>
          <w:p w:rsidR="000C5659" w:rsidRDefault="000E33C4">
            <w:pPr>
              <w:jc w:val="right"/>
              <w:textAlignment w:val="top"/>
            </w:pPr>
            <w:r>
              <w:rPr>
                <w:rFonts w:hint="eastAsia"/>
                <w:color w:val="000000"/>
                <w:lang w:bidi="ar"/>
              </w:rPr>
              <w:t>7,156,596.01</w:t>
            </w:r>
          </w:p>
        </w:tc>
        <w:tc>
          <w:tcPr>
            <w:tcW w:w="1655" w:type="pct"/>
            <w:tcBorders>
              <w:top w:val="single" w:sz="4" w:space="0" w:color="auto"/>
              <w:left w:val="single" w:sz="4" w:space="0" w:color="auto"/>
              <w:bottom w:val="single" w:sz="4" w:space="0" w:color="auto"/>
              <w:right w:val="single" w:sz="4" w:space="0" w:color="auto"/>
            </w:tcBorders>
          </w:tcPr>
          <w:p w:rsidR="000C5659" w:rsidRDefault="000E33C4">
            <w:pPr>
              <w:jc w:val="right"/>
            </w:pPr>
            <w:r>
              <w:t>5,376,438.26</w:t>
            </w:r>
          </w:p>
        </w:tc>
      </w:tr>
    </w:tbl>
    <w:p w:rsidR="000C5659" w:rsidRDefault="000C5659">
      <w:pPr>
        <w:pStyle w:val="Style325"/>
      </w:pPr>
    </w:p>
    <w:bookmarkEnd w:id="206"/>
    <w:p w:rsidR="000C5659" w:rsidRDefault="000E33C4" w:rsidP="000743DD">
      <w:pPr>
        <w:pStyle w:val="43"/>
        <w:numPr>
          <w:ilvl w:val="3"/>
          <w:numId w:val="58"/>
        </w:numPr>
        <w:tabs>
          <w:tab w:val="left" w:pos="560"/>
        </w:tabs>
        <w:rPr>
          <w:rFonts w:ascii="宋体" w:hAnsi="宋体"/>
          <w:color w:val="000000" w:themeColor="text1"/>
        </w:rPr>
      </w:pPr>
      <w:r>
        <w:rPr>
          <w:rFonts w:ascii="宋体" w:hAnsi="宋体" w:hint="eastAsia"/>
          <w:color w:val="000000" w:themeColor="text1"/>
        </w:rPr>
        <w:t>按款项性质分类情况</w:t>
      </w:r>
    </w:p>
    <w:sdt>
      <w:sdtPr>
        <w:rPr>
          <w:color w:val="000000" w:themeColor="text1"/>
        </w:rPr>
        <w:alias w:val="是否适用：其他应收款按款项性质分类情况[双击切换]"/>
        <w:tag w:val="_GBC_43f55a27297f4f93b1b4f668134ac6be"/>
        <w:id w:val="-147976524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8"/>
        </w:numPr>
        <w:tabs>
          <w:tab w:val="left" w:pos="560"/>
        </w:tabs>
        <w:rPr>
          <w:rFonts w:ascii="宋体" w:hAnsi="宋体"/>
          <w:color w:val="000000" w:themeColor="text1"/>
        </w:rPr>
      </w:pPr>
      <w:bookmarkStart w:id="207" w:name="_Hlk10469799"/>
      <w:r>
        <w:rPr>
          <w:rFonts w:ascii="宋体" w:hAnsi="宋体" w:hint="eastAsia"/>
          <w:color w:val="000000" w:themeColor="text1"/>
        </w:rPr>
        <w:t>坏账准备计提情况</w:t>
      </w:r>
    </w:p>
    <w:sdt>
      <w:sdtPr>
        <w:rPr>
          <w:color w:val="000000" w:themeColor="text1"/>
        </w:rPr>
        <w:alias w:val="是否适用：其他应收款坏账准备调节表[双击切换]"/>
        <w:tag w:val="_GBC_29d0c5a1588a4f6589b1f8148c9ef180"/>
        <w:id w:val="20469392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其他应收款坏账准备调节表"/>
          <w:tag w:val="_GBC_c65b82e3cfaf4fde8d75eac8c9a6e9f9"/>
          <w:id w:val="-2340996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应收款坏账准备调节表"/>
          <w:tag w:val="_GBC_08cd78a434cc441cbfff10030c5a8719"/>
          <w:id w:val="5092588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679"/>
        <w:gridCol w:w="1880"/>
        <w:gridCol w:w="1881"/>
        <w:gridCol w:w="1676"/>
      </w:tblGrid>
      <w:tr w:rsidR="000C5659">
        <w:sdt>
          <w:sdtPr>
            <w:rPr>
              <w:rFonts w:ascii="宋体" w:eastAsia="宋体" w:hAnsi="宋体"/>
              <w:color w:val="000000" w:themeColor="text1"/>
            </w:rPr>
            <w:tag w:val="_PLD_0df16deeb9614db49d9aa88a31229d9a"/>
            <w:id w:val="972327269"/>
          </w:sdtPr>
          <w:sdtEndPr/>
          <w:sdtContent>
            <w:tc>
              <w:tcPr>
                <w:tcW w:w="967" w:type="pct"/>
                <w:vMerge w:val="restar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rPr>
              <w:rFonts w:ascii="宋体" w:eastAsia="宋体" w:hAnsi="宋体"/>
              <w:color w:val="000000" w:themeColor="text1"/>
            </w:rPr>
            <w:tag w:val="_PLD_f47baed0f5d14c0486b4530b2aa1cb4c"/>
            <w:id w:val="989446448"/>
          </w:sdtPr>
          <w:sdtEndPr/>
          <w:sdtContent>
            <w:tc>
              <w:tcPr>
                <w:tcW w:w="951" w:type="pc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rPr>
              <w:rFonts w:ascii="宋体" w:eastAsia="宋体" w:hAnsi="宋体"/>
              <w:color w:val="000000" w:themeColor="text1"/>
            </w:rPr>
            <w:tag w:val="_PLD_a29dd4725bec4eb78b246b92252a24df"/>
            <w:id w:val="-1451775649"/>
          </w:sdtPr>
          <w:sdtEndPr/>
          <w:sdtContent>
            <w:tc>
              <w:tcPr>
                <w:tcW w:w="1065" w:type="pc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rPr>
              <w:rFonts w:ascii="宋体" w:eastAsia="宋体" w:hAnsi="宋体"/>
              <w:color w:val="000000" w:themeColor="text1"/>
            </w:rPr>
            <w:tag w:val="_PLD_c495a5d3c56f4cb9a0bd5cc9cc9b5410"/>
            <w:id w:val="14739826"/>
          </w:sdtPr>
          <w:sdtEndPr/>
          <w:sdtContent>
            <w:tc>
              <w:tcPr>
                <w:tcW w:w="1066" w:type="pc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rPr>
              <w:rFonts w:ascii="宋体" w:eastAsia="宋体" w:hAnsi="宋体"/>
              <w:color w:val="000000" w:themeColor="text1"/>
            </w:rPr>
            <w:tag w:val="_PLD_0dc8bab0b7424c1295b83fcc97ca7554"/>
            <w:id w:val="872119847"/>
          </w:sdtPr>
          <w:sdtEndPr/>
          <w:sdtContent>
            <w:tc>
              <w:tcPr>
                <w:tcW w:w="950" w:type="pct"/>
                <w:vMerge w:val="restar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0C5659">
        <w:tc>
          <w:tcPr>
            <w:tcW w:w="967" w:type="pct"/>
            <w:vMerge/>
            <w:vAlign w:val="center"/>
          </w:tcPr>
          <w:p w:rsidR="000C5659" w:rsidRDefault="000C5659">
            <w:pPr>
              <w:jc w:val="center"/>
              <w:rPr>
                <w:color w:val="000000" w:themeColor="text1"/>
              </w:rPr>
            </w:pPr>
          </w:p>
        </w:tc>
        <w:sdt>
          <w:sdtPr>
            <w:rPr>
              <w:rFonts w:ascii="宋体" w:eastAsia="宋体" w:hAnsi="宋体"/>
              <w:color w:val="000000" w:themeColor="text1"/>
            </w:rPr>
            <w:tag w:val="_PLD_08f8b6a1fd974f0d8ae0c04f27849740"/>
            <w:id w:val="94607216"/>
          </w:sdtPr>
          <w:sdtEndPr/>
          <w:sdtContent>
            <w:tc>
              <w:tcPr>
                <w:tcW w:w="951" w:type="pc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未来12个月预期信用损失</w:t>
                </w:r>
              </w:p>
            </w:tc>
          </w:sdtContent>
        </w:sdt>
        <w:sdt>
          <w:sdtPr>
            <w:rPr>
              <w:rFonts w:ascii="宋体" w:eastAsia="宋体" w:hAnsi="宋体"/>
              <w:color w:val="000000" w:themeColor="text1"/>
            </w:rPr>
            <w:tag w:val="_PLD_c85cfe8f6d6a4ab0af13d30e76cd7800"/>
            <w:id w:val="-147604694"/>
          </w:sdtPr>
          <w:sdtEndPr/>
          <w:sdtContent>
            <w:tc>
              <w:tcPr>
                <w:tcW w:w="1065" w:type="pc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整个存续期预期信用损失(未发生信用减值)</w:t>
                </w:r>
              </w:p>
            </w:tc>
          </w:sdtContent>
        </w:sdt>
        <w:sdt>
          <w:sdtPr>
            <w:rPr>
              <w:rFonts w:ascii="宋体" w:eastAsia="宋体" w:hAnsi="宋体"/>
              <w:color w:val="000000" w:themeColor="text1"/>
            </w:rPr>
            <w:tag w:val="_PLD_2df6c7466f224906aa04a411975e6f79"/>
            <w:id w:val="-1478067517"/>
          </w:sdtPr>
          <w:sdtEndPr/>
          <w:sdtContent>
            <w:tc>
              <w:tcPr>
                <w:tcW w:w="1066" w:type="pc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整个存续期预期信用损失(已发生信用减值)</w:t>
                </w:r>
              </w:p>
            </w:tc>
          </w:sdtContent>
        </w:sdt>
        <w:tc>
          <w:tcPr>
            <w:tcW w:w="950" w:type="pct"/>
            <w:vMerge/>
          </w:tcPr>
          <w:p w:rsidR="000C5659" w:rsidRDefault="000C5659">
            <w:pPr>
              <w:jc w:val="center"/>
              <w:rPr>
                <w:color w:val="000000" w:themeColor="text1"/>
              </w:rPr>
            </w:pP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w:t>
            </w:r>
            <w:r>
              <w:rPr>
                <w:rFonts w:ascii="宋体" w:eastAsia="宋体" w:hAnsi="宋体" w:cs="宋体" w:hint="eastAsia"/>
                <w:color w:val="000000" w:themeColor="text1"/>
                <w:sz w:val="21"/>
                <w:szCs w:val="21"/>
                <w:lang w:eastAsia="zh-CN"/>
              </w:rPr>
              <w:t>1月1日余额</w:t>
            </w:r>
          </w:p>
        </w:tc>
        <w:tc>
          <w:tcPr>
            <w:tcW w:w="951" w:type="pct"/>
          </w:tcPr>
          <w:p w:rsidR="000C5659" w:rsidRDefault="000E33C4">
            <w:pPr>
              <w:jc w:val="right"/>
            </w:pPr>
            <w:r>
              <w:t>96,335.00</w:t>
            </w:r>
          </w:p>
        </w:tc>
        <w:tc>
          <w:tcPr>
            <w:tcW w:w="1065" w:type="pct"/>
          </w:tcPr>
          <w:p w:rsidR="000C5659" w:rsidRDefault="000C5659">
            <w:pPr>
              <w:jc w:val="right"/>
            </w:pPr>
          </w:p>
        </w:tc>
        <w:tc>
          <w:tcPr>
            <w:tcW w:w="1066" w:type="pct"/>
          </w:tcPr>
          <w:p w:rsidR="000C5659" w:rsidRDefault="000E33C4">
            <w:pPr>
              <w:jc w:val="right"/>
            </w:pPr>
            <w:r>
              <w:t>60,720.00</w:t>
            </w:r>
          </w:p>
        </w:tc>
        <w:tc>
          <w:tcPr>
            <w:tcW w:w="950" w:type="pct"/>
          </w:tcPr>
          <w:p w:rsidR="000C5659" w:rsidRDefault="000E33C4">
            <w:pPr>
              <w:jc w:val="right"/>
            </w:pPr>
            <w:r>
              <w:t>157,055.00</w:t>
            </w: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2024年1月1日余额在本期</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--转入第二阶段</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--转入第三阶段</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--转回第二阶段</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--转回第一阶段</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951" w:type="pct"/>
          </w:tcPr>
          <w:p w:rsidR="000C5659" w:rsidRDefault="000E33C4">
            <w:pPr>
              <w:jc w:val="right"/>
            </w:pPr>
            <w:r>
              <w:rPr>
                <w:rFonts w:hint="eastAsia"/>
              </w:rPr>
              <w:t>165.00</w:t>
            </w:r>
          </w:p>
        </w:tc>
        <w:tc>
          <w:tcPr>
            <w:tcW w:w="1065" w:type="pct"/>
          </w:tcPr>
          <w:p w:rsidR="000C5659" w:rsidRDefault="000C5659">
            <w:pPr>
              <w:jc w:val="right"/>
            </w:pPr>
          </w:p>
        </w:tc>
        <w:tc>
          <w:tcPr>
            <w:tcW w:w="1066" w:type="pct"/>
          </w:tcPr>
          <w:p w:rsidR="000C5659" w:rsidRDefault="000E33C4">
            <w:pPr>
              <w:jc w:val="right"/>
            </w:pPr>
            <w:r>
              <w:rPr>
                <w:rFonts w:hint="eastAsia"/>
              </w:rPr>
              <w:t>31,800.00</w:t>
            </w:r>
          </w:p>
        </w:tc>
        <w:tc>
          <w:tcPr>
            <w:tcW w:w="950" w:type="pct"/>
          </w:tcPr>
          <w:p w:rsidR="000C5659" w:rsidRDefault="000E33C4">
            <w:pPr>
              <w:jc w:val="right"/>
            </w:pPr>
            <w:r>
              <w:rPr>
                <w:rFonts w:hint="eastAsia"/>
              </w:rPr>
              <w:t>31,965.00</w:t>
            </w:r>
          </w:p>
        </w:tc>
      </w:tr>
      <w:tr w:rsidR="000C5659">
        <w:trPr>
          <w:trHeight w:val="295"/>
        </w:trPr>
        <w:tc>
          <w:tcPr>
            <w:tcW w:w="967" w:type="pct"/>
            <w:vAlign w:val="center"/>
          </w:tcPr>
          <w:p w:rsidR="000C5659" w:rsidRDefault="000E33C4">
            <w:pPr>
              <w:pStyle w:val="TableParagraph"/>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E33C4">
            <w:pPr>
              <w:jc w:val="right"/>
            </w:pPr>
            <w:r>
              <w:rPr>
                <w:rFonts w:hint="eastAsia"/>
              </w:rPr>
              <w:t>-3,900.00</w:t>
            </w:r>
          </w:p>
        </w:tc>
        <w:tc>
          <w:tcPr>
            <w:tcW w:w="950" w:type="pct"/>
          </w:tcPr>
          <w:p w:rsidR="000C5659" w:rsidRDefault="000E33C4">
            <w:pPr>
              <w:jc w:val="right"/>
            </w:pPr>
            <w:r>
              <w:rPr>
                <w:rFonts w:hint="eastAsia"/>
              </w:rPr>
              <w:t>-3,900.00</w:t>
            </w: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其他变动</w:t>
            </w:r>
          </w:p>
        </w:tc>
        <w:tc>
          <w:tcPr>
            <w:tcW w:w="951" w:type="pct"/>
          </w:tcPr>
          <w:p w:rsidR="000C5659" w:rsidRDefault="000C5659">
            <w:pPr>
              <w:jc w:val="right"/>
            </w:pPr>
          </w:p>
        </w:tc>
        <w:tc>
          <w:tcPr>
            <w:tcW w:w="1065" w:type="pct"/>
          </w:tcPr>
          <w:p w:rsidR="000C5659" w:rsidRDefault="000C5659">
            <w:pPr>
              <w:jc w:val="right"/>
            </w:pPr>
          </w:p>
        </w:tc>
        <w:tc>
          <w:tcPr>
            <w:tcW w:w="1066" w:type="pct"/>
          </w:tcPr>
          <w:p w:rsidR="000C5659" w:rsidRDefault="000C5659">
            <w:pPr>
              <w:jc w:val="right"/>
            </w:pPr>
          </w:p>
        </w:tc>
        <w:tc>
          <w:tcPr>
            <w:tcW w:w="950" w:type="pct"/>
          </w:tcPr>
          <w:p w:rsidR="000C5659" w:rsidRDefault="000C5659">
            <w:pPr>
              <w:jc w:val="right"/>
            </w:pPr>
          </w:p>
        </w:tc>
      </w:tr>
      <w:tr w:rsidR="000C5659">
        <w:tc>
          <w:tcPr>
            <w:tcW w:w="967" w:type="pct"/>
            <w:vAlign w:val="center"/>
          </w:tcPr>
          <w:p w:rsidR="000C5659" w:rsidRDefault="000E33C4">
            <w:pPr>
              <w:pStyle w:val="TableParagraph"/>
              <w:spacing w:after="0" w:line="240" w:lineRule="auto"/>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2024年6月30日</w:t>
            </w:r>
            <w:r>
              <w:rPr>
                <w:rFonts w:ascii="宋体" w:eastAsia="宋体" w:hAnsi="宋体" w:cs="宋体" w:hint="eastAsia"/>
                <w:color w:val="000000" w:themeColor="text1"/>
                <w:sz w:val="21"/>
                <w:szCs w:val="21"/>
                <w:lang w:eastAsia="zh-CN"/>
              </w:rPr>
              <w:t>余额</w:t>
            </w:r>
          </w:p>
        </w:tc>
        <w:tc>
          <w:tcPr>
            <w:tcW w:w="951" w:type="pct"/>
          </w:tcPr>
          <w:p w:rsidR="000C5659" w:rsidRDefault="000E33C4">
            <w:pPr>
              <w:jc w:val="right"/>
            </w:pPr>
            <w:r>
              <w:rPr>
                <w:rFonts w:hint="eastAsia"/>
              </w:rPr>
              <w:t>96,500.00</w:t>
            </w:r>
          </w:p>
        </w:tc>
        <w:tc>
          <w:tcPr>
            <w:tcW w:w="1065" w:type="pct"/>
          </w:tcPr>
          <w:p w:rsidR="000C5659" w:rsidRDefault="000C5659">
            <w:pPr>
              <w:jc w:val="right"/>
            </w:pPr>
          </w:p>
        </w:tc>
        <w:tc>
          <w:tcPr>
            <w:tcW w:w="1066" w:type="pct"/>
          </w:tcPr>
          <w:p w:rsidR="000C5659" w:rsidRDefault="000E33C4">
            <w:pPr>
              <w:jc w:val="right"/>
            </w:pPr>
            <w:r>
              <w:rPr>
                <w:rFonts w:hint="eastAsia"/>
              </w:rPr>
              <w:t>88,620.00</w:t>
            </w:r>
          </w:p>
        </w:tc>
        <w:tc>
          <w:tcPr>
            <w:tcW w:w="950" w:type="pct"/>
          </w:tcPr>
          <w:p w:rsidR="000C5659" w:rsidRDefault="000E33C4">
            <w:pPr>
              <w:jc w:val="right"/>
            </w:pPr>
            <w:r>
              <w:rPr>
                <w:rFonts w:hint="eastAsia"/>
              </w:rPr>
              <w:t>185,120.00</w:t>
            </w:r>
          </w:p>
        </w:tc>
      </w:tr>
    </w:tbl>
    <w:p w:rsidR="000C5659" w:rsidRDefault="000C5659">
      <w:pPr>
        <w:pStyle w:val="Style325"/>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其他应收款各阶段划分依据和坏账准备计提比例"/>
        <w:tag w:val="_GBC_db1ccc25244541ad82774f0488b4825b"/>
        <w:id w:val="-742717425"/>
        <w:placeholder>
          <w:docPart w:val="GBC22222222222222222222222222222"/>
        </w:placeholder>
      </w:sdtPr>
      <w:sdtEndPr/>
      <w:sdtContent>
        <w:p w:rsidR="000C5659" w:rsidRDefault="000E33C4">
          <w:pPr>
            <w:rPr>
              <w:rFonts w:cs="Times New Roman"/>
              <w:color w:val="000000" w:themeColor="text1"/>
              <w:szCs w:val="22"/>
            </w:rPr>
          </w:pPr>
          <w:r>
            <w:rPr>
              <w:rFonts w:cs="Times New Roman" w:hint="eastAsia"/>
              <w:color w:val="000000" w:themeColor="text1"/>
              <w:szCs w:val="22"/>
            </w:rPr>
            <w:t>无</w:t>
          </w:r>
        </w:p>
      </w:sdtContent>
    </w:sdt>
    <w:p w:rsidR="000C5659" w:rsidRDefault="000C5659">
      <w:pPr>
        <w:rPr>
          <w:color w:val="000000" w:themeColor="text1"/>
        </w:rPr>
      </w:pPr>
    </w:p>
    <w:p w:rsidR="000C5659" w:rsidRDefault="000E33C4">
      <w:pPr>
        <w:pStyle w:val="Style197"/>
        <w:rPr>
          <w:color w:val="000000" w:themeColor="text1"/>
        </w:rPr>
      </w:pPr>
      <w:r>
        <w:rPr>
          <w:rFonts w:hint="eastAsia"/>
          <w:color w:val="000000" w:themeColor="text1"/>
        </w:rPr>
        <w:t>对本期发生损失准备变动的其他应收款账面余额显著变动的情况说明：</w:t>
      </w:r>
    </w:p>
    <w:sdt>
      <w:sdtPr>
        <w:rPr>
          <w:color w:val="000000" w:themeColor="text1"/>
        </w:rPr>
        <w:alias w:val="是否适用：其他应收款本期发生损失准备变动且账面余额显著变动的情况说明[双击切换]"/>
        <w:tag w:val="_GBC_32e9d68fc5194869baa30fe15720ff13"/>
        <w:id w:val="-206740716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其他应收款本期坏账准备计提金额以及评估金融工具的信用风险显著增加的采用依据[双击切换]"/>
        <w:tag w:val="_GBC_dde26fcf385445edb7b0e96dab2a2b3e"/>
        <w:id w:val="-21883119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8"/>
        </w:numPr>
        <w:tabs>
          <w:tab w:val="left" w:pos="560"/>
        </w:tabs>
        <w:rPr>
          <w:rFonts w:ascii="宋体" w:hAnsi="宋体"/>
          <w:color w:val="000000" w:themeColor="text1"/>
        </w:rPr>
      </w:pPr>
      <w:bookmarkStart w:id="208" w:name="_Hlk10469877"/>
      <w:bookmarkEnd w:id="207"/>
      <w:r>
        <w:rPr>
          <w:rFonts w:ascii="宋体" w:hAnsi="宋体" w:hint="eastAsia"/>
          <w:color w:val="000000" w:themeColor="text1"/>
        </w:rPr>
        <w:t>坏账准备的情况</w:t>
      </w:r>
    </w:p>
    <w:sdt>
      <w:sdtPr>
        <w:rPr>
          <w:color w:val="000000" w:themeColor="text1"/>
        </w:rPr>
        <w:alias w:val="是否适用：其他应收款坏账准备[双击切换]"/>
        <w:tag w:val="_GBC_b3f4f88802a54b1da539ba2563000c5c"/>
        <w:id w:val="-141685145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209" w:name="_Hlk167890685"/>
      <w:bookmarkStart w:id="210" w:name="_Hlk154157836"/>
      <w:r>
        <w:rPr>
          <w:rFonts w:hint="eastAsia"/>
          <w:color w:val="000000" w:themeColor="text1"/>
        </w:rPr>
        <w:t>其中本期坏账准备转回或收回金额重要的：</w:t>
      </w:r>
    </w:p>
    <w:sdt>
      <w:sdtPr>
        <w:rPr>
          <w:color w:val="000000" w:themeColor="text1"/>
        </w:rPr>
        <w:alias w:val="是否适用：其中本期其他应收账款坏账准备收回或转回金额重要的[双击切换]"/>
        <w:tag w:val="_GBC_eff381ff9a444ac19dde18c443ef3ff1"/>
        <w:id w:val="-93465976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其他应收款坏账准备情况的说明"/>
        <w:tag w:val="_GBC_11748f5205eb4dda805c8e59fe7ff0df"/>
        <w:id w:val="-199638212"/>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bookmarkEnd w:id="209"/>
    <w:bookmarkEnd w:id="210"/>
    <w:p w:rsidR="000C5659" w:rsidRDefault="000C5659">
      <w:pPr>
        <w:rPr>
          <w:color w:val="000000" w:themeColor="text1"/>
        </w:rPr>
      </w:pPr>
    </w:p>
    <w:bookmarkEnd w:id="208"/>
    <w:p w:rsidR="000C5659" w:rsidRDefault="000E33C4" w:rsidP="000743DD">
      <w:pPr>
        <w:pStyle w:val="43"/>
        <w:numPr>
          <w:ilvl w:val="3"/>
          <w:numId w:val="58"/>
        </w:numPr>
        <w:tabs>
          <w:tab w:val="left" w:pos="560"/>
        </w:tabs>
        <w:rPr>
          <w:rFonts w:ascii="宋体" w:hAnsi="宋体"/>
          <w:color w:val="000000" w:themeColor="text1"/>
        </w:rPr>
      </w:pPr>
      <w:r>
        <w:rPr>
          <w:rFonts w:ascii="宋体" w:hAnsi="宋体" w:hint="eastAsia"/>
          <w:color w:val="000000" w:themeColor="text1"/>
        </w:rPr>
        <w:t>本期实际核销的其他应收款情况</w:t>
      </w:r>
    </w:p>
    <w:sdt>
      <w:sdtPr>
        <w:rPr>
          <w:color w:val="000000" w:themeColor="text1"/>
        </w:rPr>
        <w:alias w:val="是否适用：本期实际核销的其他应收款情况[双击切换]"/>
        <w:tag w:val="_GBC_99c0ad513e2447ba8b2267c169be5583"/>
        <w:id w:val="114632116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其中重要的其他应收款核销情况：</w:t>
      </w:r>
    </w:p>
    <w:sdt>
      <w:sdtPr>
        <w:rPr>
          <w:color w:val="000000" w:themeColor="text1"/>
        </w:rPr>
        <w:alias w:val="是否适用：其中重要的其他应收款核销情况[双击切换]"/>
        <w:tag w:val="_GBC_18f34d9f47f24d07986c3f3568dd2c70"/>
        <w:id w:val="2098211101"/>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其他应收款核销说明：</w:t>
      </w:r>
    </w:p>
    <w:sdt>
      <w:sdtPr>
        <w:rPr>
          <w:b/>
          <w:color w:val="000000" w:themeColor="text1"/>
        </w:rPr>
        <w:alias w:val="是否适用：其他应收款冲销坏帐明细的说明[双击切换]"/>
        <w:tag w:val="_GBC_04f9a50bf0244ec4a466448325e84289"/>
        <w:id w:val="-1643582328"/>
        <w:placeholder>
          <w:docPart w:val="GBC22222222222222222222222222222"/>
        </w:placeholder>
      </w:sdtPr>
      <w:sdtEndPr>
        <w:rPr>
          <w:b w:val="0"/>
        </w:r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58"/>
        </w:numPr>
        <w:tabs>
          <w:tab w:val="left" w:pos="560"/>
        </w:tabs>
        <w:rPr>
          <w:rFonts w:ascii="宋体" w:hAnsi="宋体"/>
          <w:color w:val="000000" w:themeColor="text1"/>
        </w:rPr>
      </w:pPr>
      <w:r>
        <w:rPr>
          <w:rFonts w:ascii="宋体" w:hAnsi="宋体" w:hint="eastAsia"/>
          <w:color w:val="000000" w:themeColor="text1"/>
        </w:rPr>
        <w:t>按欠款方归集的期末余额前五名的其他应收款情况</w:t>
      </w:r>
    </w:p>
    <w:sdt>
      <w:sdtPr>
        <w:rPr>
          <w:color w:val="000000" w:themeColor="text1"/>
        </w:rPr>
        <w:alias w:val="是否适用：按欠款方归集的期末余额前五名的其他应收款情况[双击切换]"/>
        <w:tag w:val="_GBC_1ad831584f90441b93cce7d9b7baa3c9"/>
        <w:id w:val="-214080033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其他应收账款前五名欠款情况"/>
          <w:tag w:val="_GBC_1f85b3036b0644cbaf6c33311b7f159d"/>
          <w:id w:val="19315506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应收账款前五名欠款情况"/>
          <w:tag w:val="_GBC_bc5cf48306144a92af62fef51b293c5a"/>
          <w:id w:val="-15943203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486"/>
        <w:gridCol w:w="1395"/>
        <w:gridCol w:w="1716"/>
        <w:gridCol w:w="1310"/>
        <w:gridCol w:w="1286"/>
        <w:gridCol w:w="1630"/>
      </w:tblGrid>
      <w:tr w:rsidR="000C5659">
        <w:trPr>
          <w:cantSplit/>
        </w:trPr>
        <w:sdt>
          <w:sdtPr>
            <w:rPr>
              <w:color w:val="000000" w:themeColor="text1"/>
            </w:rPr>
            <w:tag w:val="_PLD_6d371f7abd044db6abe05c7f74810d89"/>
            <w:id w:val="147475958"/>
          </w:sdtPr>
          <w:sdtEndPr/>
          <w:sdtContent>
            <w:tc>
              <w:tcPr>
                <w:tcW w:w="843" w:type="pct"/>
                <w:vAlign w:val="center"/>
              </w:tcPr>
              <w:p w:rsidR="000C5659" w:rsidRDefault="000E33C4">
                <w:pPr>
                  <w:ind w:right="105"/>
                  <w:jc w:val="center"/>
                  <w:rPr>
                    <w:color w:val="000000" w:themeColor="text1"/>
                  </w:rPr>
                </w:pPr>
                <w:r>
                  <w:rPr>
                    <w:rFonts w:hint="eastAsia"/>
                    <w:color w:val="000000" w:themeColor="text1"/>
                  </w:rPr>
                  <w:t>单位名称</w:t>
                </w:r>
              </w:p>
            </w:tc>
          </w:sdtContent>
        </w:sdt>
        <w:sdt>
          <w:sdtPr>
            <w:rPr>
              <w:color w:val="000000" w:themeColor="text1"/>
            </w:rPr>
            <w:tag w:val="_PLD_9561b3d624ee40c28568fb322a981ebc"/>
            <w:id w:val="147453601"/>
          </w:sdtPr>
          <w:sdtEndPr/>
          <w:sdtContent>
            <w:tc>
              <w:tcPr>
                <w:tcW w:w="784" w:type="pct"/>
                <w:vAlign w:val="center"/>
              </w:tcPr>
              <w:p w:rsidR="000C5659" w:rsidRDefault="000E33C4">
                <w:pPr>
                  <w:ind w:right="73"/>
                  <w:jc w:val="center"/>
                  <w:rPr>
                    <w:color w:val="000000" w:themeColor="text1"/>
                  </w:rPr>
                </w:pPr>
                <w:r>
                  <w:rPr>
                    <w:rFonts w:hint="eastAsia"/>
                    <w:color w:val="000000" w:themeColor="text1"/>
                  </w:rPr>
                  <w:t>期末余额</w:t>
                </w:r>
              </w:p>
            </w:tc>
          </w:sdtContent>
        </w:sdt>
        <w:sdt>
          <w:sdtPr>
            <w:rPr>
              <w:color w:val="000000" w:themeColor="text1"/>
            </w:rPr>
            <w:tag w:val="_PLD_e2774c827e314521821234a0e399c2c1"/>
            <w:id w:val="147479312"/>
          </w:sdtPr>
          <w:sdtEndPr/>
          <w:sdtContent>
            <w:tc>
              <w:tcPr>
                <w:tcW w:w="973" w:type="pct"/>
                <w:vAlign w:val="center"/>
              </w:tcPr>
              <w:p w:rsidR="000C5659" w:rsidRDefault="000E33C4">
                <w:pPr>
                  <w:jc w:val="center"/>
                  <w:rPr>
                    <w:color w:val="000000" w:themeColor="text1"/>
                  </w:rPr>
                </w:pPr>
                <w:r>
                  <w:rPr>
                    <w:rFonts w:hint="eastAsia"/>
                    <w:color w:val="000000" w:themeColor="text1"/>
                  </w:rPr>
                  <w:t>占其他应收款期末余额合计数的比例(</w:t>
                </w:r>
                <w:r>
                  <w:rPr>
                    <w:color w:val="000000" w:themeColor="text1"/>
                  </w:rPr>
                  <w:t>%)</w:t>
                </w:r>
              </w:p>
            </w:tc>
          </w:sdtContent>
        </w:sdt>
        <w:sdt>
          <w:sdtPr>
            <w:rPr>
              <w:color w:val="000000" w:themeColor="text1"/>
            </w:rPr>
            <w:tag w:val="_PLD_538171446ab849ca976672ecf5055c60"/>
            <w:id w:val="147483135"/>
          </w:sdtPr>
          <w:sdtEndPr/>
          <w:sdtContent>
            <w:tc>
              <w:tcPr>
                <w:tcW w:w="743" w:type="pct"/>
                <w:vAlign w:val="center"/>
              </w:tcPr>
              <w:p w:rsidR="000C5659" w:rsidRDefault="000E33C4">
                <w:pPr>
                  <w:ind w:right="73"/>
                  <w:jc w:val="center"/>
                  <w:rPr>
                    <w:color w:val="000000" w:themeColor="text1"/>
                  </w:rPr>
                </w:pPr>
                <w:r>
                  <w:rPr>
                    <w:rFonts w:hint="eastAsia"/>
                    <w:color w:val="000000" w:themeColor="text1"/>
                  </w:rPr>
                  <w:t>款项的性质</w:t>
                </w:r>
              </w:p>
            </w:tc>
          </w:sdtContent>
        </w:sdt>
        <w:sdt>
          <w:sdtPr>
            <w:rPr>
              <w:color w:val="000000" w:themeColor="text1"/>
            </w:rPr>
            <w:tag w:val="_PLD_a97392b37d5d4c709a23cfdece48161b"/>
            <w:id w:val="147472840"/>
          </w:sdtPr>
          <w:sdtEndPr/>
          <w:sdtContent>
            <w:tc>
              <w:tcPr>
                <w:tcW w:w="729" w:type="pct"/>
                <w:vAlign w:val="center"/>
              </w:tcPr>
              <w:p w:rsidR="000C5659" w:rsidRDefault="000E33C4">
                <w:pPr>
                  <w:ind w:right="73"/>
                  <w:jc w:val="center"/>
                  <w:rPr>
                    <w:color w:val="000000" w:themeColor="text1"/>
                  </w:rPr>
                </w:pPr>
                <w:r>
                  <w:rPr>
                    <w:rFonts w:hint="eastAsia"/>
                    <w:color w:val="000000" w:themeColor="text1"/>
                  </w:rPr>
                  <w:t>账龄</w:t>
                </w:r>
              </w:p>
            </w:tc>
          </w:sdtContent>
        </w:sdt>
        <w:sdt>
          <w:sdtPr>
            <w:rPr>
              <w:color w:val="000000" w:themeColor="text1"/>
            </w:rPr>
            <w:tag w:val="_PLD_ac7ac1a39d1a46eb9269fc6979d54f6f"/>
            <w:id w:val="147472573"/>
          </w:sdtPr>
          <w:sdtEndPr/>
          <w:sdtContent>
            <w:tc>
              <w:tcPr>
                <w:tcW w:w="924" w:type="pct"/>
                <w:vAlign w:val="center"/>
              </w:tcPr>
              <w:p w:rsidR="000C5659" w:rsidRDefault="000E33C4">
                <w:pPr>
                  <w:jc w:val="center"/>
                  <w:rPr>
                    <w:color w:val="000000" w:themeColor="text1"/>
                  </w:rPr>
                </w:pPr>
                <w:r>
                  <w:rPr>
                    <w:rFonts w:hint="eastAsia"/>
                    <w:color w:val="000000" w:themeColor="text1"/>
                  </w:rPr>
                  <w:t>坏账准备</w:t>
                </w:r>
              </w:p>
              <w:p w:rsidR="000C5659" w:rsidRDefault="000E33C4">
                <w:pPr>
                  <w:jc w:val="center"/>
                  <w:rPr>
                    <w:color w:val="000000" w:themeColor="text1"/>
                  </w:rPr>
                </w:pPr>
                <w:r>
                  <w:rPr>
                    <w:rFonts w:hint="eastAsia"/>
                    <w:color w:val="000000" w:themeColor="text1"/>
                  </w:rPr>
                  <w:t>期末余额</w:t>
                </w:r>
              </w:p>
            </w:tc>
          </w:sdtContent>
        </w:sdt>
      </w:tr>
      <w:tr w:rsidR="000C5659">
        <w:trPr>
          <w:cantSplit/>
        </w:trPr>
        <w:tc>
          <w:tcPr>
            <w:tcW w:w="843" w:type="pct"/>
            <w:vAlign w:val="center"/>
          </w:tcPr>
          <w:p w:rsidR="000C5659" w:rsidRDefault="000E33C4">
            <w:pPr>
              <w:snapToGrid w:val="0"/>
            </w:pPr>
            <w:r>
              <w:rPr>
                <w:rFonts w:hint="eastAsia"/>
                <w:szCs w:val="18"/>
              </w:rPr>
              <w:t>第一名</w:t>
            </w:r>
          </w:p>
        </w:tc>
        <w:tc>
          <w:tcPr>
            <w:tcW w:w="784" w:type="pct"/>
          </w:tcPr>
          <w:p w:rsidR="000C5659" w:rsidRDefault="000E33C4">
            <w:pPr>
              <w:ind w:right="73"/>
              <w:jc w:val="right"/>
            </w:pPr>
            <w:r>
              <w:rPr>
                <w:rFonts w:hint="eastAsia"/>
              </w:rPr>
              <w:t>1,300,000.00</w:t>
            </w:r>
          </w:p>
        </w:tc>
        <w:tc>
          <w:tcPr>
            <w:tcW w:w="973" w:type="pct"/>
          </w:tcPr>
          <w:p w:rsidR="000C5659" w:rsidRDefault="000E33C4">
            <w:pPr>
              <w:jc w:val="right"/>
            </w:pPr>
            <w:r>
              <w:t>18.17</w:t>
            </w:r>
          </w:p>
        </w:tc>
        <w:tc>
          <w:tcPr>
            <w:tcW w:w="743" w:type="pct"/>
          </w:tcPr>
          <w:p w:rsidR="000C5659" w:rsidRDefault="000E33C4">
            <w:pPr>
              <w:ind w:right="73"/>
              <w:jc w:val="right"/>
            </w:pPr>
            <w:r>
              <w:t>押金保证金</w:t>
            </w:r>
          </w:p>
        </w:tc>
        <w:tc>
          <w:tcPr>
            <w:tcW w:w="729" w:type="pct"/>
          </w:tcPr>
          <w:p w:rsidR="000C5659" w:rsidRDefault="000E33C4">
            <w:pPr>
              <w:ind w:right="73"/>
              <w:jc w:val="right"/>
            </w:pPr>
            <w:r>
              <w:t>3年以上</w:t>
            </w:r>
          </w:p>
        </w:tc>
        <w:tc>
          <w:tcPr>
            <w:tcW w:w="924" w:type="pct"/>
          </w:tcPr>
          <w:p w:rsidR="000C5659" w:rsidRDefault="000C5659">
            <w:pPr>
              <w:jc w:val="right"/>
            </w:pPr>
          </w:p>
        </w:tc>
      </w:tr>
      <w:tr w:rsidR="000C5659">
        <w:trPr>
          <w:cantSplit/>
        </w:trPr>
        <w:tc>
          <w:tcPr>
            <w:tcW w:w="843" w:type="pct"/>
            <w:vAlign w:val="center"/>
          </w:tcPr>
          <w:p w:rsidR="000C5659" w:rsidRDefault="000E33C4">
            <w:pPr>
              <w:snapToGrid w:val="0"/>
            </w:pPr>
            <w:r>
              <w:rPr>
                <w:rFonts w:hint="eastAsia"/>
                <w:szCs w:val="18"/>
              </w:rPr>
              <w:t>第二名</w:t>
            </w:r>
          </w:p>
        </w:tc>
        <w:tc>
          <w:tcPr>
            <w:tcW w:w="784" w:type="pct"/>
          </w:tcPr>
          <w:p w:rsidR="000C5659" w:rsidRDefault="000E33C4">
            <w:pPr>
              <w:ind w:right="73"/>
              <w:jc w:val="right"/>
            </w:pPr>
            <w:r>
              <w:t>650,000.00</w:t>
            </w:r>
          </w:p>
        </w:tc>
        <w:tc>
          <w:tcPr>
            <w:tcW w:w="973" w:type="pct"/>
          </w:tcPr>
          <w:p w:rsidR="000C5659" w:rsidRDefault="000E33C4">
            <w:pPr>
              <w:jc w:val="right"/>
            </w:pPr>
            <w:r>
              <w:t>9.08</w:t>
            </w:r>
          </w:p>
        </w:tc>
        <w:tc>
          <w:tcPr>
            <w:tcW w:w="743" w:type="pct"/>
          </w:tcPr>
          <w:p w:rsidR="000C5659" w:rsidRDefault="000E33C4">
            <w:pPr>
              <w:ind w:right="73"/>
              <w:jc w:val="right"/>
            </w:pPr>
            <w:r>
              <w:t>押金保证金</w:t>
            </w:r>
          </w:p>
        </w:tc>
        <w:tc>
          <w:tcPr>
            <w:tcW w:w="729" w:type="pct"/>
          </w:tcPr>
          <w:p w:rsidR="000C5659" w:rsidRDefault="000E33C4">
            <w:pPr>
              <w:ind w:right="73"/>
              <w:jc w:val="right"/>
            </w:pPr>
            <w:r>
              <w:t>3年以上</w:t>
            </w:r>
          </w:p>
        </w:tc>
        <w:tc>
          <w:tcPr>
            <w:tcW w:w="924" w:type="pct"/>
          </w:tcPr>
          <w:p w:rsidR="000C5659" w:rsidRDefault="000C5659">
            <w:pPr>
              <w:jc w:val="right"/>
            </w:pPr>
          </w:p>
        </w:tc>
      </w:tr>
      <w:tr w:rsidR="000C5659">
        <w:trPr>
          <w:cantSplit/>
        </w:trPr>
        <w:tc>
          <w:tcPr>
            <w:tcW w:w="843" w:type="pct"/>
            <w:vAlign w:val="center"/>
          </w:tcPr>
          <w:p w:rsidR="000C5659" w:rsidRDefault="000E33C4">
            <w:pPr>
              <w:snapToGrid w:val="0"/>
              <w:rPr>
                <w:color w:val="000000" w:themeColor="text1"/>
              </w:rPr>
            </w:pPr>
            <w:r>
              <w:rPr>
                <w:rFonts w:hint="eastAsia"/>
                <w:szCs w:val="18"/>
              </w:rPr>
              <w:t>第三名</w:t>
            </w:r>
          </w:p>
        </w:tc>
        <w:tc>
          <w:tcPr>
            <w:tcW w:w="784" w:type="pct"/>
          </w:tcPr>
          <w:p w:rsidR="000C5659" w:rsidRDefault="000E33C4">
            <w:pPr>
              <w:ind w:right="73"/>
              <w:jc w:val="right"/>
            </w:pPr>
            <w:r>
              <w:t>300,000.00</w:t>
            </w:r>
          </w:p>
        </w:tc>
        <w:tc>
          <w:tcPr>
            <w:tcW w:w="973" w:type="pct"/>
          </w:tcPr>
          <w:p w:rsidR="000C5659" w:rsidRDefault="000E33C4">
            <w:pPr>
              <w:jc w:val="right"/>
            </w:pPr>
            <w:r>
              <w:t>4.19</w:t>
            </w:r>
          </w:p>
        </w:tc>
        <w:tc>
          <w:tcPr>
            <w:tcW w:w="743" w:type="pct"/>
          </w:tcPr>
          <w:p w:rsidR="000C5659" w:rsidRDefault="000E33C4">
            <w:pPr>
              <w:ind w:right="73"/>
              <w:jc w:val="right"/>
              <w:rPr>
                <w:color w:val="000000" w:themeColor="text1"/>
              </w:rPr>
            </w:pPr>
            <w:r>
              <w:t>押金保证金</w:t>
            </w:r>
          </w:p>
        </w:tc>
        <w:tc>
          <w:tcPr>
            <w:tcW w:w="729" w:type="pct"/>
          </w:tcPr>
          <w:p w:rsidR="000C5659" w:rsidRDefault="000E33C4">
            <w:pPr>
              <w:ind w:right="73"/>
              <w:jc w:val="right"/>
              <w:rPr>
                <w:color w:val="000000" w:themeColor="text1"/>
              </w:rPr>
            </w:pPr>
            <w:r>
              <w:t>3年以上</w:t>
            </w:r>
          </w:p>
        </w:tc>
        <w:tc>
          <w:tcPr>
            <w:tcW w:w="924" w:type="pct"/>
          </w:tcPr>
          <w:p w:rsidR="000C5659" w:rsidRDefault="000C5659">
            <w:pPr>
              <w:jc w:val="right"/>
            </w:pPr>
          </w:p>
        </w:tc>
      </w:tr>
      <w:tr w:rsidR="000C5659">
        <w:trPr>
          <w:cantSplit/>
        </w:trPr>
        <w:tc>
          <w:tcPr>
            <w:tcW w:w="843" w:type="pct"/>
            <w:vAlign w:val="center"/>
          </w:tcPr>
          <w:p w:rsidR="000C5659" w:rsidRDefault="000E33C4">
            <w:pPr>
              <w:snapToGrid w:val="0"/>
              <w:rPr>
                <w:color w:val="000000" w:themeColor="text1"/>
              </w:rPr>
            </w:pPr>
            <w:r>
              <w:rPr>
                <w:rFonts w:hint="eastAsia"/>
                <w:szCs w:val="18"/>
              </w:rPr>
              <w:t>第四名</w:t>
            </w:r>
          </w:p>
        </w:tc>
        <w:tc>
          <w:tcPr>
            <w:tcW w:w="784" w:type="pct"/>
          </w:tcPr>
          <w:p w:rsidR="000C5659" w:rsidRDefault="000E33C4">
            <w:pPr>
              <w:ind w:right="73"/>
              <w:jc w:val="right"/>
            </w:pPr>
            <w:r>
              <w:t>114,830.00</w:t>
            </w:r>
          </w:p>
        </w:tc>
        <w:tc>
          <w:tcPr>
            <w:tcW w:w="973" w:type="pct"/>
          </w:tcPr>
          <w:p w:rsidR="000C5659" w:rsidRDefault="000E33C4">
            <w:pPr>
              <w:jc w:val="right"/>
            </w:pPr>
            <w:r>
              <w:t>1.60</w:t>
            </w:r>
          </w:p>
        </w:tc>
        <w:tc>
          <w:tcPr>
            <w:tcW w:w="743" w:type="pct"/>
          </w:tcPr>
          <w:p w:rsidR="000C5659" w:rsidRDefault="000E33C4">
            <w:pPr>
              <w:ind w:right="73"/>
              <w:jc w:val="right"/>
              <w:rPr>
                <w:color w:val="000000" w:themeColor="text1"/>
              </w:rPr>
            </w:pPr>
            <w:r>
              <w:t>押金保证金</w:t>
            </w:r>
          </w:p>
        </w:tc>
        <w:tc>
          <w:tcPr>
            <w:tcW w:w="729" w:type="pct"/>
          </w:tcPr>
          <w:p w:rsidR="000C5659" w:rsidRDefault="000E33C4">
            <w:pPr>
              <w:ind w:right="73"/>
              <w:jc w:val="right"/>
              <w:rPr>
                <w:color w:val="000000" w:themeColor="text1"/>
              </w:rPr>
            </w:pPr>
            <w:r>
              <w:t>3年以上</w:t>
            </w:r>
          </w:p>
        </w:tc>
        <w:tc>
          <w:tcPr>
            <w:tcW w:w="924" w:type="pct"/>
          </w:tcPr>
          <w:p w:rsidR="000C5659" w:rsidRDefault="000C5659">
            <w:pPr>
              <w:jc w:val="right"/>
            </w:pPr>
          </w:p>
        </w:tc>
      </w:tr>
      <w:tr w:rsidR="000C5659">
        <w:trPr>
          <w:cantSplit/>
        </w:trPr>
        <w:tc>
          <w:tcPr>
            <w:tcW w:w="843" w:type="pct"/>
            <w:vAlign w:val="center"/>
          </w:tcPr>
          <w:p w:rsidR="000C5659" w:rsidRDefault="000E33C4">
            <w:pPr>
              <w:snapToGrid w:val="0"/>
              <w:rPr>
                <w:color w:val="000000" w:themeColor="text1"/>
              </w:rPr>
            </w:pPr>
            <w:r>
              <w:rPr>
                <w:rFonts w:hint="eastAsia"/>
                <w:szCs w:val="18"/>
              </w:rPr>
              <w:t>第五名</w:t>
            </w:r>
          </w:p>
        </w:tc>
        <w:tc>
          <w:tcPr>
            <w:tcW w:w="784" w:type="pct"/>
          </w:tcPr>
          <w:p w:rsidR="000C5659" w:rsidRDefault="000E33C4">
            <w:pPr>
              <w:ind w:right="73"/>
              <w:jc w:val="right"/>
            </w:pPr>
            <w:r>
              <w:t>110,000.00</w:t>
            </w:r>
          </w:p>
        </w:tc>
        <w:tc>
          <w:tcPr>
            <w:tcW w:w="973" w:type="pct"/>
          </w:tcPr>
          <w:p w:rsidR="000C5659" w:rsidRDefault="000E33C4">
            <w:pPr>
              <w:jc w:val="right"/>
            </w:pPr>
            <w:r>
              <w:t>1.54</w:t>
            </w:r>
          </w:p>
        </w:tc>
        <w:tc>
          <w:tcPr>
            <w:tcW w:w="743" w:type="pct"/>
          </w:tcPr>
          <w:p w:rsidR="000C5659" w:rsidRDefault="000E33C4">
            <w:pPr>
              <w:ind w:right="73"/>
              <w:jc w:val="right"/>
              <w:rPr>
                <w:color w:val="000000" w:themeColor="text1"/>
              </w:rPr>
            </w:pPr>
            <w:r>
              <w:t>押金保证金</w:t>
            </w:r>
          </w:p>
        </w:tc>
        <w:tc>
          <w:tcPr>
            <w:tcW w:w="729" w:type="pct"/>
          </w:tcPr>
          <w:p w:rsidR="000C5659" w:rsidRDefault="000E33C4">
            <w:pPr>
              <w:ind w:right="73"/>
              <w:jc w:val="right"/>
              <w:rPr>
                <w:color w:val="000000" w:themeColor="text1"/>
              </w:rPr>
            </w:pPr>
            <w:r>
              <w:t>3年以上</w:t>
            </w:r>
          </w:p>
        </w:tc>
        <w:tc>
          <w:tcPr>
            <w:tcW w:w="924" w:type="pct"/>
          </w:tcPr>
          <w:p w:rsidR="000C5659" w:rsidRDefault="000C5659">
            <w:pPr>
              <w:jc w:val="right"/>
            </w:pPr>
          </w:p>
        </w:tc>
      </w:tr>
      <w:tr w:rsidR="000C5659">
        <w:trPr>
          <w:cantSplit/>
        </w:trPr>
        <w:tc>
          <w:tcPr>
            <w:tcW w:w="843" w:type="pct"/>
          </w:tcPr>
          <w:p w:rsidR="000C5659" w:rsidRDefault="000E33C4">
            <w:pPr>
              <w:ind w:right="105"/>
              <w:jc w:val="both"/>
              <w:rPr>
                <w:color w:val="000000" w:themeColor="text1"/>
              </w:rPr>
            </w:pPr>
            <w:r>
              <w:t>合计</w:t>
            </w:r>
          </w:p>
        </w:tc>
        <w:tc>
          <w:tcPr>
            <w:tcW w:w="784" w:type="pct"/>
          </w:tcPr>
          <w:p w:rsidR="000C5659" w:rsidRDefault="000E33C4">
            <w:pPr>
              <w:ind w:right="73"/>
              <w:jc w:val="right"/>
            </w:pPr>
            <w:r>
              <w:rPr>
                <w:rFonts w:hint="eastAsia"/>
              </w:rPr>
              <w:t>2,474,830.00</w:t>
            </w:r>
          </w:p>
        </w:tc>
        <w:tc>
          <w:tcPr>
            <w:tcW w:w="973" w:type="pct"/>
          </w:tcPr>
          <w:p w:rsidR="000C5659" w:rsidRDefault="000E33C4">
            <w:pPr>
              <w:jc w:val="right"/>
            </w:pPr>
            <w:r>
              <w:t>34.58</w:t>
            </w:r>
          </w:p>
        </w:tc>
        <w:tc>
          <w:tcPr>
            <w:tcW w:w="743" w:type="pct"/>
          </w:tcPr>
          <w:p w:rsidR="000C5659" w:rsidRDefault="000E33C4">
            <w:pPr>
              <w:ind w:right="73"/>
              <w:jc w:val="right"/>
              <w:rPr>
                <w:color w:val="000000" w:themeColor="text1"/>
              </w:rPr>
            </w:pPr>
            <w:r>
              <w:t>/</w:t>
            </w:r>
          </w:p>
        </w:tc>
        <w:tc>
          <w:tcPr>
            <w:tcW w:w="729" w:type="pct"/>
          </w:tcPr>
          <w:p w:rsidR="000C5659" w:rsidRDefault="000E33C4">
            <w:pPr>
              <w:ind w:right="73"/>
              <w:jc w:val="right"/>
              <w:rPr>
                <w:color w:val="000000" w:themeColor="text1"/>
              </w:rPr>
            </w:pPr>
            <w:r>
              <w:t>/</w:t>
            </w:r>
          </w:p>
        </w:tc>
        <w:tc>
          <w:tcPr>
            <w:tcW w:w="924" w:type="pct"/>
          </w:tcPr>
          <w:p w:rsidR="000C5659" w:rsidRDefault="000C5659">
            <w:pPr>
              <w:jc w:val="right"/>
            </w:pPr>
          </w:p>
        </w:tc>
      </w:tr>
    </w:tbl>
    <w:p w:rsidR="000C5659" w:rsidRDefault="000C5659"/>
    <w:p w:rsidR="000C5659" w:rsidRDefault="000C5659">
      <w:pPr>
        <w:pStyle w:val="Style325"/>
      </w:pPr>
    </w:p>
    <w:p w:rsidR="000C5659" w:rsidRDefault="000E33C4" w:rsidP="000743DD">
      <w:pPr>
        <w:pStyle w:val="43"/>
        <w:numPr>
          <w:ilvl w:val="3"/>
          <w:numId w:val="58"/>
        </w:numPr>
        <w:tabs>
          <w:tab w:val="left" w:pos="560"/>
        </w:tabs>
        <w:rPr>
          <w:rFonts w:ascii="宋体" w:hAnsi="宋体" w:cs="宋体"/>
          <w:color w:val="000000" w:themeColor="text1"/>
          <w:kern w:val="0"/>
          <w:szCs w:val="24"/>
        </w:rPr>
      </w:pPr>
      <w:bookmarkStart w:id="211" w:name="_Hlk167891115"/>
      <w:r>
        <w:rPr>
          <w:rFonts w:ascii="宋体" w:hAnsi="宋体" w:cs="宋体"/>
          <w:color w:val="000000" w:themeColor="text1"/>
          <w:kern w:val="0"/>
          <w:szCs w:val="24"/>
        </w:rPr>
        <w:t>因资金集中管理而列报于其他应收款</w:t>
      </w:r>
    </w:p>
    <w:sdt>
      <w:sdtPr>
        <w:rPr>
          <w:color w:val="000000" w:themeColor="text1"/>
        </w:rPr>
        <w:alias w:val="是否适用：因资金集中管理而列报于其他应收款[双击切换]"/>
        <w:tag w:val="_GBC_4dd617ad43cc44e08e5603fa324c6566"/>
        <w:id w:val="-874463597"/>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11"/>
    <w:p w:rsidR="000C5659" w:rsidRDefault="000C5659">
      <w:pPr>
        <w:snapToGrid w:val="0"/>
        <w:spacing w:line="240" w:lineRule="atLeast"/>
        <w:rPr>
          <w:color w:val="000000" w:themeColor="text1"/>
        </w:rPr>
      </w:pPr>
    </w:p>
    <w:p w:rsidR="000C5659" w:rsidRDefault="000E33C4">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其他应收款的其他说明[双击切换]"/>
        <w:tag w:val="_GBC_55d570440c184744bd13a4938ba488d1"/>
        <w:id w:val="214484113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存货</w:t>
      </w:r>
    </w:p>
    <w:p w:rsidR="000C5659" w:rsidRDefault="000E33C4" w:rsidP="000743DD">
      <w:pPr>
        <w:pStyle w:val="43"/>
        <w:numPr>
          <w:ilvl w:val="0"/>
          <w:numId w:val="59"/>
        </w:numPr>
        <w:tabs>
          <w:tab w:val="left" w:pos="630"/>
        </w:tabs>
        <w:ind w:left="0" w:firstLine="0"/>
        <w:rPr>
          <w:rFonts w:ascii="宋体" w:hAnsi="宋体"/>
          <w:color w:val="000000" w:themeColor="text1"/>
        </w:rPr>
      </w:pPr>
      <w:bookmarkStart w:id="212" w:name="_Hlk10470159"/>
      <w:r>
        <w:rPr>
          <w:rFonts w:ascii="宋体" w:hAnsi="宋体" w:hint="eastAsia"/>
          <w:color w:val="000000" w:themeColor="text1"/>
        </w:rPr>
        <w:t>存货分类</w:t>
      </w:r>
    </w:p>
    <w:sdt>
      <w:sdtPr>
        <w:rPr>
          <w:color w:val="000000" w:themeColor="text1"/>
        </w:rPr>
        <w:alias w:val="是否适用：存货分类[双击切换]"/>
        <w:tag w:val="_GBC_06c46a03a226418fb8e5e84326c47750"/>
        <w:id w:val="168317165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存货分类"/>
          <w:tag w:val="_GBC_cc6e1ec3be0141cbb25cf999a897b29b"/>
          <w:id w:val="-7606872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存货分类"/>
          <w:tag w:val="_GBC_d85b2ad6790d4fa2ace1d773934cd4b3"/>
          <w:id w:val="-13643564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989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568"/>
        <w:gridCol w:w="1559"/>
        <w:gridCol w:w="1418"/>
        <w:gridCol w:w="1559"/>
        <w:gridCol w:w="1701"/>
        <w:gridCol w:w="1418"/>
        <w:gridCol w:w="1671"/>
      </w:tblGrid>
      <w:tr w:rsidR="000C5659" w:rsidTr="00BC4888">
        <w:trPr>
          <w:cantSplit/>
          <w:jc w:val="center"/>
        </w:trPr>
        <w:sdt>
          <w:sdtPr>
            <w:rPr>
              <w:color w:val="000000" w:themeColor="text1"/>
            </w:rPr>
            <w:tag w:val="_PLD_48d855cd658044389f8d1cbe0016be78"/>
            <w:id w:val="1542324525"/>
          </w:sdtPr>
          <w:sdtEndPr/>
          <w:sdtContent>
            <w:tc>
              <w:tcPr>
                <w:tcW w:w="568" w:type="dxa"/>
                <w:vMerge w:val="restart"/>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586606f595aa4fff8214f9b6209260b6"/>
            <w:id w:val="1438486753"/>
          </w:sdtPr>
          <w:sdtEndPr/>
          <w:sdtContent>
            <w:tc>
              <w:tcPr>
                <w:tcW w:w="4536" w:type="dxa"/>
                <w:gridSpan w:val="3"/>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a1bbc97888494137a790328386c2b9d8"/>
            <w:id w:val="1727957002"/>
          </w:sdtPr>
          <w:sdtEndPr/>
          <w:sdtContent>
            <w:tc>
              <w:tcPr>
                <w:tcW w:w="4790" w:type="dxa"/>
                <w:gridSpan w:val="3"/>
                <w:vAlign w:val="center"/>
              </w:tcPr>
              <w:p w:rsidR="000C5659" w:rsidRDefault="000E33C4">
                <w:pPr>
                  <w:jc w:val="center"/>
                  <w:rPr>
                    <w:color w:val="000000" w:themeColor="text1"/>
                  </w:rPr>
                </w:pPr>
                <w:r>
                  <w:rPr>
                    <w:rFonts w:hint="eastAsia"/>
                    <w:color w:val="000000" w:themeColor="text1"/>
                  </w:rPr>
                  <w:t>期初余额</w:t>
                </w:r>
              </w:p>
            </w:tc>
          </w:sdtContent>
        </w:sdt>
      </w:tr>
      <w:tr w:rsidR="000C5659" w:rsidTr="00BC4888">
        <w:trPr>
          <w:cantSplit/>
          <w:jc w:val="center"/>
        </w:trPr>
        <w:tc>
          <w:tcPr>
            <w:tcW w:w="568" w:type="dxa"/>
            <w:vMerge/>
            <w:vAlign w:val="center"/>
          </w:tcPr>
          <w:p w:rsidR="000C5659" w:rsidRDefault="000C5659">
            <w:pPr>
              <w:ind w:right="5"/>
              <w:jc w:val="center"/>
              <w:rPr>
                <w:color w:val="000000" w:themeColor="text1"/>
              </w:rPr>
            </w:pPr>
          </w:p>
        </w:tc>
        <w:sdt>
          <w:sdtPr>
            <w:rPr>
              <w:color w:val="000000" w:themeColor="text1"/>
            </w:rPr>
            <w:tag w:val="_PLD_60368d835c2843d99b5061f4c84f8d8e"/>
            <w:id w:val="1409725489"/>
          </w:sdtPr>
          <w:sdtEndPr/>
          <w:sdtContent>
            <w:tc>
              <w:tcPr>
                <w:tcW w:w="1559" w:type="dxa"/>
                <w:vAlign w:val="center"/>
              </w:tcPr>
              <w:p w:rsidR="000C5659" w:rsidRDefault="000E33C4">
                <w:pPr>
                  <w:ind w:right="5"/>
                  <w:jc w:val="center"/>
                  <w:rPr>
                    <w:color w:val="000000" w:themeColor="text1"/>
                  </w:rPr>
                </w:pPr>
                <w:r>
                  <w:rPr>
                    <w:rFonts w:hint="eastAsia"/>
                    <w:color w:val="000000" w:themeColor="text1"/>
                  </w:rPr>
                  <w:t>账面余额</w:t>
                </w:r>
              </w:p>
            </w:tc>
          </w:sdtContent>
        </w:sdt>
        <w:tc>
          <w:tcPr>
            <w:tcW w:w="1418" w:type="dxa"/>
            <w:vAlign w:val="center"/>
          </w:tcPr>
          <w:p w:rsidR="000C5659" w:rsidRDefault="00220B84">
            <w:pPr>
              <w:ind w:right="5"/>
              <w:jc w:val="center"/>
              <w:rPr>
                <w:color w:val="000000" w:themeColor="text1"/>
              </w:rPr>
            </w:pPr>
            <w:sdt>
              <w:sdtPr>
                <w:rPr>
                  <w:color w:val="000000" w:themeColor="text1"/>
                </w:rPr>
                <w:tag w:val="_PLD_b5c53ce2a5004db988af9e72594f6b6a"/>
                <w:id w:val="694732581"/>
              </w:sdtPr>
              <w:sdtEndPr/>
              <w:sdtContent>
                <w:r w:rsidR="000E33C4">
                  <w:rPr>
                    <w:rFonts w:hint="eastAsia"/>
                    <w:color w:val="000000" w:themeColor="text1"/>
                  </w:rPr>
                  <w:t>存货跌价准备</w:t>
                </w:r>
                <w:r w:rsidR="000E33C4">
                  <w:rPr>
                    <w:color w:val="000000" w:themeColor="text1"/>
                  </w:rPr>
                  <w:t>/合同履约成本减值准备</w:t>
                </w:r>
              </w:sdtContent>
            </w:sdt>
          </w:p>
        </w:tc>
        <w:sdt>
          <w:sdtPr>
            <w:rPr>
              <w:color w:val="000000" w:themeColor="text1"/>
            </w:rPr>
            <w:tag w:val="_PLD_f2691cf723784fbcbc9a900f61c6e250"/>
            <w:id w:val="890465034"/>
          </w:sdtPr>
          <w:sdtEndPr/>
          <w:sdtContent>
            <w:tc>
              <w:tcPr>
                <w:tcW w:w="1559" w:type="dxa"/>
                <w:vAlign w:val="center"/>
              </w:tcPr>
              <w:p w:rsidR="000C5659" w:rsidRDefault="000E33C4">
                <w:pPr>
                  <w:ind w:right="5"/>
                  <w:jc w:val="center"/>
                  <w:rPr>
                    <w:color w:val="000000" w:themeColor="text1"/>
                  </w:rPr>
                </w:pPr>
                <w:r>
                  <w:rPr>
                    <w:rFonts w:hint="eastAsia"/>
                    <w:color w:val="000000" w:themeColor="text1"/>
                  </w:rPr>
                  <w:t>账面价值</w:t>
                </w:r>
              </w:p>
            </w:tc>
          </w:sdtContent>
        </w:sdt>
        <w:sdt>
          <w:sdtPr>
            <w:rPr>
              <w:color w:val="000000" w:themeColor="text1"/>
            </w:rPr>
            <w:tag w:val="_PLD_df34ec94af0b441bab962cb42fe65b1a"/>
            <w:id w:val="-1103339504"/>
          </w:sdtPr>
          <w:sdtEndPr/>
          <w:sdtContent>
            <w:tc>
              <w:tcPr>
                <w:tcW w:w="1701" w:type="dxa"/>
                <w:vAlign w:val="center"/>
              </w:tcPr>
              <w:p w:rsidR="000C5659" w:rsidRDefault="000E33C4">
                <w:pPr>
                  <w:ind w:right="5"/>
                  <w:jc w:val="center"/>
                  <w:rPr>
                    <w:color w:val="000000" w:themeColor="text1"/>
                  </w:rPr>
                </w:pPr>
                <w:r>
                  <w:rPr>
                    <w:rFonts w:hint="eastAsia"/>
                    <w:color w:val="000000" w:themeColor="text1"/>
                  </w:rPr>
                  <w:t>账面余额</w:t>
                </w:r>
              </w:p>
            </w:tc>
          </w:sdtContent>
        </w:sdt>
        <w:tc>
          <w:tcPr>
            <w:tcW w:w="1418" w:type="dxa"/>
            <w:vAlign w:val="center"/>
          </w:tcPr>
          <w:p w:rsidR="000C5659" w:rsidRDefault="00220B84">
            <w:pPr>
              <w:ind w:right="5"/>
              <w:jc w:val="center"/>
              <w:rPr>
                <w:color w:val="000000" w:themeColor="text1"/>
              </w:rPr>
            </w:pPr>
            <w:sdt>
              <w:sdtPr>
                <w:rPr>
                  <w:color w:val="000000" w:themeColor="text1"/>
                </w:rPr>
                <w:tag w:val="_PLD_7a42c47b54924b47b9e161d8fd9fb840"/>
                <w:id w:val="-1550369635"/>
              </w:sdtPr>
              <w:sdtEndPr/>
              <w:sdtContent>
                <w:r w:rsidR="000E33C4">
                  <w:rPr>
                    <w:rFonts w:hint="eastAsia"/>
                    <w:color w:val="000000" w:themeColor="text1"/>
                  </w:rPr>
                  <w:t>存货跌价准备</w:t>
                </w:r>
                <w:r w:rsidR="000E33C4">
                  <w:rPr>
                    <w:color w:val="000000" w:themeColor="text1"/>
                  </w:rPr>
                  <w:t>/合同履约成本减值准备</w:t>
                </w:r>
              </w:sdtContent>
            </w:sdt>
          </w:p>
        </w:tc>
        <w:sdt>
          <w:sdtPr>
            <w:rPr>
              <w:color w:val="000000" w:themeColor="text1"/>
            </w:rPr>
            <w:tag w:val="_PLD_0db3a7f82db34583bb111dc2a8e88f8c"/>
            <w:id w:val="-1226990146"/>
          </w:sdtPr>
          <w:sdtEndPr/>
          <w:sdtContent>
            <w:tc>
              <w:tcPr>
                <w:tcW w:w="1671" w:type="dxa"/>
                <w:vAlign w:val="center"/>
              </w:tcPr>
              <w:p w:rsidR="000C5659" w:rsidRDefault="000E33C4">
                <w:pPr>
                  <w:ind w:right="5"/>
                  <w:jc w:val="center"/>
                  <w:rPr>
                    <w:color w:val="000000" w:themeColor="text1"/>
                  </w:rPr>
                </w:pPr>
                <w:r>
                  <w:rPr>
                    <w:rFonts w:hint="eastAsia"/>
                    <w:color w:val="000000" w:themeColor="text1"/>
                  </w:rPr>
                  <w:t>账面价值</w:t>
                </w:r>
              </w:p>
            </w:tc>
          </w:sdtContent>
        </w:sdt>
      </w:tr>
      <w:tr w:rsidR="000C5659" w:rsidTr="00BC4888">
        <w:trPr>
          <w:cantSplit/>
          <w:jc w:val="center"/>
        </w:trPr>
        <w:tc>
          <w:tcPr>
            <w:tcW w:w="568" w:type="dxa"/>
            <w:vAlign w:val="center"/>
          </w:tcPr>
          <w:p w:rsidR="000C5659" w:rsidRDefault="000E33C4">
            <w:pPr>
              <w:snapToGrid w:val="0"/>
              <w:rPr>
                <w:color w:val="000000" w:themeColor="text1"/>
              </w:rPr>
            </w:pPr>
            <w:r>
              <w:rPr>
                <w:szCs w:val="18"/>
              </w:rPr>
              <w:t>原材料</w:t>
            </w:r>
          </w:p>
        </w:tc>
        <w:tc>
          <w:tcPr>
            <w:tcW w:w="1559" w:type="dxa"/>
            <w:vAlign w:val="center"/>
          </w:tcPr>
          <w:p w:rsidR="000C5659" w:rsidRDefault="000E33C4">
            <w:pPr>
              <w:jc w:val="right"/>
              <w:textAlignment w:val="center"/>
            </w:pPr>
            <w:r>
              <w:rPr>
                <w:rFonts w:hint="eastAsia"/>
                <w:color w:val="000000"/>
                <w:lang w:bidi="ar"/>
              </w:rPr>
              <w:t>52,315,392.79</w:t>
            </w:r>
          </w:p>
        </w:tc>
        <w:tc>
          <w:tcPr>
            <w:tcW w:w="1418" w:type="dxa"/>
            <w:vAlign w:val="center"/>
          </w:tcPr>
          <w:p w:rsidR="000C5659" w:rsidRDefault="000E33C4" w:rsidP="00BC4888">
            <w:pPr>
              <w:jc w:val="right"/>
              <w:textAlignment w:val="bottom"/>
            </w:pPr>
            <w:r>
              <w:rPr>
                <w:rFonts w:hint="eastAsia"/>
                <w:color w:val="000000"/>
                <w:lang w:bidi="ar"/>
              </w:rPr>
              <w:t>157,692.60</w:t>
            </w:r>
          </w:p>
        </w:tc>
        <w:tc>
          <w:tcPr>
            <w:tcW w:w="1559" w:type="dxa"/>
            <w:vAlign w:val="center"/>
          </w:tcPr>
          <w:p w:rsidR="000C5659" w:rsidRDefault="000E33C4" w:rsidP="00BC4888">
            <w:pPr>
              <w:jc w:val="right"/>
              <w:textAlignment w:val="bottom"/>
            </w:pPr>
            <w:r>
              <w:rPr>
                <w:rFonts w:hint="eastAsia"/>
                <w:color w:val="000000"/>
                <w:lang w:bidi="ar"/>
              </w:rPr>
              <w:t>52,157,700.19</w:t>
            </w:r>
          </w:p>
        </w:tc>
        <w:tc>
          <w:tcPr>
            <w:tcW w:w="1701" w:type="dxa"/>
            <w:vAlign w:val="center"/>
          </w:tcPr>
          <w:p w:rsidR="000C5659" w:rsidRDefault="000E33C4">
            <w:pPr>
              <w:ind w:right="5"/>
              <w:jc w:val="right"/>
            </w:pPr>
            <w:r>
              <w:t>47,403,899.81</w:t>
            </w:r>
          </w:p>
        </w:tc>
        <w:tc>
          <w:tcPr>
            <w:tcW w:w="1418" w:type="dxa"/>
            <w:vAlign w:val="center"/>
          </w:tcPr>
          <w:p w:rsidR="000C5659" w:rsidRDefault="000E33C4">
            <w:pPr>
              <w:ind w:right="5"/>
              <w:jc w:val="right"/>
            </w:pPr>
            <w:r>
              <w:t>128,036.69</w:t>
            </w:r>
          </w:p>
        </w:tc>
        <w:tc>
          <w:tcPr>
            <w:tcW w:w="1671" w:type="dxa"/>
            <w:vAlign w:val="center"/>
          </w:tcPr>
          <w:p w:rsidR="000C5659" w:rsidRDefault="000E33C4">
            <w:pPr>
              <w:ind w:right="5"/>
              <w:jc w:val="right"/>
            </w:pPr>
            <w:r>
              <w:t>47,275,863.12</w:t>
            </w:r>
          </w:p>
        </w:tc>
      </w:tr>
      <w:tr w:rsidR="000C5659" w:rsidTr="00BC4888">
        <w:trPr>
          <w:cantSplit/>
          <w:jc w:val="center"/>
        </w:trPr>
        <w:tc>
          <w:tcPr>
            <w:tcW w:w="568" w:type="dxa"/>
            <w:vAlign w:val="center"/>
          </w:tcPr>
          <w:p w:rsidR="000C5659" w:rsidRDefault="000E33C4">
            <w:pPr>
              <w:snapToGrid w:val="0"/>
              <w:rPr>
                <w:color w:val="000000" w:themeColor="text1"/>
              </w:rPr>
            </w:pPr>
            <w:r>
              <w:rPr>
                <w:szCs w:val="18"/>
              </w:rPr>
              <w:t>库存商品</w:t>
            </w:r>
          </w:p>
        </w:tc>
        <w:tc>
          <w:tcPr>
            <w:tcW w:w="1559" w:type="dxa"/>
            <w:vAlign w:val="center"/>
          </w:tcPr>
          <w:p w:rsidR="000C5659" w:rsidRDefault="000E33C4">
            <w:pPr>
              <w:jc w:val="right"/>
              <w:textAlignment w:val="center"/>
            </w:pPr>
            <w:r>
              <w:rPr>
                <w:rFonts w:hint="eastAsia"/>
                <w:color w:val="000000"/>
                <w:lang w:bidi="ar"/>
              </w:rPr>
              <w:t>93,847,256.61</w:t>
            </w:r>
          </w:p>
        </w:tc>
        <w:tc>
          <w:tcPr>
            <w:tcW w:w="1418" w:type="dxa"/>
            <w:vAlign w:val="center"/>
          </w:tcPr>
          <w:p w:rsidR="000C5659" w:rsidRDefault="000E33C4" w:rsidP="00BC4888">
            <w:pPr>
              <w:jc w:val="right"/>
              <w:textAlignment w:val="bottom"/>
            </w:pPr>
            <w:r>
              <w:rPr>
                <w:rFonts w:hint="eastAsia"/>
                <w:color w:val="000000"/>
                <w:lang w:bidi="ar"/>
              </w:rPr>
              <w:t>3,364,418.74</w:t>
            </w:r>
          </w:p>
        </w:tc>
        <w:tc>
          <w:tcPr>
            <w:tcW w:w="1559" w:type="dxa"/>
            <w:vAlign w:val="center"/>
          </w:tcPr>
          <w:p w:rsidR="000C5659" w:rsidRDefault="000E33C4" w:rsidP="00BC4888">
            <w:pPr>
              <w:jc w:val="right"/>
              <w:textAlignment w:val="bottom"/>
            </w:pPr>
            <w:r>
              <w:rPr>
                <w:rFonts w:hint="eastAsia"/>
                <w:color w:val="000000"/>
                <w:lang w:bidi="ar"/>
              </w:rPr>
              <w:t>90,482,837.87</w:t>
            </w:r>
          </w:p>
        </w:tc>
        <w:tc>
          <w:tcPr>
            <w:tcW w:w="1701" w:type="dxa"/>
            <w:vAlign w:val="center"/>
          </w:tcPr>
          <w:p w:rsidR="000C5659" w:rsidRDefault="000E33C4">
            <w:pPr>
              <w:ind w:right="5"/>
              <w:jc w:val="right"/>
            </w:pPr>
            <w:r>
              <w:t>80,667,829.58</w:t>
            </w:r>
          </w:p>
        </w:tc>
        <w:tc>
          <w:tcPr>
            <w:tcW w:w="1418" w:type="dxa"/>
            <w:vAlign w:val="center"/>
          </w:tcPr>
          <w:p w:rsidR="000C5659" w:rsidRDefault="000E33C4">
            <w:pPr>
              <w:ind w:right="5"/>
              <w:jc w:val="right"/>
            </w:pPr>
            <w:r>
              <w:t>3,448,068.93</w:t>
            </w:r>
          </w:p>
        </w:tc>
        <w:tc>
          <w:tcPr>
            <w:tcW w:w="1671" w:type="dxa"/>
            <w:vAlign w:val="center"/>
          </w:tcPr>
          <w:p w:rsidR="000C5659" w:rsidRDefault="000E33C4">
            <w:pPr>
              <w:ind w:right="5"/>
              <w:jc w:val="right"/>
            </w:pPr>
            <w:r>
              <w:t>77,219,760.65</w:t>
            </w:r>
          </w:p>
        </w:tc>
      </w:tr>
      <w:tr w:rsidR="000C5659" w:rsidTr="00BC4888">
        <w:trPr>
          <w:cantSplit/>
          <w:jc w:val="center"/>
        </w:trPr>
        <w:tc>
          <w:tcPr>
            <w:tcW w:w="568" w:type="dxa"/>
            <w:vAlign w:val="center"/>
          </w:tcPr>
          <w:p w:rsidR="000C5659" w:rsidRDefault="000E33C4">
            <w:pPr>
              <w:snapToGrid w:val="0"/>
              <w:rPr>
                <w:color w:val="000000" w:themeColor="text1"/>
              </w:rPr>
            </w:pPr>
            <w:r>
              <w:rPr>
                <w:szCs w:val="18"/>
              </w:rPr>
              <w:lastRenderedPageBreak/>
              <w:t>发出商品</w:t>
            </w:r>
          </w:p>
        </w:tc>
        <w:tc>
          <w:tcPr>
            <w:tcW w:w="1559" w:type="dxa"/>
            <w:vAlign w:val="center"/>
          </w:tcPr>
          <w:p w:rsidR="000C5659" w:rsidRDefault="000E33C4">
            <w:pPr>
              <w:jc w:val="right"/>
              <w:textAlignment w:val="center"/>
            </w:pPr>
            <w:r>
              <w:rPr>
                <w:rFonts w:hint="eastAsia"/>
                <w:color w:val="000000"/>
                <w:lang w:bidi="ar"/>
              </w:rPr>
              <w:t>9,729,493.83</w:t>
            </w:r>
          </w:p>
        </w:tc>
        <w:tc>
          <w:tcPr>
            <w:tcW w:w="1418" w:type="dxa"/>
            <w:vAlign w:val="center"/>
          </w:tcPr>
          <w:p w:rsidR="000C5659" w:rsidRDefault="000C5659" w:rsidP="00BC4888">
            <w:pPr>
              <w:jc w:val="right"/>
            </w:pPr>
          </w:p>
        </w:tc>
        <w:tc>
          <w:tcPr>
            <w:tcW w:w="1559" w:type="dxa"/>
            <w:vAlign w:val="center"/>
          </w:tcPr>
          <w:p w:rsidR="000C5659" w:rsidRDefault="000E33C4" w:rsidP="00BC4888">
            <w:pPr>
              <w:jc w:val="right"/>
              <w:textAlignment w:val="bottom"/>
            </w:pPr>
            <w:r>
              <w:rPr>
                <w:rFonts w:hint="eastAsia"/>
                <w:color w:val="000000"/>
                <w:lang w:bidi="ar"/>
              </w:rPr>
              <w:t>9,729,493.83</w:t>
            </w:r>
          </w:p>
        </w:tc>
        <w:tc>
          <w:tcPr>
            <w:tcW w:w="1701" w:type="dxa"/>
            <w:vAlign w:val="center"/>
          </w:tcPr>
          <w:p w:rsidR="000C5659" w:rsidRDefault="000E33C4">
            <w:pPr>
              <w:ind w:right="5"/>
              <w:jc w:val="right"/>
            </w:pPr>
            <w:r>
              <w:t>14,189,979.33</w:t>
            </w:r>
          </w:p>
        </w:tc>
        <w:tc>
          <w:tcPr>
            <w:tcW w:w="1418" w:type="dxa"/>
            <w:vAlign w:val="center"/>
          </w:tcPr>
          <w:p w:rsidR="000C5659" w:rsidRDefault="000C5659">
            <w:pPr>
              <w:ind w:right="5"/>
              <w:jc w:val="right"/>
            </w:pPr>
          </w:p>
        </w:tc>
        <w:tc>
          <w:tcPr>
            <w:tcW w:w="1671" w:type="dxa"/>
            <w:vAlign w:val="center"/>
          </w:tcPr>
          <w:p w:rsidR="000C5659" w:rsidRDefault="000E33C4">
            <w:pPr>
              <w:ind w:right="5"/>
              <w:jc w:val="right"/>
            </w:pPr>
            <w:r>
              <w:t>14,189,979.33</w:t>
            </w:r>
          </w:p>
        </w:tc>
      </w:tr>
      <w:tr w:rsidR="000C5659" w:rsidTr="00BC4888">
        <w:trPr>
          <w:cantSplit/>
          <w:jc w:val="center"/>
        </w:trPr>
        <w:tc>
          <w:tcPr>
            <w:tcW w:w="568" w:type="dxa"/>
            <w:vAlign w:val="center"/>
          </w:tcPr>
          <w:p w:rsidR="000C5659" w:rsidRDefault="000E33C4">
            <w:pPr>
              <w:snapToGrid w:val="0"/>
              <w:rPr>
                <w:color w:val="000000" w:themeColor="text1"/>
              </w:rPr>
            </w:pPr>
            <w:r>
              <w:rPr>
                <w:szCs w:val="18"/>
              </w:rPr>
              <w:t>周转材料</w:t>
            </w:r>
          </w:p>
        </w:tc>
        <w:tc>
          <w:tcPr>
            <w:tcW w:w="1559" w:type="dxa"/>
            <w:vAlign w:val="center"/>
          </w:tcPr>
          <w:p w:rsidR="000C5659" w:rsidRDefault="000E33C4">
            <w:pPr>
              <w:jc w:val="right"/>
              <w:textAlignment w:val="center"/>
            </w:pPr>
            <w:r>
              <w:rPr>
                <w:rFonts w:hint="eastAsia"/>
                <w:color w:val="000000"/>
                <w:lang w:bidi="ar"/>
              </w:rPr>
              <w:t>877,888.06</w:t>
            </w:r>
          </w:p>
        </w:tc>
        <w:tc>
          <w:tcPr>
            <w:tcW w:w="1418" w:type="dxa"/>
            <w:vAlign w:val="center"/>
          </w:tcPr>
          <w:p w:rsidR="000C5659" w:rsidRDefault="000C5659" w:rsidP="00BC4888">
            <w:pPr>
              <w:jc w:val="right"/>
            </w:pPr>
          </w:p>
        </w:tc>
        <w:tc>
          <w:tcPr>
            <w:tcW w:w="1559" w:type="dxa"/>
            <w:vAlign w:val="center"/>
          </w:tcPr>
          <w:p w:rsidR="000C5659" w:rsidRDefault="000E33C4" w:rsidP="00BC4888">
            <w:pPr>
              <w:jc w:val="right"/>
              <w:textAlignment w:val="bottom"/>
            </w:pPr>
            <w:r>
              <w:rPr>
                <w:rFonts w:hint="eastAsia"/>
                <w:color w:val="000000"/>
                <w:lang w:bidi="ar"/>
              </w:rPr>
              <w:t>877,888.06</w:t>
            </w:r>
          </w:p>
        </w:tc>
        <w:tc>
          <w:tcPr>
            <w:tcW w:w="1701" w:type="dxa"/>
            <w:vAlign w:val="center"/>
          </w:tcPr>
          <w:p w:rsidR="000C5659" w:rsidRDefault="000E33C4">
            <w:pPr>
              <w:ind w:right="5"/>
              <w:jc w:val="right"/>
            </w:pPr>
            <w:r>
              <w:t>855,900.91</w:t>
            </w:r>
          </w:p>
        </w:tc>
        <w:tc>
          <w:tcPr>
            <w:tcW w:w="1418" w:type="dxa"/>
            <w:vAlign w:val="center"/>
          </w:tcPr>
          <w:p w:rsidR="000C5659" w:rsidRDefault="000C5659">
            <w:pPr>
              <w:ind w:right="5"/>
              <w:jc w:val="right"/>
            </w:pPr>
          </w:p>
        </w:tc>
        <w:tc>
          <w:tcPr>
            <w:tcW w:w="1671" w:type="dxa"/>
            <w:vAlign w:val="center"/>
          </w:tcPr>
          <w:p w:rsidR="000C5659" w:rsidRDefault="000E33C4">
            <w:pPr>
              <w:ind w:right="5"/>
              <w:jc w:val="right"/>
            </w:pPr>
            <w:r>
              <w:t>855,900.91</w:t>
            </w:r>
          </w:p>
        </w:tc>
      </w:tr>
      <w:tr w:rsidR="000C5659" w:rsidTr="00BC4888">
        <w:trPr>
          <w:cantSplit/>
          <w:jc w:val="center"/>
        </w:trPr>
        <w:tc>
          <w:tcPr>
            <w:tcW w:w="568" w:type="dxa"/>
            <w:vAlign w:val="center"/>
          </w:tcPr>
          <w:p w:rsidR="000C5659" w:rsidRDefault="000E33C4">
            <w:pPr>
              <w:snapToGrid w:val="0"/>
              <w:rPr>
                <w:color w:val="000000" w:themeColor="text1"/>
              </w:rPr>
            </w:pPr>
            <w:r>
              <w:rPr>
                <w:szCs w:val="18"/>
              </w:rPr>
              <w:t>委托代销产品</w:t>
            </w:r>
          </w:p>
        </w:tc>
        <w:tc>
          <w:tcPr>
            <w:tcW w:w="1559" w:type="dxa"/>
            <w:vAlign w:val="center"/>
          </w:tcPr>
          <w:p w:rsidR="000C5659" w:rsidRDefault="000E33C4">
            <w:pPr>
              <w:jc w:val="right"/>
              <w:textAlignment w:val="center"/>
            </w:pPr>
            <w:r>
              <w:rPr>
                <w:rFonts w:hint="eastAsia"/>
                <w:color w:val="000000"/>
                <w:lang w:bidi="ar"/>
              </w:rPr>
              <w:t>100,557.27</w:t>
            </w:r>
          </w:p>
        </w:tc>
        <w:tc>
          <w:tcPr>
            <w:tcW w:w="1418" w:type="dxa"/>
            <w:vAlign w:val="center"/>
          </w:tcPr>
          <w:p w:rsidR="000C5659" w:rsidRDefault="000C5659" w:rsidP="00BC4888">
            <w:pPr>
              <w:jc w:val="right"/>
            </w:pPr>
          </w:p>
        </w:tc>
        <w:tc>
          <w:tcPr>
            <w:tcW w:w="1559" w:type="dxa"/>
            <w:vAlign w:val="center"/>
          </w:tcPr>
          <w:p w:rsidR="000C5659" w:rsidRDefault="000E33C4" w:rsidP="00BC4888">
            <w:pPr>
              <w:jc w:val="right"/>
              <w:textAlignment w:val="bottom"/>
            </w:pPr>
            <w:r>
              <w:rPr>
                <w:rFonts w:hint="eastAsia"/>
                <w:color w:val="000000"/>
                <w:lang w:bidi="ar"/>
              </w:rPr>
              <w:t>100,557.27</w:t>
            </w:r>
          </w:p>
        </w:tc>
        <w:tc>
          <w:tcPr>
            <w:tcW w:w="1701" w:type="dxa"/>
            <w:vAlign w:val="center"/>
          </w:tcPr>
          <w:p w:rsidR="000C5659" w:rsidRDefault="000E33C4">
            <w:pPr>
              <w:ind w:right="5"/>
              <w:jc w:val="right"/>
            </w:pPr>
            <w:r>
              <w:t>244,777.97</w:t>
            </w:r>
          </w:p>
        </w:tc>
        <w:tc>
          <w:tcPr>
            <w:tcW w:w="1418" w:type="dxa"/>
            <w:vAlign w:val="center"/>
          </w:tcPr>
          <w:p w:rsidR="000C5659" w:rsidRDefault="000C5659">
            <w:pPr>
              <w:ind w:right="5"/>
              <w:jc w:val="right"/>
            </w:pPr>
          </w:p>
        </w:tc>
        <w:tc>
          <w:tcPr>
            <w:tcW w:w="1671" w:type="dxa"/>
            <w:vAlign w:val="center"/>
          </w:tcPr>
          <w:p w:rsidR="000C5659" w:rsidRDefault="000E33C4">
            <w:pPr>
              <w:ind w:right="5"/>
              <w:jc w:val="right"/>
            </w:pPr>
            <w:r>
              <w:t>244,777.97</w:t>
            </w:r>
          </w:p>
        </w:tc>
      </w:tr>
      <w:tr w:rsidR="000C5659" w:rsidTr="00BC4888">
        <w:trPr>
          <w:cantSplit/>
          <w:jc w:val="center"/>
        </w:trPr>
        <w:tc>
          <w:tcPr>
            <w:tcW w:w="568" w:type="dxa"/>
            <w:vAlign w:val="center"/>
          </w:tcPr>
          <w:p w:rsidR="000C5659" w:rsidRDefault="000E33C4">
            <w:pPr>
              <w:snapToGrid w:val="0"/>
              <w:rPr>
                <w:color w:val="000000" w:themeColor="text1"/>
              </w:rPr>
            </w:pPr>
            <w:r>
              <w:rPr>
                <w:szCs w:val="18"/>
              </w:rPr>
              <w:t>半成品</w:t>
            </w:r>
          </w:p>
        </w:tc>
        <w:tc>
          <w:tcPr>
            <w:tcW w:w="1559" w:type="dxa"/>
            <w:vAlign w:val="center"/>
          </w:tcPr>
          <w:p w:rsidR="000C5659" w:rsidRDefault="000E33C4">
            <w:pPr>
              <w:jc w:val="right"/>
              <w:textAlignment w:val="center"/>
            </w:pPr>
            <w:r>
              <w:rPr>
                <w:rFonts w:hint="eastAsia"/>
                <w:color w:val="000000"/>
                <w:lang w:bidi="ar"/>
              </w:rPr>
              <w:t>20,231,782.75</w:t>
            </w:r>
          </w:p>
        </w:tc>
        <w:tc>
          <w:tcPr>
            <w:tcW w:w="1418" w:type="dxa"/>
            <w:vAlign w:val="center"/>
          </w:tcPr>
          <w:p w:rsidR="000C5659" w:rsidRDefault="000C5659" w:rsidP="00BC4888">
            <w:pPr>
              <w:jc w:val="right"/>
            </w:pPr>
          </w:p>
        </w:tc>
        <w:tc>
          <w:tcPr>
            <w:tcW w:w="1559" w:type="dxa"/>
            <w:vAlign w:val="center"/>
          </w:tcPr>
          <w:p w:rsidR="000C5659" w:rsidRDefault="000E33C4" w:rsidP="00BC4888">
            <w:pPr>
              <w:jc w:val="right"/>
              <w:textAlignment w:val="bottom"/>
            </w:pPr>
            <w:r>
              <w:rPr>
                <w:rFonts w:hint="eastAsia"/>
                <w:color w:val="000000"/>
                <w:lang w:bidi="ar"/>
              </w:rPr>
              <w:t>20,231,782.75</w:t>
            </w:r>
          </w:p>
        </w:tc>
        <w:tc>
          <w:tcPr>
            <w:tcW w:w="1701" w:type="dxa"/>
            <w:vAlign w:val="center"/>
          </w:tcPr>
          <w:p w:rsidR="000C5659" w:rsidRDefault="000E33C4">
            <w:pPr>
              <w:ind w:right="5"/>
              <w:jc w:val="right"/>
            </w:pPr>
            <w:r>
              <w:t>20,026,607.92</w:t>
            </w:r>
          </w:p>
        </w:tc>
        <w:tc>
          <w:tcPr>
            <w:tcW w:w="1418" w:type="dxa"/>
            <w:vAlign w:val="center"/>
          </w:tcPr>
          <w:p w:rsidR="000C5659" w:rsidRDefault="000C5659">
            <w:pPr>
              <w:ind w:right="5"/>
              <w:jc w:val="right"/>
            </w:pPr>
          </w:p>
        </w:tc>
        <w:tc>
          <w:tcPr>
            <w:tcW w:w="1671" w:type="dxa"/>
            <w:vAlign w:val="center"/>
          </w:tcPr>
          <w:p w:rsidR="000C5659" w:rsidRDefault="000E33C4">
            <w:pPr>
              <w:ind w:right="5"/>
              <w:jc w:val="right"/>
            </w:pPr>
            <w:r>
              <w:t>20,026,607.92</w:t>
            </w:r>
          </w:p>
        </w:tc>
      </w:tr>
      <w:tr w:rsidR="000C5659" w:rsidTr="00BC4888">
        <w:trPr>
          <w:cantSplit/>
          <w:jc w:val="center"/>
        </w:trPr>
        <w:tc>
          <w:tcPr>
            <w:tcW w:w="568" w:type="dxa"/>
            <w:vAlign w:val="center"/>
          </w:tcPr>
          <w:p w:rsidR="000C5659" w:rsidRDefault="000E33C4">
            <w:pPr>
              <w:ind w:right="5"/>
            </w:pPr>
            <w:r>
              <w:rPr>
                <w:rFonts w:hint="eastAsia"/>
                <w:color w:val="000000" w:themeColor="text1"/>
              </w:rPr>
              <w:t>合计</w:t>
            </w:r>
          </w:p>
        </w:tc>
        <w:tc>
          <w:tcPr>
            <w:tcW w:w="1559" w:type="dxa"/>
            <w:vAlign w:val="center"/>
          </w:tcPr>
          <w:p w:rsidR="000C5659" w:rsidRDefault="000E33C4">
            <w:pPr>
              <w:jc w:val="right"/>
              <w:textAlignment w:val="center"/>
            </w:pPr>
            <w:r>
              <w:rPr>
                <w:rFonts w:hint="eastAsia"/>
                <w:color w:val="000000"/>
                <w:lang w:bidi="ar"/>
              </w:rPr>
              <w:t>177,102,371.31</w:t>
            </w:r>
          </w:p>
        </w:tc>
        <w:tc>
          <w:tcPr>
            <w:tcW w:w="1418" w:type="dxa"/>
            <w:vAlign w:val="center"/>
          </w:tcPr>
          <w:p w:rsidR="000C5659" w:rsidRDefault="000E33C4" w:rsidP="00BC4888">
            <w:pPr>
              <w:jc w:val="right"/>
              <w:textAlignment w:val="bottom"/>
            </w:pPr>
            <w:r>
              <w:rPr>
                <w:rFonts w:hint="eastAsia"/>
                <w:color w:val="000000"/>
                <w:lang w:bidi="ar"/>
              </w:rPr>
              <w:t>3,522,111.34</w:t>
            </w:r>
          </w:p>
        </w:tc>
        <w:tc>
          <w:tcPr>
            <w:tcW w:w="1559" w:type="dxa"/>
            <w:vAlign w:val="center"/>
          </w:tcPr>
          <w:p w:rsidR="000C5659" w:rsidRDefault="000E33C4" w:rsidP="00BC4888">
            <w:pPr>
              <w:jc w:val="right"/>
              <w:textAlignment w:val="bottom"/>
            </w:pPr>
            <w:r>
              <w:rPr>
                <w:rFonts w:hint="eastAsia"/>
                <w:color w:val="000000"/>
                <w:lang w:bidi="ar"/>
              </w:rPr>
              <w:t>173,580,259.97</w:t>
            </w:r>
          </w:p>
        </w:tc>
        <w:tc>
          <w:tcPr>
            <w:tcW w:w="1701" w:type="dxa"/>
            <w:vAlign w:val="center"/>
          </w:tcPr>
          <w:p w:rsidR="000C5659" w:rsidRDefault="000E33C4">
            <w:pPr>
              <w:ind w:right="5"/>
              <w:jc w:val="right"/>
            </w:pPr>
            <w:r>
              <w:t>163,388,995.52</w:t>
            </w:r>
          </w:p>
        </w:tc>
        <w:tc>
          <w:tcPr>
            <w:tcW w:w="1418" w:type="dxa"/>
            <w:vAlign w:val="center"/>
          </w:tcPr>
          <w:p w:rsidR="000C5659" w:rsidRDefault="000E33C4">
            <w:pPr>
              <w:ind w:right="5"/>
              <w:jc w:val="right"/>
            </w:pPr>
            <w:r>
              <w:t>3,576,105.62</w:t>
            </w:r>
          </w:p>
        </w:tc>
        <w:tc>
          <w:tcPr>
            <w:tcW w:w="1671" w:type="dxa"/>
            <w:vAlign w:val="center"/>
          </w:tcPr>
          <w:p w:rsidR="000C5659" w:rsidRDefault="000E33C4">
            <w:pPr>
              <w:ind w:right="5"/>
              <w:jc w:val="right"/>
            </w:pPr>
            <w:r>
              <w:t>159,812,889.90</w:t>
            </w:r>
          </w:p>
        </w:tc>
      </w:tr>
    </w:tbl>
    <w:p w:rsidR="000C5659" w:rsidRDefault="000C5659">
      <w:pPr>
        <w:rPr>
          <w:color w:val="000000" w:themeColor="text1"/>
        </w:rPr>
      </w:pPr>
    </w:p>
    <w:bookmarkEnd w:id="212" w:displacedByCustomXml="next"/>
    <w:sdt>
      <w:sdtPr>
        <w:rPr>
          <w:rFonts w:ascii="宋体" w:hAnsi="宋体" w:hint="eastAsia"/>
          <w:color w:val="000000" w:themeColor="text1"/>
        </w:rPr>
        <w:alias w:val="模块:确认为存货的数据资源"/>
        <w:tag w:val="_SEC_ea0da6bd0d2c478e8dec978906af6b21"/>
        <w:id w:val="235206071"/>
        <w:lock w:val="sdtLocked"/>
        <w:placeholder>
          <w:docPart w:val="DefaultPlaceholder_-1854013440"/>
        </w:placeholder>
      </w:sdtPr>
      <w:sdtEndPr/>
      <w:sdtContent>
        <w:p w:rsidR="000C5659" w:rsidRDefault="000E33C4" w:rsidP="000743DD">
          <w:pPr>
            <w:pStyle w:val="43"/>
            <w:numPr>
              <w:ilvl w:val="0"/>
              <w:numId w:val="59"/>
            </w:numPr>
            <w:tabs>
              <w:tab w:val="left" w:pos="630"/>
            </w:tabs>
            <w:ind w:left="426"/>
            <w:jc w:val="left"/>
            <w:rPr>
              <w:rFonts w:ascii="宋体" w:hAnsi="宋体"/>
              <w:color w:val="000000" w:themeColor="text1"/>
            </w:rPr>
          </w:pPr>
          <w:r>
            <w:rPr>
              <w:rFonts w:ascii="宋体" w:hAnsi="宋体" w:hint="eastAsia"/>
              <w:color w:val="000000" w:themeColor="text1"/>
            </w:rPr>
            <w:t>确认为存货的数据资源</w:t>
          </w:r>
        </w:p>
        <w:sdt>
          <w:sdtPr>
            <w:rPr>
              <w:rFonts w:hint="eastAsia"/>
              <w:color w:val="000000" w:themeColor="text1"/>
            </w:rPr>
            <w:alias w:val="是否适用：确认为存货的数据资源[双击切换]"/>
            <w:tag w:val="_GBC_b3f6ef82894a4eb29036b70065be8671"/>
            <w:id w:val="-38603656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59"/>
            </w:numPr>
            <w:tabs>
              <w:tab w:val="left" w:pos="630"/>
            </w:tabs>
            <w:ind w:left="426"/>
            <w:jc w:val="left"/>
            <w:rPr>
              <w:rFonts w:ascii="宋体" w:hAnsi="宋体"/>
              <w:color w:val="000000" w:themeColor="text1"/>
            </w:rPr>
          </w:pPr>
          <w:bookmarkStart w:id="213" w:name="_Hlk10470459"/>
          <w:r>
            <w:rPr>
              <w:rFonts w:ascii="宋体" w:hAnsi="宋体" w:hint="eastAsia"/>
              <w:color w:val="000000" w:themeColor="text1"/>
            </w:rPr>
            <w:t>存货跌价准备及合同履约成本减值准备</w:t>
          </w:r>
        </w:p>
      </w:sdtContent>
    </w:sdt>
    <w:sdt>
      <w:sdtPr>
        <w:rPr>
          <w:color w:val="000000" w:themeColor="text1"/>
        </w:rPr>
        <w:alias w:val="是否适用：存货跌价准备[双击切换]"/>
        <w:tag w:val="_GBC_b9bd4a0fa089468ebded8bb61a86fbae"/>
        <w:id w:val="112465417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rPr>
          <w:color w:val="000000" w:themeColor="text1"/>
        </w:rPr>
      </w:pPr>
      <w:r>
        <w:rPr>
          <w:rFonts w:hint="eastAsia"/>
          <w:color w:val="000000" w:themeColor="text1"/>
        </w:rPr>
        <w:t>单位：</w:t>
      </w:r>
      <w:sdt>
        <w:sdtPr>
          <w:rPr>
            <w:rFonts w:hint="eastAsia"/>
            <w:color w:val="000000" w:themeColor="text1"/>
          </w:rPr>
          <w:alias w:val="单位：存货跌价准备"/>
          <w:tag w:val="_GBC_42225a9505da4f598594afea08f9738b"/>
          <w:id w:val="18488271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存货跌价准备"/>
          <w:tag w:val="_GBC_4de434e29d00482b8b3175d1e7874ff2"/>
          <w:id w:val="-1873990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476"/>
        <w:gridCol w:w="1266"/>
        <w:gridCol w:w="1101"/>
        <w:gridCol w:w="1266"/>
        <w:gridCol w:w="1101"/>
        <w:gridCol w:w="1476"/>
      </w:tblGrid>
      <w:tr w:rsidR="000C5659">
        <w:trPr>
          <w:trHeight w:val="238"/>
        </w:trPr>
        <w:sdt>
          <w:sdtPr>
            <w:rPr>
              <w:color w:val="000000" w:themeColor="text1"/>
            </w:rPr>
            <w:tag w:val="_PLD_08d27e088675483b81e6b09cfaf565b8"/>
            <w:id w:val="1827092339"/>
          </w:sdtPr>
          <w:sdtEndPr/>
          <w:sdtContent>
            <w:tc>
              <w:tcPr>
                <w:tcW w:w="670" w:type="pct"/>
                <w:vMerge w:val="restar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项目</w:t>
                </w:r>
              </w:p>
            </w:tc>
          </w:sdtContent>
        </w:sdt>
        <w:sdt>
          <w:sdtPr>
            <w:rPr>
              <w:color w:val="000000" w:themeColor="text1"/>
            </w:rPr>
            <w:tag w:val="_PLD_631ae60526c9437f842913d632c47f24"/>
            <w:id w:val="2109532405"/>
          </w:sdtPr>
          <w:sdtEndPr/>
          <w:sdtContent>
            <w:tc>
              <w:tcPr>
                <w:tcW w:w="815" w:type="pct"/>
                <w:vMerge w:val="restar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期初余额</w:t>
                </w:r>
              </w:p>
            </w:tc>
          </w:sdtContent>
        </w:sdt>
        <w:sdt>
          <w:sdtPr>
            <w:rPr>
              <w:color w:val="000000" w:themeColor="text1"/>
            </w:rPr>
            <w:tag w:val="_PLD_bc39054479074b8ab34cb8519780a5f1"/>
            <w:id w:val="1519116404"/>
          </w:sdtPr>
          <w:sdtEndPr/>
          <w:sdtContent>
            <w:tc>
              <w:tcPr>
                <w:tcW w:w="1348" w:type="pct"/>
                <w:gridSpan w:val="2"/>
                <w:tcBorders>
                  <w:top w:val="single" w:sz="4" w:space="0" w:color="auto"/>
                  <w:left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本期增加金额</w:t>
                </w:r>
              </w:p>
            </w:tc>
          </w:sdtContent>
        </w:sdt>
        <w:sdt>
          <w:sdtPr>
            <w:rPr>
              <w:color w:val="000000" w:themeColor="text1"/>
            </w:rPr>
            <w:tag w:val="_PLD_a4a235b43e524c0c98a604df05693747"/>
            <w:id w:val="-627474456"/>
          </w:sdtPr>
          <w:sdtEndPr/>
          <w:sdtContent>
            <w:tc>
              <w:tcPr>
                <w:tcW w:w="1348" w:type="pct"/>
                <w:gridSpan w:val="2"/>
                <w:tcBorders>
                  <w:top w:val="single" w:sz="4" w:space="0" w:color="auto"/>
                  <w:left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本期减少金额</w:t>
                </w:r>
              </w:p>
            </w:tc>
          </w:sdtContent>
        </w:sdt>
        <w:sdt>
          <w:sdtPr>
            <w:rPr>
              <w:color w:val="000000" w:themeColor="text1"/>
            </w:rPr>
            <w:tag w:val="_PLD_fcea706dd57f438c8205de888401e160"/>
            <w:id w:val="1036308722"/>
          </w:sdtPr>
          <w:sdtEndPr/>
          <w:sdtContent>
            <w:tc>
              <w:tcPr>
                <w:tcW w:w="816" w:type="pct"/>
                <w:vMerge w:val="restar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期末余额</w:t>
                </w:r>
              </w:p>
            </w:tc>
          </w:sdtContent>
        </w:sdt>
      </w:tr>
      <w:tr w:rsidR="000C5659">
        <w:trPr>
          <w:trHeight w:val="301"/>
        </w:trPr>
        <w:tc>
          <w:tcPr>
            <w:tcW w:w="670" w:type="pct"/>
            <w:vMerge/>
            <w:tcBorders>
              <w:top w:val="single" w:sz="4" w:space="0" w:color="auto"/>
              <w:left w:val="single" w:sz="4" w:space="0" w:color="auto"/>
              <w:bottom w:val="single" w:sz="4" w:space="0" w:color="auto"/>
              <w:right w:val="single" w:sz="4" w:space="0" w:color="auto"/>
            </w:tcBorders>
          </w:tcPr>
          <w:p w:rsidR="000C5659" w:rsidRDefault="000C5659">
            <w:pPr>
              <w:rPr>
                <w:color w:val="000000" w:themeColor="text1"/>
              </w:rPr>
            </w:pPr>
          </w:p>
        </w:tc>
        <w:tc>
          <w:tcPr>
            <w:tcW w:w="815" w:type="pct"/>
            <w:vMerge/>
            <w:tcBorders>
              <w:top w:val="single" w:sz="4" w:space="0" w:color="auto"/>
              <w:left w:val="single" w:sz="4" w:space="0" w:color="auto"/>
              <w:bottom w:val="single" w:sz="4" w:space="0" w:color="auto"/>
              <w:right w:val="single" w:sz="4" w:space="0" w:color="auto"/>
            </w:tcBorders>
          </w:tcPr>
          <w:p w:rsidR="000C5659" w:rsidRDefault="000C5659">
            <w:pPr>
              <w:rPr>
                <w:color w:val="000000" w:themeColor="text1"/>
              </w:rPr>
            </w:pPr>
          </w:p>
        </w:tc>
        <w:sdt>
          <w:sdtPr>
            <w:rPr>
              <w:color w:val="000000" w:themeColor="text1"/>
            </w:rPr>
            <w:tag w:val="_PLD_9355443eafab4f4a862c075a55d7e279"/>
            <w:id w:val="738139856"/>
          </w:sdtPr>
          <w:sdtEndPr/>
          <w:sdtContent>
            <w:tc>
              <w:tcPr>
                <w:tcW w:w="699" w:type="pct"/>
                <w:tcBorders>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计提</w:t>
                </w:r>
              </w:p>
            </w:tc>
          </w:sdtContent>
        </w:sdt>
        <w:sdt>
          <w:sdtPr>
            <w:rPr>
              <w:color w:val="000000" w:themeColor="text1"/>
            </w:rPr>
            <w:tag w:val="_PLD_e67cdd42c79245c980edb6a9d839ecd0"/>
            <w:id w:val="1481811348"/>
          </w:sdtPr>
          <w:sdtEndPr/>
          <w:sdtContent>
            <w:tc>
              <w:tcPr>
                <w:tcW w:w="649" w:type="pct"/>
                <w:tcBorders>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其他</w:t>
                </w:r>
              </w:p>
            </w:tc>
          </w:sdtContent>
        </w:sdt>
        <w:sdt>
          <w:sdtPr>
            <w:rPr>
              <w:color w:val="000000" w:themeColor="text1"/>
            </w:rPr>
            <w:tag w:val="_PLD_d2a5b409858c40b5a77dea8d7f7c8500"/>
            <w:id w:val="-1888954899"/>
          </w:sdtPr>
          <w:sdtEndPr/>
          <w:sdtContent>
            <w:tc>
              <w:tcPr>
                <w:tcW w:w="699" w:type="pc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转回或转销</w:t>
                </w:r>
              </w:p>
            </w:tc>
          </w:sdtContent>
        </w:sdt>
        <w:sdt>
          <w:sdtPr>
            <w:rPr>
              <w:color w:val="000000" w:themeColor="text1"/>
            </w:rPr>
            <w:tag w:val="_PLD_a0a39eeb19a049d18a777b0dc41ab25e"/>
            <w:id w:val="1050425603"/>
          </w:sdtPr>
          <w:sdtEndPr/>
          <w:sdtContent>
            <w:tc>
              <w:tcPr>
                <w:tcW w:w="649" w:type="pc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其他</w:t>
                </w:r>
              </w:p>
            </w:tc>
          </w:sdtContent>
        </w:sdt>
        <w:tc>
          <w:tcPr>
            <w:tcW w:w="816" w:type="pct"/>
            <w:vMerge/>
            <w:tcBorders>
              <w:top w:val="single" w:sz="4" w:space="0" w:color="auto"/>
              <w:left w:val="single" w:sz="4" w:space="0" w:color="auto"/>
              <w:bottom w:val="single" w:sz="4" w:space="0" w:color="auto"/>
              <w:right w:val="single" w:sz="4" w:space="0" w:color="auto"/>
            </w:tcBorders>
            <w:vAlign w:val="center"/>
          </w:tcPr>
          <w:p w:rsidR="000C5659" w:rsidRDefault="000C5659">
            <w:pPr>
              <w:rPr>
                <w:color w:val="000000" w:themeColor="text1"/>
              </w:rPr>
            </w:pPr>
          </w:p>
        </w:tc>
      </w:tr>
      <w:tr w:rsidR="000C5659">
        <w:trPr>
          <w:trHeight w:val="20"/>
        </w:trPr>
        <w:tc>
          <w:tcPr>
            <w:tcW w:w="670"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原材料</w:t>
            </w:r>
          </w:p>
        </w:tc>
        <w:tc>
          <w:tcPr>
            <w:tcW w:w="815"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128,036.69</w:t>
            </w:r>
          </w:p>
        </w:tc>
        <w:tc>
          <w:tcPr>
            <w:tcW w:w="69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29,655.91</w:t>
            </w:r>
          </w:p>
        </w:tc>
        <w:tc>
          <w:tcPr>
            <w:tcW w:w="6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 xml:space="preserve">　</w:t>
            </w:r>
          </w:p>
        </w:tc>
        <w:tc>
          <w:tcPr>
            <w:tcW w:w="69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 xml:space="preserve">　</w:t>
            </w:r>
          </w:p>
        </w:tc>
        <w:tc>
          <w:tcPr>
            <w:tcW w:w="6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 xml:space="preserve">　</w:t>
            </w:r>
          </w:p>
        </w:tc>
        <w:tc>
          <w:tcPr>
            <w:tcW w:w="8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157,692.60</w:t>
            </w:r>
          </w:p>
        </w:tc>
      </w:tr>
      <w:tr w:rsidR="000C5659">
        <w:trPr>
          <w:trHeight w:val="287"/>
        </w:trPr>
        <w:tc>
          <w:tcPr>
            <w:tcW w:w="670"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库存商品</w:t>
            </w:r>
          </w:p>
        </w:tc>
        <w:tc>
          <w:tcPr>
            <w:tcW w:w="815"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3,448,068.93</w:t>
            </w:r>
          </w:p>
        </w:tc>
        <w:tc>
          <w:tcPr>
            <w:tcW w:w="69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300,471.97</w:t>
            </w:r>
          </w:p>
        </w:tc>
        <w:tc>
          <w:tcPr>
            <w:tcW w:w="6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 xml:space="preserve">　</w:t>
            </w:r>
          </w:p>
        </w:tc>
        <w:tc>
          <w:tcPr>
            <w:tcW w:w="69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384,122.16</w:t>
            </w:r>
          </w:p>
        </w:tc>
        <w:tc>
          <w:tcPr>
            <w:tcW w:w="649" w:type="pct"/>
            <w:tcBorders>
              <w:left w:val="single" w:sz="4" w:space="0" w:color="auto"/>
              <w:right w:val="single" w:sz="4" w:space="0" w:color="auto"/>
            </w:tcBorders>
            <w:vAlign w:val="center"/>
          </w:tcPr>
          <w:p w:rsidR="000C5659" w:rsidRDefault="000E33C4">
            <w:pPr>
              <w:jc w:val="right"/>
              <w:rPr>
                <w:color w:val="000000"/>
              </w:rPr>
            </w:pPr>
            <w:r>
              <w:rPr>
                <w:rFonts w:hint="eastAsia"/>
                <w:color w:val="000000"/>
              </w:rPr>
              <w:t xml:space="preserve">　</w:t>
            </w:r>
          </w:p>
        </w:tc>
        <w:tc>
          <w:tcPr>
            <w:tcW w:w="8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3,364,418.74</w:t>
            </w:r>
          </w:p>
        </w:tc>
      </w:tr>
      <w:tr w:rsidR="000C5659">
        <w:trPr>
          <w:trHeight w:val="20"/>
        </w:trPr>
        <w:tc>
          <w:tcPr>
            <w:tcW w:w="670"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合计</w:t>
            </w:r>
          </w:p>
        </w:tc>
        <w:tc>
          <w:tcPr>
            <w:tcW w:w="815"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3,576,105.62</w:t>
            </w:r>
          </w:p>
        </w:tc>
        <w:tc>
          <w:tcPr>
            <w:tcW w:w="69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330,127.88</w:t>
            </w:r>
          </w:p>
        </w:tc>
        <w:tc>
          <w:tcPr>
            <w:tcW w:w="6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 xml:space="preserve">　</w:t>
            </w:r>
          </w:p>
        </w:tc>
        <w:tc>
          <w:tcPr>
            <w:tcW w:w="69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384,122.16</w:t>
            </w:r>
          </w:p>
        </w:tc>
        <w:tc>
          <w:tcPr>
            <w:tcW w:w="649" w:type="pct"/>
            <w:tcBorders>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 xml:space="preserve">　</w:t>
            </w:r>
          </w:p>
        </w:tc>
        <w:tc>
          <w:tcPr>
            <w:tcW w:w="8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rPr>
                <w:color w:val="000000"/>
              </w:rPr>
            </w:pPr>
            <w:r>
              <w:rPr>
                <w:rFonts w:hint="eastAsia"/>
                <w:color w:val="000000"/>
              </w:rPr>
              <w:t>3,522,111.34</w:t>
            </w:r>
          </w:p>
        </w:tc>
      </w:tr>
    </w:tbl>
    <w:p w:rsidR="000C5659" w:rsidRDefault="000C5659">
      <w:pPr>
        <w:rPr>
          <w:color w:val="000000" w:themeColor="text1"/>
        </w:rPr>
      </w:pPr>
    </w:p>
    <w:p w:rsidR="000C5659" w:rsidRDefault="000E33C4">
      <w:pPr>
        <w:rPr>
          <w:color w:val="000000" w:themeColor="text1"/>
        </w:rPr>
      </w:pPr>
      <w:bookmarkStart w:id="214" w:name="_Hlk167891635"/>
      <w:bookmarkEnd w:id="213"/>
      <w:r>
        <w:rPr>
          <w:color w:val="000000" w:themeColor="text1"/>
        </w:rPr>
        <w:t>本期转回或转销存货跌价准备的原因</w:t>
      </w:r>
    </w:p>
    <w:sdt>
      <w:sdtPr>
        <w:rPr>
          <w:color w:val="000000" w:themeColor="text1"/>
        </w:rPr>
        <w:alias w:val="是否适用：本期转回或转销存货跌价准备的原因[双击切换]"/>
        <w:tag w:val="_GBC_e27c6ef344f148c18ae56422278eafd6"/>
        <w:id w:val="21004422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按组合计提存货跌价准备</w:t>
      </w:r>
    </w:p>
    <w:sdt>
      <w:sdtPr>
        <w:rPr>
          <w:color w:val="000000" w:themeColor="text1"/>
        </w:rPr>
        <w:alias w:val="是否适用：按组合计提存货跌价准备[双击切换]"/>
        <w:tag w:val="_GBC_f0fab92eec8647d68c06a12b3bc75549"/>
        <w:id w:val="-147713668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按组合计提存货跌价准备的计提标准</w:t>
      </w:r>
    </w:p>
    <w:sdt>
      <w:sdtPr>
        <w:rPr>
          <w:color w:val="000000" w:themeColor="text1"/>
        </w:rPr>
        <w:alias w:val="是否适用：按组合计提存货跌价准备的计提标准[双击切换]"/>
        <w:tag w:val="_GBC_d204ec862c304c1f8d4ec4644591e14e"/>
        <w:id w:val="-182820234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214"/>
    <w:p w:rsidR="000C5659" w:rsidRDefault="000E33C4" w:rsidP="000743DD">
      <w:pPr>
        <w:pStyle w:val="43"/>
        <w:numPr>
          <w:ilvl w:val="0"/>
          <w:numId w:val="59"/>
        </w:numPr>
        <w:tabs>
          <w:tab w:val="left" w:pos="630"/>
        </w:tabs>
        <w:ind w:left="0" w:firstLine="0"/>
        <w:rPr>
          <w:rFonts w:ascii="宋体" w:hAnsi="宋体"/>
          <w:color w:val="000000" w:themeColor="text1"/>
        </w:rPr>
      </w:pPr>
      <w:r>
        <w:rPr>
          <w:rFonts w:ascii="宋体" w:hAnsi="宋体" w:hint="eastAsia"/>
          <w:color w:val="000000" w:themeColor="text1"/>
        </w:rPr>
        <w:t>存货期末余额含有的借款费用资本化金额及其计算标准和依据</w:t>
      </w:r>
    </w:p>
    <w:sdt>
      <w:sdtPr>
        <w:rPr>
          <w:rFonts w:hint="eastAsia"/>
          <w:color w:val="000000" w:themeColor="text1"/>
        </w:rPr>
        <w:alias w:val="是否适用：存货期末余额含有借款费用资本化金额的说明[双击切换]"/>
        <w:tag w:val="_GBC_c4216db560c643b38b29d44401d464c9"/>
        <w:id w:val="-5286415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59"/>
        </w:numPr>
        <w:tabs>
          <w:tab w:val="left" w:pos="630"/>
        </w:tabs>
        <w:ind w:left="0" w:firstLine="0"/>
        <w:rPr>
          <w:rFonts w:ascii="宋体" w:hAnsi="宋体"/>
          <w:color w:val="000000" w:themeColor="text1"/>
        </w:rPr>
      </w:pPr>
      <w:bookmarkStart w:id="215" w:name="_Hlk10470641"/>
      <w:r>
        <w:rPr>
          <w:rFonts w:ascii="宋体" w:hAnsi="宋体" w:hint="eastAsia"/>
          <w:color w:val="000000" w:themeColor="text1"/>
        </w:rPr>
        <w:t>合同履约成本本期摊销金额的说明</w:t>
      </w:r>
    </w:p>
    <w:sdt>
      <w:sdtPr>
        <w:rPr>
          <w:color w:val="000000" w:themeColor="text1"/>
        </w:rPr>
        <w:alias w:val="是否适用：合同履约成本本期摊销金额的说明[双击切换]"/>
        <w:tag w:val="_GBC_cd3513a7790e48d4a2a156e8ad6a629a"/>
        <w:id w:val="205681261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15"/>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存货的其他说明[双击切换]"/>
        <w:tag w:val="_GBC_bd31680428a448ecb64fdd4cbab90a42"/>
        <w:id w:val="-1137892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持有待售资产</w:t>
      </w:r>
    </w:p>
    <w:sdt>
      <w:sdtPr>
        <w:rPr>
          <w:color w:val="000000" w:themeColor="text1"/>
        </w:rPr>
        <w:alias w:val="是否适用：划分为持有待售的资产[双击切换]"/>
        <w:tag w:val="_GBC_a6517e0f93e04b1caa2e45201c8133b1"/>
        <w:id w:val="213575403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rsidP="000743DD">
      <w:pPr>
        <w:pStyle w:val="35"/>
        <w:numPr>
          <w:ilvl w:val="0"/>
          <w:numId w:val="50"/>
        </w:numPr>
        <w:rPr>
          <w:color w:val="000000" w:themeColor="text1"/>
          <w:szCs w:val="21"/>
        </w:rPr>
      </w:pPr>
      <w:bookmarkStart w:id="216" w:name="_Hlk167891796"/>
      <w:bookmarkStart w:id="217" w:name="_Hlk10471081"/>
      <w:r>
        <w:rPr>
          <w:color w:val="000000" w:themeColor="text1"/>
          <w:szCs w:val="21"/>
        </w:rPr>
        <w:t>一年内到期的非流动资产</w:t>
      </w:r>
    </w:p>
    <w:sdt>
      <w:sdtPr>
        <w:rPr>
          <w:color w:val="000000" w:themeColor="text1"/>
        </w:rPr>
        <w:alias w:val="是否适用：一年内到期的非流动资产[双击切换]"/>
        <w:tag w:val="_GBC_3c3df002388d4bbe8dd8d4df7fe26ebc"/>
        <w:id w:val="-819033482"/>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pPr>
        <w:pStyle w:val="43"/>
        <w:rPr>
          <w:color w:val="000000" w:themeColor="text1"/>
        </w:rPr>
      </w:pPr>
      <w:bookmarkStart w:id="218" w:name="_Hlk167891921"/>
      <w:bookmarkEnd w:id="216"/>
      <w:r>
        <w:rPr>
          <w:rFonts w:hint="eastAsia"/>
          <w:color w:val="000000" w:themeColor="text1"/>
        </w:rPr>
        <w:lastRenderedPageBreak/>
        <w:t>一年内到期的债权投资</w:t>
      </w:r>
    </w:p>
    <w:sdt>
      <w:sdtPr>
        <w:rPr>
          <w:color w:val="000000" w:themeColor="text1"/>
        </w:rPr>
        <w:alias w:val="是否适用：一年内到期的债权投资[双击切换]"/>
        <w:tag w:val="_GBC_ed748eccf06845059b7b75fbb321c08e"/>
        <w:id w:val="576252684"/>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pPr>
        <w:pStyle w:val="43"/>
        <w:rPr>
          <w:color w:val="000000" w:themeColor="text1"/>
        </w:rPr>
      </w:pPr>
      <w:r>
        <w:rPr>
          <w:rFonts w:hint="eastAsia"/>
          <w:color w:val="000000" w:themeColor="text1"/>
        </w:rPr>
        <w:t>一年内到期的其他债权投资</w:t>
      </w:r>
    </w:p>
    <w:sdt>
      <w:sdtPr>
        <w:rPr>
          <w:color w:val="000000" w:themeColor="text1"/>
        </w:rPr>
        <w:alias w:val="是否适用：一年内到期的其他债权投资[双击切换]"/>
        <w:tag w:val="_GBC_4fffef07e644478cae129eff5661f608"/>
        <w:id w:val="-1522772520"/>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21"/>
        <w:numPr>
          <w:ilvl w:val="0"/>
          <w:numId w:val="60"/>
        </w:numPr>
        <w:ind w:left="425" w:hanging="425"/>
        <w:rPr>
          <w:color w:val="000000" w:themeColor="text1"/>
        </w:rPr>
      </w:pPr>
      <w:bookmarkStart w:id="219" w:name="_Hlk155106775"/>
      <w:r>
        <w:rPr>
          <w:rFonts w:hint="eastAsia"/>
          <w:color w:val="000000" w:themeColor="text1"/>
        </w:rPr>
        <w:t>一年内到期的其他债权投资情况</w:t>
      </w:r>
    </w:p>
    <w:sdt>
      <w:sdtPr>
        <w:rPr>
          <w:color w:val="000000" w:themeColor="text1"/>
        </w:rPr>
        <w:alias w:val="是否适用：一年内到期的其他债权投资情况[双击切换]"/>
        <w:tag w:val="_GBC_bccc7848b3434d39b6b30d649f385102"/>
        <w:id w:val="-1836678432"/>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pPr>
        <w:rPr>
          <w:color w:val="000000" w:themeColor="text1"/>
        </w:rPr>
      </w:pPr>
      <w:bookmarkStart w:id="220" w:name="_Hlk153444002"/>
      <w:bookmarkEnd w:id="219"/>
      <w:r>
        <w:rPr>
          <w:rFonts w:hint="eastAsia"/>
          <w:color w:val="000000" w:themeColor="text1"/>
        </w:rPr>
        <w:t>一年内到期的其他债权投资的减值准备本期变动情况</w:t>
      </w:r>
    </w:p>
    <w:sdt>
      <w:sdtPr>
        <w:rPr>
          <w:color w:val="000000" w:themeColor="text1"/>
        </w:rPr>
        <w:alias w:val="是否适用：减值准备本期变动情况[双击切换]"/>
        <w:tag w:val="_GBC_0c708c9665404853a020182b9d833795"/>
        <w:id w:val="87720890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220"/>
    <w:p w:rsidR="000C5659" w:rsidRDefault="000E33C4" w:rsidP="000743DD">
      <w:pPr>
        <w:pStyle w:val="Style121"/>
        <w:numPr>
          <w:ilvl w:val="0"/>
          <w:numId w:val="60"/>
        </w:numPr>
        <w:ind w:left="425" w:hanging="425"/>
        <w:rPr>
          <w:color w:val="000000" w:themeColor="text1"/>
        </w:rPr>
      </w:pPr>
      <w:r>
        <w:rPr>
          <w:rFonts w:hint="eastAsia"/>
          <w:color w:val="000000" w:themeColor="text1"/>
        </w:rPr>
        <w:t>期末重要的一年内到期的其他债权投资</w:t>
      </w:r>
    </w:p>
    <w:sdt>
      <w:sdtPr>
        <w:rPr>
          <w:color w:val="000000" w:themeColor="text1"/>
        </w:rPr>
        <w:alias w:val="是否适用：重要的一年内到期的其他债权投资情况[双击切换]"/>
        <w:tag w:val="_GBC_7dd25072c68b4f8fab10f803d7652cf5"/>
        <w:id w:val="-1908834986"/>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rsidP="000743DD">
      <w:pPr>
        <w:pStyle w:val="Style121"/>
        <w:numPr>
          <w:ilvl w:val="0"/>
          <w:numId w:val="60"/>
        </w:numPr>
        <w:ind w:left="425" w:hanging="425"/>
        <w:rPr>
          <w:color w:val="000000" w:themeColor="text1"/>
        </w:rPr>
      </w:pPr>
      <w:bookmarkStart w:id="221" w:name="_Hlk154738128"/>
      <w:bookmarkStart w:id="222" w:name="_Hlk153445318"/>
      <w:r>
        <w:rPr>
          <w:rFonts w:hint="eastAsia"/>
          <w:color w:val="000000" w:themeColor="text1"/>
        </w:rPr>
        <w:t>减值准备计提情况</w:t>
      </w:r>
    </w:p>
    <w:sdt>
      <w:sdtPr>
        <w:rPr>
          <w:rFonts w:cstheme="minorBidi"/>
          <w:color w:val="000000" w:themeColor="text1"/>
          <w:szCs w:val="22"/>
        </w:rPr>
        <w:alias w:val="是否适用：按预期信用损失一般模型计提坏账准备[双击切换]"/>
        <w:tag w:val="_GBC_2583c2ddf79d462686d9bc0554f62527"/>
        <w:id w:val="-1151209905"/>
        <w:placeholder>
          <w:docPart w:val="GBC22222222222222222222222222222"/>
        </w:placeholder>
      </w:sdtPr>
      <w:sdtEndPr/>
      <w:sdtContent>
        <w:p w:rsidR="000C5659" w:rsidRDefault="000E33C4">
          <w:pPr>
            <w:autoSpaceDE w:val="0"/>
            <w:autoSpaceDN w:val="0"/>
            <w:adjustRightInd w:val="0"/>
            <w:ind w:rightChars="50" w:right="105"/>
            <w:rPr>
              <w:rFonts w:cstheme="minorBidi"/>
              <w:color w:val="000000" w:themeColor="text1"/>
              <w:szCs w:val="22"/>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C5659">
      <w:pPr>
        <w:autoSpaceDE w:val="0"/>
        <w:autoSpaceDN w:val="0"/>
        <w:adjustRightInd w:val="0"/>
        <w:ind w:rightChars="50" w:right="105"/>
        <w:rPr>
          <w:rFonts w:cstheme="minorBidi"/>
          <w:color w:val="000000" w:themeColor="text1"/>
          <w:szCs w:val="22"/>
        </w:rPr>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1bff566f9af04ae1a90645f5046a6c13"/>
        <w:id w:val="-916328323"/>
        <w:placeholder>
          <w:docPart w:val="GBC22222222222222222222222222222"/>
        </w:placeholder>
      </w:sdtPr>
      <w:sdtEndPr/>
      <w:sdtContent>
        <w:p w:rsidR="000C5659" w:rsidRDefault="000E33C4">
          <w:pPr>
            <w:rPr>
              <w:rFonts w:cs="Times New Roman"/>
              <w:color w:val="000000" w:themeColor="text1"/>
              <w:szCs w:val="22"/>
            </w:rPr>
          </w:pPr>
          <w:r>
            <w:rPr>
              <w:rFonts w:cs="Times New Roman" w:hint="eastAsia"/>
              <w:color w:val="000000" w:themeColor="text1"/>
              <w:szCs w:val="22"/>
            </w:rPr>
            <w:t>无</w:t>
          </w:r>
        </w:p>
      </w:sdtContent>
    </w:sdt>
    <w:p w:rsidR="000C5659" w:rsidRDefault="000C5659">
      <w:pPr>
        <w:rPr>
          <w:rFonts w:cs="Times New Roman"/>
          <w:color w:val="000000" w:themeColor="text1"/>
          <w:szCs w:val="22"/>
        </w:rPr>
      </w:pPr>
    </w:p>
    <w:p w:rsidR="000C5659" w:rsidRDefault="000E33C4">
      <w:pPr>
        <w:pStyle w:val="Style197"/>
        <w:rPr>
          <w:color w:val="000000" w:themeColor="text1"/>
        </w:rPr>
      </w:pPr>
      <w:r>
        <w:rPr>
          <w:rFonts w:hint="eastAsia"/>
          <w:color w:val="000000" w:themeColor="text1"/>
        </w:rPr>
        <w:t>对本期发生损失准备变动的账面余额显著变动的情况说明：</w:t>
      </w:r>
    </w:p>
    <w:sdt>
      <w:sdtPr>
        <w:rPr>
          <w:color w:val="000000" w:themeColor="text1"/>
        </w:rPr>
        <w:alias w:val="是否适用：对本期发生损失准备变动的账面余额显著变动的情况说明[双击切换]"/>
        <w:tag w:val="_GBC_460bf268aa614e349a724543e761b673"/>
        <w:id w:val="1339121462"/>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asciiTheme="minorHAnsi" w:hAnsiTheme="minorHAnsi" w:cstheme="minorBidi"/>
          <w:b/>
          <w:color w:val="000000" w:themeColor="text1"/>
          <w:szCs w:val="22"/>
        </w:rPr>
      </w:pPr>
    </w:p>
    <w:bookmarkEnd w:id="221"/>
    <w:p w:rsidR="000C5659" w:rsidRDefault="000E33C4">
      <w:pPr>
        <w:pStyle w:val="Style197"/>
        <w:rPr>
          <w:color w:val="000000" w:themeColor="text1"/>
        </w:rPr>
      </w:pPr>
      <w:r>
        <w:rPr>
          <w:rFonts w:hint="eastAsia"/>
          <w:color w:val="000000" w:themeColor="text1"/>
        </w:rPr>
        <w:t>本</w:t>
      </w:r>
      <w:r>
        <w:rPr>
          <w:color w:val="000000" w:themeColor="text1"/>
        </w:rPr>
        <w:t>期减</w:t>
      </w:r>
      <w:r>
        <w:rPr>
          <w:rFonts w:hint="eastAsia"/>
          <w:color w:val="000000" w:themeColor="text1"/>
        </w:rPr>
        <w:t>值</w:t>
      </w:r>
      <w:r>
        <w:rPr>
          <w:color w:val="000000" w:themeColor="text1"/>
        </w:rPr>
        <w:t>准备计提金额以及评估金融工具的</w:t>
      </w:r>
      <w:r>
        <w:rPr>
          <w:rFonts w:hint="eastAsia"/>
          <w:color w:val="000000" w:themeColor="text1"/>
        </w:rPr>
        <w:t>信用风险是否显著增加的采用依据</w:t>
      </w:r>
    </w:p>
    <w:sdt>
      <w:sdtPr>
        <w:rPr>
          <w:color w:val="000000" w:themeColor="text1"/>
        </w:rPr>
        <w:alias w:val="是否适用：本期坏账准备计提金额以及评估金融工具的信用风险是否显著增加的采用依据[双击切换]"/>
        <w:tag w:val="_GBC_4b3dd9bdc86c4cc2bcb88a19afb3646b"/>
        <w:id w:val="-21381148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21"/>
        <w:numPr>
          <w:ilvl w:val="0"/>
          <w:numId w:val="60"/>
        </w:numPr>
        <w:ind w:left="425" w:hanging="425"/>
        <w:rPr>
          <w:color w:val="000000" w:themeColor="text1"/>
        </w:rPr>
      </w:pPr>
      <w:bookmarkStart w:id="223" w:name="_Hlk153445395"/>
      <w:bookmarkEnd w:id="222"/>
      <w:r>
        <w:rPr>
          <w:rFonts w:hint="eastAsia"/>
          <w:color w:val="000000" w:themeColor="text1"/>
        </w:rPr>
        <w:t>本期实际核销的一年内到期的其他债权投资情况</w:t>
      </w:r>
    </w:p>
    <w:sdt>
      <w:sdtPr>
        <w:rPr>
          <w:color w:val="000000" w:themeColor="text1"/>
        </w:rPr>
        <w:alias w:val="是否适用：实际核销的情况[双击切换]"/>
        <w:tag w:val="_GBC_70e1e8016d114580a61cf69139b2e984"/>
        <w:id w:val="5784118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其中重要的一年内到期的其他债权投资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4feb295bfebb40b29ef7cb504eda390f"/>
        <w:id w:val="-639489014"/>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一年内到期的其他债权投资的核销说明：</w:t>
      </w:r>
    </w:p>
    <w:sdt>
      <w:sdtPr>
        <w:rPr>
          <w:color w:val="000000" w:themeColor="text1"/>
        </w:rPr>
        <w:alias w:val="是否适用：核销说明[双击切换]"/>
        <w:tag w:val="_GBC_ea237c3d75b644258297e0b28f72c483"/>
        <w:id w:val="-7831172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223"/>
    <w:p w:rsidR="000C5659" w:rsidRDefault="000E33C4">
      <w:pPr>
        <w:rPr>
          <w:color w:val="000000" w:themeColor="text1"/>
        </w:rPr>
      </w:pPr>
      <w:r>
        <w:rPr>
          <w:rFonts w:hint="eastAsia"/>
          <w:color w:val="000000" w:themeColor="text1"/>
        </w:rPr>
        <w:t>其他说明：</w:t>
      </w:r>
    </w:p>
    <w:sdt>
      <w:sdtPr>
        <w:rPr>
          <w:color w:val="000000" w:themeColor="text1"/>
        </w:rPr>
        <w:alias w:val="是否适用：一年内到期的其他债权投资情况的说明[双击切换]"/>
        <w:tag w:val="_GBC_cc6e3967042a490f9b19cdbb82fff18b"/>
        <w:id w:val="-202947610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pPr>
        <w:ind w:right="210"/>
        <w:rPr>
          <w:color w:val="000000" w:themeColor="text1"/>
        </w:rPr>
      </w:pPr>
      <w:r>
        <w:rPr>
          <w:rFonts w:hint="eastAsia"/>
          <w:color w:val="000000" w:themeColor="text1"/>
        </w:rPr>
        <w:t>一年内到期的非流动资产的其他说明</w:t>
      </w:r>
    </w:p>
    <w:sdt>
      <w:sdtPr>
        <w:rPr>
          <w:color w:val="000000" w:themeColor="text1"/>
        </w:rPr>
        <w:alias w:val="一年内到期的非流动资产其他说明"/>
        <w:tag w:val="_GBC_218c0d81bbcc4458a19aa7e5806bac06"/>
        <w:id w:val="777921481"/>
        <w:placeholder>
          <w:docPart w:val="GBC22222222222222222222222222222"/>
        </w:placeholder>
      </w:sdtPr>
      <w:sdtEndPr/>
      <w:sdtContent>
        <w:p w:rsidR="000C5659" w:rsidRDefault="000E33C4">
          <w:pPr>
            <w:ind w:right="210"/>
            <w:rPr>
              <w:color w:val="000000" w:themeColor="text1"/>
            </w:rPr>
          </w:pPr>
          <w:r>
            <w:rPr>
              <w:rFonts w:hint="eastAsia"/>
              <w:color w:val="000000" w:themeColor="text1"/>
            </w:rPr>
            <w:t>无</w:t>
          </w:r>
        </w:p>
      </w:sdtContent>
    </w:sdt>
    <w:bookmarkEnd w:id="218"/>
    <w:p w:rsidR="000C5659" w:rsidRDefault="000C5659">
      <w:pPr>
        <w:ind w:right="210"/>
        <w:rPr>
          <w:color w:val="000000" w:themeColor="text1"/>
        </w:rPr>
      </w:pPr>
    </w:p>
    <w:p w:rsidR="000C5659" w:rsidRDefault="000E33C4" w:rsidP="000743DD">
      <w:pPr>
        <w:pStyle w:val="35"/>
        <w:numPr>
          <w:ilvl w:val="0"/>
          <w:numId w:val="50"/>
        </w:numPr>
        <w:rPr>
          <w:color w:val="000000" w:themeColor="text1"/>
          <w:szCs w:val="21"/>
        </w:rPr>
      </w:pPr>
      <w:bookmarkStart w:id="224" w:name="_Hlk10471163"/>
      <w:bookmarkEnd w:id="217"/>
      <w:r>
        <w:rPr>
          <w:color w:val="000000" w:themeColor="text1"/>
          <w:szCs w:val="21"/>
        </w:rPr>
        <w:t>其他流动资产</w:t>
      </w:r>
    </w:p>
    <w:sdt>
      <w:sdtPr>
        <w:rPr>
          <w:color w:val="000000" w:themeColor="text1"/>
        </w:rPr>
        <w:alias w:val="是否适用：其他流动资产[双击切换]"/>
        <w:tag w:val="_GBC_7733d50365e24328b41020152f88028d"/>
        <w:id w:val="4341785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其他流动资产"/>
          <w:tag w:val="_GBC_d0c62fc75d164678ad203d9ddb106538"/>
          <w:id w:val="15494978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流动资产"/>
          <w:tag w:val="_GBC_9196143d56d24a9ea7f7e31ce8a09024"/>
          <w:id w:val="11790113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0C5659">
        <w:bookmarkStart w:id="225" w:name="_Hlk533421736" w:displacedByCustomXml="next"/>
        <w:sdt>
          <w:sdtPr>
            <w:rPr>
              <w:color w:val="000000" w:themeColor="text1"/>
            </w:rPr>
            <w:tag w:val="_PLD_15bbfc7d41df4300abcae2e424cc6572"/>
            <w:id w:val="-110746756"/>
          </w:sdtPr>
          <w:sdtEndPr/>
          <w:sdtContent>
            <w:tc>
              <w:tcPr>
                <w:tcW w:w="1816"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d2a222194eae4e958db2401139170ea2"/>
            <w:id w:val="-1627391526"/>
          </w:sdtPr>
          <w:sdtEndPr/>
          <w:sdtContent>
            <w:tc>
              <w:tcPr>
                <w:tcW w:w="1612"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0f3815799e9d4216b9506517d8e9b90c"/>
            <w:id w:val="2085260732"/>
          </w:sdtPr>
          <w:sdtEndPr/>
          <w:sdtContent>
            <w:tc>
              <w:tcPr>
                <w:tcW w:w="1572"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c>
          <w:tcPr>
            <w:tcW w:w="1816" w:type="pct"/>
            <w:shd w:val="clear" w:color="auto" w:fill="auto"/>
            <w:vAlign w:val="center"/>
          </w:tcPr>
          <w:p w:rsidR="000C5659" w:rsidRDefault="000E33C4">
            <w:pPr>
              <w:rPr>
                <w:color w:val="000000" w:themeColor="text1"/>
              </w:rPr>
            </w:pPr>
            <w:r>
              <w:rPr>
                <w:szCs w:val="18"/>
              </w:rPr>
              <w:t>待抵扣增值税</w:t>
            </w:r>
          </w:p>
        </w:tc>
        <w:tc>
          <w:tcPr>
            <w:tcW w:w="1612" w:type="pct"/>
            <w:shd w:val="clear" w:color="auto" w:fill="auto"/>
            <w:vAlign w:val="center"/>
          </w:tcPr>
          <w:p w:rsidR="000C5659" w:rsidRDefault="000E33C4">
            <w:pPr>
              <w:jc w:val="right"/>
            </w:pPr>
            <w:r>
              <w:rPr>
                <w:rFonts w:hint="eastAsia"/>
                <w:szCs w:val="18"/>
              </w:rPr>
              <w:t>6,399,328.04</w:t>
            </w:r>
          </w:p>
        </w:tc>
        <w:tc>
          <w:tcPr>
            <w:tcW w:w="1572" w:type="pct"/>
            <w:shd w:val="clear" w:color="auto" w:fill="auto"/>
            <w:vAlign w:val="center"/>
          </w:tcPr>
          <w:p w:rsidR="000C5659" w:rsidRDefault="000E33C4">
            <w:pPr>
              <w:jc w:val="right"/>
            </w:pPr>
            <w:r>
              <w:rPr>
                <w:rFonts w:hint="eastAsia"/>
                <w:szCs w:val="18"/>
              </w:rPr>
              <w:t>5,325,062.64</w:t>
            </w:r>
          </w:p>
        </w:tc>
      </w:tr>
      <w:tr w:rsidR="000C5659">
        <w:tc>
          <w:tcPr>
            <w:tcW w:w="1816" w:type="pct"/>
            <w:shd w:val="clear" w:color="auto" w:fill="auto"/>
            <w:vAlign w:val="center"/>
          </w:tcPr>
          <w:p w:rsidR="000C5659" w:rsidRDefault="000E33C4">
            <w:pPr>
              <w:snapToGrid w:val="0"/>
              <w:ind w:leftChars="-51" w:left="-107"/>
              <w:jc w:val="center"/>
              <w:rPr>
                <w:color w:val="000000" w:themeColor="text1"/>
              </w:rPr>
            </w:pPr>
            <w:r>
              <w:rPr>
                <w:rFonts w:hint="eastAsia"/>
                <w:color w:val="000000" w:themeColor="text1"/>
              </w:rPr>
              <w:lastRenderedPageBreak/>
              <w:t>合计</w:t>
            </w:r>
          </w:p>
        </w:tc>
        <w:tc>
          <w:tcPr>
            <w:tcW w:w="1612" w:type="pct"/>
            <w:shd w:val="clear" w:color="auto" w:fill="auto"/>
          </w:tcPr>
          <w:p w:rsidR="000C5659" w:rsidRDefault="000E33C4">
            <w:pPr>
              <w:snapToGrid w:val="0"/>
              <w:jc w:val="right"/>
            </w:pPr>
            <w:r>
              <w:rPr>
                <w:rFonts w:hint="eastAsia"/>
                <w:szCs w:val="18"/>
              </w:rPr>
              <w:t>6,399,328.04</w:t>
            </w:r>
          </w:p>
        </w:tc>
        <w:tc>
          <w:tcPr>
            <w:tcW w:w="1572" w:type="pct"/>
            <w:shd w:val="clear" w:color="auto" w:fill="auto"/>
          </w:tcPr>
          <w:p w:rsidR="000C5659" w:rsidRDefault="000E33C4">
            <w:pPr>
              <w:snapToGrid w:val="0"/>
              <w:jc w:val="right"/>
            </w:pPr>
            <w:r>
              <w:rPr>
                <w:rFonts w:hint="eastAsia"/>
                <w:szCs w:val="18"/>
              </w:rPr>
              <w:t>5,325,062.64</w:t>
            </w:r>
          </w:p>
        </w:tc>
      </w:tr>
    </w:tbl>
    <w:bookmarkEnd w:id="225"/>
    <w:p w:rsidR="000C5659" w:rsidRDefault="000E33C4">
      <w:pPr>
        <w:rPr>
          <w:color w:val="000000" w:themeColor="text1"/>
        </w:rPr>
      </w:pPr>
      <w:r>
        <w:rPr>
          <w:rFonts w:hint="eastAsia"/>
          <w:color w:val="000000" w:themeColor="text1"/>
        </w:rPr>
        <w:t>其他说明：</w:t>
      </w:r>
    </w:p>
    <w:sdt>
      <w:sdtPr>
        <w:rPr>
          <w:rFonts w:hint="eastAsia"/>
          <w:color w:val="000000" w:themeColor="text1"/>
        </w:rPr>
        <w:alias w:val="其他流动资产说明"/>
        <w:tag w:val="_GBC_7955e529151148f394eed0e26977270b"/>
        <w:id w:val="-836758220"/>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bookmarkEnd w:id="224"/>
    <w:p w:rsidR="000C5659" w:rsidRDefault="000C5659">
      <w:pPr>
        <w:ind w:right="210"/>
        <w:rPr>
          <w:color w:val="000000" w:themeColor="text1"/>
        </w:rPr>
      </w:pPr>
    </w:p>
    <w:p w:rsidR="000C5659" w:rsidRDefault="000E33C4" w:rsidP="000743DD">
      <w:pPr>
        <w:pStyle w:val="35"/>
        <w:numPr>
          <w:ilvl w:val="0"/>
          <w:numId w:val="50"/>
        </w:numPr>
        <w:rPr>
          <w:color w:val="000000" w:themeColor="text1"/>
          <w:szCs w:val="21"/>
        </w:rPr>
      </w:pPr>
      <w:bookmarkStart w:id="226" w:name="_Hlk10471390"/>
      <w:r>
        <w:rPr>
          <w:color w:val="000000" w:themeColor="text1"/>
          <w:szCs w:val="21"/>
        </w:rPr>
        <w:t>债权投资</w:t>
      </w:r>
    </w:p>
    <w:p w:rsidR="000C5659" w:rsidRDefault="000E33C4" w:rsidP="000743DD">
      <w:pPr>
        <w:pStyle w:val="43"/>
        <w:numPr>
          <w:ilvl w:val="3"/>
          <w:numId w:val="61"/>
        </w:numPr>
        <w:ind w:left="426" w:hanging="426"/>
        <w:rPr>
          <w:rFonts w:ascii="宋体" w:hAnsi="宋体"/>
          <w:color w:val="000000" w:themeColor="text1"/>
        </w:rPr>
      </w:pPr>
      <w:r>
        <w:rPr>
          <w:rFonts w:ascii="宋体" w:hAnsi="宋体" w:hint="eastAsia"/>
          <w:color w:val="000000" w:themeColor="text1"/>
        </w:rPr>
        <w:t>债权投资情况</w:t>
      </w:r>
    </w:p>
    <w:sdt>
      <w:sdtPr>
        <w:rPr>
          <w:color w:val="000000" w:themeColor="text1"/>
        </w:rPr>
        <w:alias w:val="是否适用：以摊余成本计量的长期债权投资[双击切换]"/>
        <w:tag w:val="_GBC_22cb0188d98c4d37a97e0c6a9e34e10d"/>
        <w:id w:val="-1297451248"/>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pPr>
        <w:rPr>
          <w:color w:val="000000" w:themeColor="text1"/>
        </w:rPr>
      </w:pPr>
      <w:bookmarkStart w:id="227" w:name="_Hlk153455457"/>
      <w:bookmarkStart w:id="228" w:name="_Hlk167892259"/>
      <w:bookmarkEnd w:id="226"/>
      <w:r>
        <w:rPr>
          <w:rFonts w:hint="eastAsia"/>
          <w:color w:val="000000" w:themeColor="text1"/>
        </w:rPr>
        <w:t>债权投资减值准备本期变动情况</w:t>
      </w:r>
    </w:p>
    <w:sdt>
      <w:sdtPr>
        <w:rPr>
          <w:color w:val="000000" w:themeColor="text1"/>
        </w:rPr>
        <w:alias w:val="是否适用：减值准备本期变动情况[双击切换]"/>
        <w:tag w:val="_GBC_50b72791ac8a452f88456ab4da535bab"/>
        <w:id w:val="-29429765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61"/>
        </w:numPr>
        <w:ind w:left="426" w:hanging="426"/>
        <w:rPr>
          <w:rFonts w:ascii="宋体" w:hAnsi="宋体"/>
          <w:color w:val="000000" w:themeColor="text1"/>
        </w:rPr>
      </w:pPr>
      <w:bookmarkStart w:id="229" w:name="_Hlk167892342"/>
      <w:bookmarkStart w:id="230" w:name="_Hlk532994191"/>
      <w:bookmarkEnd w:id="227"/>
      <w:bookmarkEnd w:id="228"/>
      <w:r>
        <w:rPr>
          <w:rFonts w:ascii="宋体" w:hAnsi="宋体" w:hint="eastAsia"/>
          <w:color w:val="000000" w:themeColor="text1"/>
        </w:rPr>
        <w:t>期末重要的债权投资</w:t>
      </w:r>
    </w:p>
    <w:sdt>
      <w:sdtPr>
        <w:rPr>
          <w:color w:val="000000" w:themeColor="text1"/>
        </w:rPr>
        <w:alias w:val="是否适用：重要的债权投资[双击切换]"/>
        <w:tag w:val="_GBC_dfd6ab7a86864614a29dc0fb3c650c26"/>
        <w:id w:val="-166053442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61"/>
        </w:numPr>
        <w:ind w:left="426" w:hanging="426"/>
        <w:rPr>
          <w:rFonts w:ascii="宋体" w:hAnsi="宋体"/>
          <w:color w:val="000000" w:themeColor="text1"/>
        </w:rPr>
      </w:pPr>
      <w:bookmarkStart w:id="231" w:name="_Hlk10471472"/>
      <w:bookmarkStart w:id="232" w:name="_Hlk10471485"/>
      <w:bookmarkEnd w:id="229"/>
      <w:bookmarkEnd w:id="230"/>
      <w:r>
        <w:rPr>
          <w:rFonts w:ascii="宋体" w:hAnsi="宋体" w:hint="eastAsia"/>
          <w:color w:val="000000" w:themeColor="text1"/>
        </w:rPr>
        <w:t>减值准备计提情况</w:t>
      </w:r>
      <w:bookmarkEnd w:id="231"/>
    </w:p>
    <w:sdt>
      <w:sdtPr>
        <w:rPr>
          <w:color w:val="000000" w:themeColor="text1"/>
        </w:rPr>
        <w:alias w:val="是否适用：债权投资减值准备调节表[双击切换]"/>
        <w:tag w:val="_GBC_415a5cd43ad14136b13ac09b150da06f"/>
        <w:id w:val="178864266"/>
        <w:placeholder>
          <w:docPart w:val="GBC22222222222222222222222222222"/>
        </w:placeholder>
      </w:sdtPr>
      <w:sdtEndPr/>
      <w:sdtContent>
        <w:p w:rsidR="000C5659" w:rsidRDefault="000E33C4">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Style197"/>
        <w:rPr>
          <w:color w:val="000000" w:themeColor="text1"/>
        </w:rPr>
      </w:pPr>
      <w:r>
        <w:rPr>
          <w:rFonts w:hint="eastAsia"/>
          <w:color w:val="000000" w:themeColor="text1"/>
        </w:rPr>
        <w:t>对本期发生损失准备变动的债权投资账面余额显著变动的情况说明：</w:t>
      </w:r>
    </w:p>
    <w:sdt>
      <w:sdtPr>
        <w:rPr>
          <w:color w:val="000000" w:themeColor="text1"/>
        </w:rPr>
        <w:alias w:val="是否适用：债权投资本期发生损失准备变动且账面余额显著变动的情况说明[双击切换]"/>
        <w:tag w:val="_GBC_c6e31a7a389c493bad1d2f0f97023edf"/>
        <w:id w:val="-1719965689"/>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pPr>
        <w:pStyle w:val="Style197"/>
        <w:rPr>
          <w:color w:val="000000" w:themeColor="text1"/>
        </w:rPr>
      </w:pPr>
      <w:r>
        <w:rPr>
          <w:rFonts w:hint="eastAsia"/>
          <w:color w:val="000000" w:themeColor="text1"/>
        </w:rPr>
        <w:t>本</w:t>
      </w:r>
      <w:r>
        <w:rPr>
          <w:color w:val="000000" w:themeColor="text1"/>
        </w:rPr>
        <w:t>期减</w:t>
      </w:r>
      <w:r>
        <w:rPr>
          <w:rFonts w:hint="eastAsia"/>
          <w:color w:val="000000" w:themeColor="text1"/>
        </w:rPr>
        <w:t>值</w:t>
      </w:r>
      <w:r>
        <w:rPr>
          <w:color w:val="000000" w:themeColor="text1"/>
        </w:rPr>
        <w:t>准备计提金额以及评估金融工具的</w:t>
      </w:r>
      <w:r>
        <w:rPr>
          <w:rFonts w:hint="eastAsia"/>
          <w:color w:val="000000" w:themeColor="text1"/>
        </w:rPr>
        <w:t>信用风险是否显著增加的采用依据：</w:t>
      </w:r>
    </w:p>
    <w:sdt>
      <w:sdtPr>
        <w:rPr>
          <w:color w:val="000000" w:themeColor="text1"/>
        </w:rPr>
        <w:alias w:val="是否适用：债权投资减值准备计提金额以及评估金融工具的信用风险显著增加的采用依据[双击切换]"/>
        <w:tag w:val="_GBC_9f2bcc7ec6104c84a1b0f948b57b7e7a"/>
        <w:id w:val="89377433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rsidP="000743DD">
      <w:pPr>
        <w:pStyle w:val="43"/>
        <w:numPr>
          <w:ilvl w:val="3"/>
          <w:numId w:val="61"/>
        </w:numPr>
        <w:ind w:left="426" w:hanging="426"/>
        <w:rPr>
          <w:rFonts w:ascii="宋体" w:hAnsi="宋体"/>
          <w:color w:val="000000" w:themeColor="text1"/>
        </w:rPr>
      </w:pPr>
      <w:bookmarkStart w:id="233" w:name="_Hlk167892558"/>
      <w:bookmarkStart w:id="234" w:name="_Hlk153455555"/>
      <w:bookmarkEnd w:id="232"/>
      <w:r>
        <w:rPr>
          <w:rFonts w:ascii="宋体" w:hAnsi="宋体" w:hint="eastAsia"/>
          <w:color w:val="000000" w:themeColor="text1"/>
        </w:rPr>
        <w:t>本期实际的核销债权投资情况</w:t>
      </w:r>
    </w:p>
    <w:sdt>
      <w:sdtPr>
        <w:rPr>
          <w:color w:val="000000" w:themeColor="text1"/>
        </w:rPr>
        <w:alias w:val="是否适用：实际核销的情况[双击切换]"/>
        <w:tag w:val="_GBC_3afef6300d7c49d48b6294a7214810bd"/>
        <w:id w:val="2415347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dc0725e00c1d479dba02255be6332ac6"/>
        <w:id w:val="-60048522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债权投资的核销说明：</w:t>
      </w:r>
    </w:p>
    <w:sdt>
      <w:sdtPr>
        <w:rPr>
          <w:color w:val="000000" w:themeColor="text1"/>
        </w:rPr>
        <w:alias w:val="是否适用：核销说明[双击切换]"/>
        <w:tag w:val="_GBC_de5ab370e646496a8820f55eaf66a319"/>
        <w:id w:val="-155561673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ind w:right="210"/>
        <w:rPr>
          <w:color w:val="000000" w:themeColor="text1"/>
        </w:rPr>
      </w:pPr>
      <w:bookmarkStart w:id="235" w:name="_Hlk167892487"/>
      <w:bookmarkEnd w:id="233"/>
      <w:bookmarkEnd w:id="234"/>
      <w:r>
        <w:rPr>
          <w:rFonts w:hint="eastAsia"/>
          <w:color w:val="000000" w:themeColor="text1"/>
        </w:rPr>
        <w:t>其他说明：</w:t>
      </w:r>
    </w:p>
    <w:p w:rsidR="000C5659" w:rsidRDefault="000E33C4">
      <w:pPr>
        <w:ind w:right="210"/>
        <w:rPr>
          <w:color w:val="000000" w:themeColor="text1"/>
        </w:rPr>
      </w:pPr>
      <w:r>
        <w:rPr>
          <w:rFonts w:hint="eastAsia"/>
          <w:color w:val="000000" w:themeColor="text1"/>
        </w:rPr>
        <w:t xml:space="preserve"> 无</w:t>
      </w:r>
    </w:p>
    <w:p w:rsidR="000C5659" w:rsidRDefault="000C5659">
      <w:pPr>
        <w:ind w:right="210"/>
        <w:rPr>
          <w:color w:val="000000" w:themeColor="text1"/>
        </w:rPr>
      </w:pPr>
    </w:p>
    <w:p w:rsidR="000C5659" w:rsidRDefault="000E33C4" w:rsidP="000743DD">
      <w:pPr>
        <w:pStyle w:val="35"/>
        <w:numPr>
          <w:ilvl w:val="0"/>
          <w:numId w:val="50"/>
        </w:numPr>
        <w:rPr>
          <w:color w:val="000000" w:themeColor="text1"/>
          <w:szCs w:val="21"/>
        </w:rPr>
      </w:pPr>
      <w:bookmarkStart w:id="236" w:name="_Hlk167892682"/>
      <w:bookmarkEnd w:id="235"/>
      <w:r>
        <w:rPr>
          <w:color w:val="000000" w:themeColor="text1"/>
          <w:szCs w:val="21"/>
        </w:rPr>
        <w:t>其他债权投资</w:t>
      </w:r>
    </w:p>
    <w:p w:rsidR="000C5659" w:rsidRDefault="000E33C4" w:rsidP="000743DD">
      <w:pPr>
        <w:pStyle w:val="43"/>
        <w:numPr>
          <w:ilvl w:val="3"/>
          <w:numId w:val="62"/>
        </w:numPr>
        <w:ind w:left="426" w:hanging="426"/>
        <w:rPr>
          <w:color w:val="000000" w:themeColor="text1"/>
        </w:rPr>
      </w:pPr>
      <w:r>
        <w:rPr>
          <w:rFonts w:hint="eastAsia"/>
          <w:color w:val="000000" w:themeColor="text1"/>
        </w:rPr>
        <w:t>其他债权投资情况</w:t>
      </w:r>
    </w:p>
    <w:sdt>
      <w:sdtPr>
        <w:rPr>
          <w:color w:val="000000" w:themeColor="text1"/>
        </w:rPr>
        <w:alias w:val="是否适用：其他债权投资情况[双击切换]"/>
        <w:tag w:val="_GBC_92529f98ed0049e0b197213d2c9b7d0a"/>
        <w:id w:val="656808980"/>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pPr>
        <w:rPr>
          <w:color w:val="000000" w:themeColor="text1"/>
        </w:rPr>
      </w:pPr>
      <w:bookmarkStart w:id="237" w:name="_Hlk153455695"/>
      <w:r>
        <w:rPr>
          <w:rFonts w:hint="eastAsia"/>
          <w:color w:val="000000" w:themeColor="text1"/>
        </w:rPr>
        <w:t>其他债权投资减值准备本期变动情况</w:t>
      </w:r>
    </w:p>
    <w:sdt>
      <w:sdtPr>
        <w:rPr>
          <w:color w:val="000000" w:themeColor="text1"/>
        </w:rPr>
        <w:alias w:val="是否适用：减值准备本期变动情况[双击切换]"/>
        <w:tag w:val="_GBC_b9701012584a4eb3946302a1880256f3"/>
        <w:id w:val="174690915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36"/>
    <w:bookmarkEnd w:id="237"/>
    <w:p w:rsidR="000C5659" w:rsidRDefault="000C5659">
      <w:pPr>
        <w:rPr>
          <w:color w:val="000000" w:themeColor="text1"/>
        </w:rPr>
      </w:pPr>
    </w:p>
    <w:p w:rsidR="000C5659" w:rsidRDefault="000E33C4" w:rsidP="000743DD">
      <w:pPr>
        <w:pStyle w:val="43"/>
        <w:numPr>
          <w:ilvl w:val="3"/>
          <w:numId w:val="62"/>
        </w:numPr>
        <w:ind w:left="426" w:hanging="426"/>
        <w:rPr>
          <w:color w:val="000000" w:themeColor="text1"/>
        </w:rPr>
      </w:pPr>
      <w:bookmarkStart w:id="238" w:name="_Hlk167892795"/>
      <w:bookmarkStart w:id="239" w:name="_Hlk533848078"/>
      <w:r>
        <w:rPr>
          <w:rFonts w:hint="eastAsia"/>
          <w:color w:val="000000" w:themeColor="text1"/>
        </w:rPr>
        <w:t>期末重要的其他债权投资</w:t>
      </w:r>
    </w:p>
    <w:sdt>
      <w:sdtPr>
        <w:rPr>
          <w:color w:val="000000" w:themeColor="text1"/>
        </w:rPr>
        <w:alias w:val="是否适用：重要的其他债权投资[双击切换]"/>
        <w:tag w:val="_GBC_00805fa375c74d288e1bd8def75cea7f"/>
        <w:id w:val="2117247994"/>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10"/>
        <w:rPr>
          <w:color w:val="000000" w:themeColor="text1"/>
        </w:rPr>
      </w:pPr>
    </w:p>
    <w:p w:rsidR="000C5659" w:rsidRDefault="000E33C4" w:rsidP="000743DD">
      <w:pPr>
        <w:pStyle w:val="43"/>
        <w:numPr>
          <w:ilvl w:val="3"/>
          <w:numId w:val="62"/>
        </w:numPr>
        <w:ind w:left="426" w:hanging="426"/>
        <w:rPr>
          <w:color w:val="000000" w:themeColor="text1"/>
        </w:rPr>
      </w:pPr>
      <w:bookmarkStart w:id="240" w:name="_Hlk10471703"/>
      <w:bookmarkStart w:id="241" w:name="_Hlk10471716"/>
      <w:bookmarkEnd w:id="238"/>
      <w:bookmarkEnd w:id="239"/>
      <w:r>
        <w:rPr>
          <w:rFonts w:hint="eastAsia"/>
          <w:color w:val="000000" w:themeColor="text1"/>
        </w:rPr>
        <w:t>减值准备计提情况</w:t>
      </w:r>
      <w:bookmarkEnd w:id="240"/>
    </w:p>
    <w:sdt>
      <w:sdtPr>
        <w:rPr>
          <w:color w:val="000000" w:themeColor="text1"/>
        </w:rPr>
        <w:alias w:val="是否适用：其他债权投资减值准备调节表[双击切换]"/>
        <w:tag w:val="_GBC_038e4a0a4815442e91a9309c128001c1"/>
        <w:id w:val="386545411"/>
        <w:placeholder>
          <w:docPart w:val="GBC22222222222222222222222222222"/>
        </w:placeholder>
      </w:sdtPr>
      <w:sdtEndPr/>
      <w:sdtContent>
        <w:p w:rsidR="000C5659" w:rsidRDefault="000E33C4">
          <w:pPr>
            <w:ind w:right="21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rsidP="000743DD">
      <w:pPr>
        <w:pStyle w:val="43"/>
        <w:numPr>
          <w:ilvl w:val="3"/>
          <w:numId w:val="62"/>
        </w:numPr>
        <w:ind w:left="426" w:hanging="426"/>
        <w:rPr>
          <w:color w:val="000000" w:themeColor="text1"/>
        </w:rPr>
      </w:pPr>
      <w:bookmarkStart w:id="242" w:name="_Hlk167892961"/>
      <w:bookmarkStart w:id="243" w:name="_Hlk153456989"/>
      <w:bookmarkEnd w:id="241"/>
      <w:r>
        <w:rPr>
          <w:rFonts w:hint="eastAsia"/>
          <w:color w:val="000000" w:themeColor="text1"/>
        </w:rPr>
        <w:lastRenderedPageBreak/>
        <w:t>本期实际核销的其他债权投资情况</w:t>
      </w:r>
    </w:p>
    <w:sdt>
      <w:sdtPr>
        <w:rPr>
          <w:color w:val="000000" w:themeColor="text1"/>
        </w:rPr>
        <w:alias w:val="是否适用：实际核销的情况[双击切换]"/>
        <w:tag w:val="_GBC_3f64bf41b4334743becf2e82476d4bae"/>
        <w:id w:val="-113556678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其中重要的其他债权投资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c6a24c878fc2452199cbce9e12babe90"/>
        <w:id w:val="-113910540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其他债权投资的核销说明：</w:t>
      </w:r>
    </w:p>
    <w:sdt>
      <w:sdtPr>
        <w:rPr>
          <w:color w:val="000000" w:themeColor="text1"/>
        </w:rPr>
        <w:alias w:val="是否适用：核销说明[双击切换]"/>
        <w:tag w:val="_GBC_53efb454d66a4a18836780c1e0d7b273"/>
        <w:id w:val="17212514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244" w:name="_Hlk533848097"/>
      <w:bookmarkStart w:id="245" w:name="_Hlk10471761"/>
      <w:bookmarkEnd w:id="242"/>
      <w:bookmarkEnd w:id="243"/>
      <w:r>
        <w:rPr>
          <w:rFonts w:hint="eastAsia"/>
          <w:color w:val="000000" w:themeColor="text1"/>
        </w:rPr>
        <w:t>其他说明：</w:t>
      </w:r>
      <w:bookmarkEnd w:id="244"/>
    </w:p>
    <w:sdt>
      <w:sdtPr>
        <w:rPr>
          <w:color w:val="000000" w:themeColor="text1"/>
        </w:rPr>
        <w:alias w:val="是否适用：其他债权投资其他说明[双击切换]"/>
        <w:tag w:val="_GBC_e37f3e78626b4cd0ad52d68ae2fcdecb"/>
        <w:id w:val="71709618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45"/>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长期应收款</w:t>
      </w:r>
    </w:p>
    <w:p w:rsidR="000C5659" w:rsidRDefault="000E33C4" w:rsidP="000743DD">
      <w:pPr>
        <w:pStyle w:val="43"/>
        <w:numPr>
          <w:ilvl w:val="0"/>
          <w:numId w:val="63"/>
        </w:numPr>
        <w:rPr>
          <w:rFonts w:ascii="宋体" w:hAnsi="宋体"/>
          <w:color w:val="000000" w:themeColor="text1"/>
        </w:rPr>
      </w:pPr>
      <w:r>
        <w:rPr>
          <w:rFonts w:ascii="宋体" w:hAnsi="宋体" w:hint="eastAsia"/>
          <w:color w:val="000000" w:themeColor="text1"/>
        </w:rPr>
        <w:t>长期应收款情况</w:t>
      </w:r>
    </w:p>
    <w:sdt>
      <w:sdtPr>
        <w:rPr>
          <w:color w:val="000000" w:themeColor="text1"/>
        </w:rPr>
        <w:alias w:val="是否适用：长期应收款情况[双击切换]"/>
        <w:tag w:val="_GBC_03ba5a75d6d541f4a60fba2b18c9d548"/>
        <w:id w:val="877198115"/>
        <w:placeholder>
          <w:docPart w:val="GBC22222222222222222222222222222"/>
        </w:placeholder>
      </w:sdtPr>
      <w:sdtEndPr/>
      <w:sdtContent>
        <w:p w:rsidR="000C5659" w:rsidRDefault="000E33C4">
          <w:pPr>
            <w:pStyle w:val="Style325"/>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63"/>
        </w:numPr>
        <w:rPr>
          <w:rFonts w:ascii="宋体" w:hAnsi="宋体"/>
          <w:color w:val="000000" w:themeColor="text1"/>
        </w:rPr>
      </w:pPr>
      <w:bookmarkStart w:id="246" w:name="_Hlk167893085"/>
      <w:bookmarkStart w:id="247" w:name="_Hlk153457348"/>
      <w:r>
        <w:rPr>
          <w:rFonts w:ascii="宋体" w:hAnsi="宋体" w:hint="eastAsia"/>
          <w:color w:val="000000" w:themeColor="text1"/>
        </w:rPr>
        <w:t>按坏账计提方法分类披露</w:t>
      </w:r>
    </w:p>
    <w:sdt>
      <w:sdtPr>
        <w:rPr>
          <w:color w:val="000000" w:themeColor="text1"/>
        </w:rPr>
        <w:alias w:val="是否适用：按坏账计提方法分类披露[双击切换]"/>
        <w:tag w:val="_GBC_2d08b03d640f42d686453149be03e5d9"/>
        <w:id w:val="-7978299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3a181716dae64a57965330ae4ccab91e"/>
        <w:id w:val="-178872238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32014e1f5ab4f9da72dafc4dafe0723"/>
        <w:id w:val="160854126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555a40ceb7d348a0a16b652ac8e1178a"/>
        <w:id w:val="712854762"/>
        <w:placeholder>
          <w:docPart w:val="GBC22222222222222222222222222222"/>
        </w:placeholder>
      </w:sdtPr>
      <w:sdtEndPr/>
      <w:sdtContent>
        <w:p w:rsidR="000C5659" w:rsidRDefault="000E33C4">
          <w:pPr>
            <w:rPr>
              <w:color w:val="000000" w:themeColor="text1"/>
            </w:rPr>
          </w:pP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0C5659" w:rsidRDefault="000C5659">
      <w:pPr>
        <w:rPr>
          <w:rFonts w:ascii="Calibri" w:hAnsi="Calibri" w:cs="Times New Roman"/>
          <w:b/>
          <w:color w:val="000000" w:themeColor="text1"/>
          <w:szCs w:val="22"/>
        </w:rPr>
      </w:pPr>
    </w:p>
    <w:p w:rsidR="000C5659" w:rsidRDefault="000E33C4">
      <w:pPr>
        <w:rPr>
          <w:color w:val="000000" w:themeColor="text1"/>
        </w:rPr>
      </w:pPr>
      <w:bookmarkStart w:id="248" w:name="_Hlk10471933"/>
      <w:bookmarkEnd w:id="246"/>
      <w:bookmarkEnd w:id="247"/>
      <w:r>
        <w:rPr>
          <w:rFonts w:hint="eastAsia"/>
          <w:color w:val="000000" w:themeColor="text1"/>
        </w:rPr>
        <w:t>按预期信用损失一般模型计提坏账准备</w:t>
      </w:r>
      <w:r>
        <w:rPr>
          <w:color w:val="000000" w:themeColor="text1"/>
        </w:rPr>
        <w:t xml:space="preserve"> </w:t>
      </w:r>
    </w:p>
    <w:sdt>
      <w:sdtPr>
        <w:rPr>
          <w:color w:val="000000" w:themeColor="text1"/>
        </w:rPr>
        <w:alias w:val="是否适用：长期应收款坏账准备调节表[双击切换]"/>
        <w:tag w:val="_GBC_f7e4bed7dbb84fbcb52f2226cf465bb3"/>
        <w:id w:val="-11683394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63"/>
        </w:numPr>
        <w:rPr>
          <w:rFonts w:ascii="宋体" w:hAnsi="宋体"/>
          <w:color w:val="000000" w:themeColor="text1"/>
        </w:rPr>
      </w:pPr>
      <w:bookmarkStart w:id="249" w:name="_Hlk154131356"/>
      <w:bookmarkStart w:id="250" w:name="_Hlk167893254"/>
      <w:bookmarkStart w:id="251" w:name="_Hlk153457634"/>
      <w:bookmarkEnd w:id="248"/>
      <w:r>
        <w:rPr>
          <w:rFonts w:ascii="宋体" w:hAnsi="宋体" w:hint="eastAsia"/>
          <w:color w:val="000000" w:themeColor="text1"/>
        </w:rPr>
        <w:t>坏账准备的情况</w:t>
      </w:r>
    </w:p>
    <w:sdt>
      <w:sdtPr>
        <w:rPr>
          <w:color w:val="000000" w:themeColor="text1"/>
        </w:rPr>
        <w:alias w:val="是否适用：坏账准备情况[双击切换]"/>
        <w:tag w:val="_GBC_2514c3c2e0d44fce9a234c85b89eb697"/>
        <w:id w:val="822551691"/>
        <w:placeholder>
          <w:docPart w:val="GBC22222222222222222222222222222"/>
        </w:placeholder>
      </w:sdtPr>
      <w:sdtEndPr/>
      <w:sdtContent>
        <w:p w:rsidR="000C5659" w:rsidRDefault="000E33C4">
          <w:pPr>
            <w:pStyle w:val="Style197"/>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pStyle w:val="Style197"/>
        <w:rPr>
          <w:color w:val="000000" w:themeColor="text1"/>
        </w:rPr>
      </w:pPr>
    </w:p>
    <w:bookmarkEnd w:id="249"/>
    <w:p w:rsidR="000C5659" w:rsidRDefault="000E33C4">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a29d07e52de24827baca64b0af5687bb"/>
        <w:id w:val="81160602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坏账准备情况的说明"/>
        <w:tag w:val="_GBC_15f3ea2819374a1d81b14a1eed39f1ec"/>
        <w:id w:val="-52390765"/>
        <w:placeholder>
          <w:docPart w:val="GBC22222222222222222222222222222"/>
        </w:placeholder>
      </w:sdtPr>
      <w:sdtEndPr/>
      <w:sdtContent>
        <w:p w:rsidR="000C5659" w:rsidRDefault="000E33C4">
          <w:pPr>
            <w:ind w:rightChars="20" w:right="42"/>
            <w:rPr>
              <w:color w:val="000000" w:themeColor="text1"/>
            </w:rPr>
          </w:pPr>
          <w:r>
            <w:rPr>
              <w:rFonts w:hint="eastAsia"/>
              <w:color w:val="000000" w:themeColor="text1"/>
            </w:rPr>
            <w:t>无</w:t>
          </w:r>
        </w:p>
      </w:sdtContent>
    </w:sdt>
    <w:p w:rsidR="000C5659" w:rsidRDefault="000C5659">
      <w:pPr>
        <w:ind w:rightChars="-759" w:right="-1594"/>
        <w:rPr>
          <w:color w:val="000000" w:themeColor="text1"/>
        </w:rPr>
      </w:pPr>
    </w:p>
    <w:p w:rsidR="000C5659" w:rsidRDefault="000E33C4" w:rsidP="000743DD">
      <w:pPr>
        <w:pStyle w:val="43"/>
        <w:numPr>
          <w:ilvl w:val="0"/>
          <w:numId w:val="63"/>
        </w:numPr>
        <w:rPr>
          <w:rFonts w:ascii="宋体" w:hAnsi="宋体"/>
          <w:color w:val="000000" w:themeColor="text1"/>
        </w:rPr>
      </w:pPr>
      <w:r>
        <w:rPr>
          <w:rFonts w:ascii="宋体" w:hAnsi="宋体" w:hint="eastAsia"/>
          <w:color w:val="000000" w:themeColor="text1"/>
        </w:rPr>
        <w:t>本期实际核销的长期应收款情况</w:t>
      </w:r>
    </w:p>
    <w:sdt>
      <w:sdtPr>
        <w:rPr>
          <w:color w:val="000000" w:themeColor="text1"/>
        </w:rPr>
        <w:alias w:val="是否适用：实际核销的情况[双击切换]"/>
        <w:tag w:val="_GBC_447ec231ca8744e2a8f9b570dfecfd28"/>
        <w:id w:val="82216590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其中重要的长期应收款核销情况</w:t>
      </w:r>
    </w:p>
    <w:sdt>
      <w:sdtPr>
        <w:rPr>
          <w:rFonts w:hint="eastAsia"/>
          <w:color w:val="000000" w:themeColor="text1"/>
        </w:rPr>
        <w:alias w:val="是否适用：重要的核销情况[双击切换]"/>
        <w:tag w:val="_GBC_7e501e63ade7457987f62bf3d0dd5df5"/>
        <w:id w:val="-17079840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81ff204464594f45b7ea7b4c6b25a65c"/>
        <w:id w:val="-199502126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50"/>
    <w:bookmarkEnd w:id="251"/>
    <w:p w:rsidR="000C5659" w:rsidRDefault="000E33C4">
      <w:pPr>
        <w:rPr>
          <w:color w:val="000000" w:themeColor="text1"/>
        </w:rPr>
      </w:pPr>
      <w:r>
        <w:rPr>
          <w:rFonts w:hint="eastAsia"/>
          <w:color w:val="000000" w:themeColor="text1"/>
        </w:rPr>
        <w:lastRenderedPageBreak/>
        <w:t>其他说明：</w:t>
      </w:r>
    </w:p>
    <w:sdt>
      <w:sdtPr>
        <w:rPr>
          <w:rFonts w:hint="eastAsia"/>
          <w:color w:val="000000" w:themeColor="text1"/>
        </w:rPr>
        <w:alias w:val="是否适用：长期应收款的其他说明[双击切换]"/>
        <w:tag w:val="_GBC_a368edfbd60c44cdaed5299529b44fa0"/>
        <w:id w:val="13704847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sectPr w:rsidR="000C5659">
          <w:pgSz w:w="11906" w:h="16838"/>
          <w:pgMar w:top="1525" w:right="1276" w:bottom="1440" w:left="1797" w:header="856" w:footer="992" w:gutter="0"/>
          <w:cols w:space="425"/>
          <w:docGrid w:linePitch="312"/>
        </w:sectPr>
      </w:pPr>
    </w:p>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长期股权投资</w:t>
      </w:r>
    </w:p>
    <w:p w:rsidR="000C5659" w:rsidRDefault="000E33C4" w:rsidP="000743DD">
      <w:pPr>
        <w:pStyle w:val="43"/>
        <w:numPr>
          <w:ilvl w:val="0"/>
          <w:numId w:val="64"/>
        </w:numPr>
        <w:ind w:left="425" w:hanging="425"/>
        <w:rPr>
          <w:color w:val="000000" w:themeColor="text1"/>
        </w:rPr>
      </w:pPr>
      <w:r>
        <w:rPr>
          <w:rFonts w:hint="eastAsia"/>
          <w:color w:val="000000" w:themeColor="text1"/>
        </w:rPr>
        <w:t>长期股权投资情况</w:t>
      </w:r>
    </w:p>
    <w:p w:rsidR="000C5659" w:rsidRDefault="00220B84">
      <w:pPr>
        <w:rPr>
          <w:color w:val="000000" w:themeColor="text1"/>
        </w:rPr>
      </w:pPr>
      <w:sdt>
        <w:sdtPr>
          <w:rPr>
            <w:rFonts w:hint="eastAsia"/>
            <w:color w:val="000000" w:themeColor="text1"/>
          </w:rPr>
          <w:alias w:val="是否适用：长期股权投资[双击切换]"/>
          <w:tag w:val="_GBC_bafa2cb2262c4c4ebc4eed8f4e4a81c6"/>
          <w:id w:val="-391966137"/>
          <w:lock w:val="contentLocked"/>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E33C4">
      <w:pPr>
        <w:jc w:val="right"/>
        <w:rPr>
          <w:color w:val="000000" w:themeColor="text1"/>
        </w:rPr>
      </w:pPr>
      <w:bookmarkStart w:id="252" w:name="_Hlk106375234"/>
      <w:r>
        <w:rPr>
          <w:rFonts w:hint="eastAsia"/>
          <w:color w:val="000000" w:themeColor="text1"/>
        </w:rPr>
        <w:t>单位：</w:t>
      </w:r>
      <w:sdt>
        <w:sdtPr>
          <w:rPr>
            <w:rFonts w:hint="eastAsia"/>
            <w:color w:val="000000" w:themeColor="text1"/>
          </w:rPr>
          <w:alias w:val="单位：财务附注：长期股权投资"/>
          <w:tag w:val="_GBC_63e30834d38e49658bec9056bc38e4e2"/>
          <w:id w:val="-21410265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股权投资"/>
          <w:tag w:val="_GBC_f72bca6b250e484887289a819bc62e7d"/>
          <w:id w:val="9108148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722"/>
        <w:gridCol w:w="449"/>
        <w:gridCol w:w="566"/>
        <w:gridCol w:w="1702"/>
        <w:gridCol w:w="1486"/>
        <w:gridCol w:w="657"/>
        <w:gridCol w:w="1503"/>
        <w:gridCol w:w="668"/>
        <w:gridCol w:w="363"/>
        <w:gridCol w:w="1872"/>
        <w:gridCol w:w="1614"/>
      </w:tblGrid>
      <w:tr w:rsidR="000C5659" w:rsidTr="00BC4888">
        <w:sdt>
          <w:sdtPr>
            <w:rPr>
              <w:color w:val="000000" w:themeColor="text1"/>
            </w:rPr>
            <w:tag w:val="_PLD_9e3ff129c80540828097585bec2a274a"/>
            <w:id w:val="-44289589"/>
          </w:sdtPr>
          <w:sdtEnd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被投资单位</w:t>
                </w:r>
              </w:p>
            </w:tc>
          </w:sdtContent>
        </w:sdt>
        <w:sdt>
          <w:sdtPr>
            <w:rPr>
              <w:color w:val="000000" w:themeColor="text1"/>
            </w:rPr>
            <w:tag w:val="_PLD_1d8637e24bf6498db71869cd552b60a2"/>
            <w:id w:val="-1759982295"/>
          </w:sdtPr>
          <w:sdtEndPr/>
          <w:sdtContent>
            <w:tc>
              <w:tcPr>
                <w:tcW w:w="621"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期初</w:t>
                </w:r>
              </w:p>
              <w:p w:rsidR="000C5659" w:rsidRDefault="000E33C4">
                <w:pPr>
                  <w:jc w:val="center"/>
                  <w:rPr>
                    <w:color w:val="000000" w:themeColor="text1"/>
                  </w:rPr>
                </w:pPr>
                <w:r>
                  <w:rPr>
                    <w:rFonts w:hint="eastAsia"/>
                    <w:color w:val="000000" w:themeColor="text1"/>
                  </w:rPr>
                  <w:t>余额</w:t>
                </w:r>
              </w:p>
            </w:tc>
          </w:sdtContent>
        </w:sdt>
        <w:sdt>
          <w:sdtPr>
            <w:rPr>
              <w:color w:val="000000" w:themeColor="text1"/>
            </w:rPr>
            <w:tag w:val="_PLD_edc952101e7b4fa483f7289f9b74dfdf"/>
            <w:id w:val="359631555"/>
          </w:sdtPr>
          <w:sdtEndPr/>
          <w:sdtContent>
            <w:tc>
              <w:tcPr>
                <w:tcW w:w="266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本期增减变动</w:t>
                </w:r>
              </w:p>
            </w:tc>
          </w:sdtContent>
        </w:sdt>
        <w:sdt>
          <w:sdtPr>
            <w:rPr>
              <w:color w:val="000000" w:themeColor="text1"/>
            </w:rPr>
            <w:tag w:val="_PLD_44cfcec128d9419fba83c50966e49235"/>
            <w:id w:val="-1173258060"/>
          </w:sdtPr>
          <w:sdtEndPr/>
          <w:sdtContent>
            <w:tc>
              <w:tcPr>
                <w:tcW w:w="675"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期末</w:t>
                </w:r>
              </w:p>
              <w:p w:rsidR="000C5659" w:rsidRDefault="000E33C4">
                <w:pPr>
                  <w:jc w:val="center"/>
                  <w:rPr>
                    <w:color w:val="000000" w:themeColor="text1"/>
                  </w:rPr>
                </w:pPr>
                <w:r>
                  <w:rPr>
                    <w:rFonts w:hint="eastAsia"/>
                    <w:color w:val="000000" w:themeColor="text1"/>
                  </w:rPr>
                  <w:t>余额</w:t>
                </w:r>
              </w:p>
            </w:tc>
          </w:sdtContent>
        </w:sdt>
        <w:sdt>
          <w:sdtPr>
            <w:rPr>
              <w:color w:val="000000" w:themeColor="text1"/>
            </w:rPr>
            <w:tag w:val="_PLD_34a3cc0844264226a50c84165c09bb9a"/>
            <w:id w:val="-740481697"/>
          </w:sdtPr>
          <w:sdtEndPr/>
          <w:sdtContent>
            <w:tc>
              <w:tcPr>
                <w:tcW w:w="582"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减值准备期末余额</w:t>
                </w:r>
              </w:p>
            </w:tc>
          </w:sdtContent>
        </w:sdt>
      </w:tr>
      <w:tr w:rsidR="000C5659" w:rsidTr="00BC4888">
        <w:tc>
          <w:tcPr>
            <w:tcW w:w="455"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tc>
          <w:tcPr>
            <w:tcW w:w="621"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sdt>
          <w:sdtPr>
            <w:rPr>
              <w:color w:val="000000" w:themeColor="text1"/>
            </w:rPr>
            <w:tag w:val="_PLD_f88446e104b7482db6830a46769bd8f6"/>
            <w:id w:val="228112831"/>
          </w:sdtPr>
          <w:sdtEndPr/>
          <w:sdtContent>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追加投资</w:t>
                </w:r>
              </w:p>
            </w:tc>
          </w:sdtContent>
        </w:sdt>
        <w:sdt>
          <w:sdtPr>
            <w:rPr>
              <w:color w:val="000000" w:themeColor="text1"/>
            </w:rPr>
            <w:tag w:val="_PLD_dc0d6646fb2e45ba8e5e07f2c6954c9f"/>
            <w:id w:val="690799187"/>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减少投资</w:t>
                </w:r>
              </w:p>
            </w:tc>
          </w:sdtContent>
        </w:sdt>
        <w:sdt>
          <w:sdtPr>
            <w:rPr>
              <w:color w:val="000000" w:themeColor="text1"/>
            </w:rPr>
            <w:tag w:val="_PLD_098d9fcf9d5341879d534aa385508f23"/>
            <w:id w:val="1407953234"/>
          </w:sdtPr>
          <w:sdtEndPr/>
          <w:sdtContent>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权益法下确认的投资损益</w:t>
                </w:r>
              </w:p>
            </w:tc>
          </w:sdtContent>
        </w:sdt>
        <w:sdt>
          <w:sdtPr>
            <w:rPr>
              <w:color w:val="000000" w:themeColor="text1"/>
            </w:rPr>
            <w:tag w:val="_PLD_b66787b3a51d435899d94dbab1edade7"/>
            <w:id w:val="364875536"/>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其他综合收益调整</w:t>
                </w:r>
              </w:p>
            </w:tc>
          </w:sdtContent>
        </w:sdt>
        <w:sdt>
          <w:sdtPr>
            <w:rPr>
              <w:color w:val="000000" w:themeColor="text1"/>
            </w:rPr>
            <w:tag w:val="_PLD_59166394bf7143a6a5ce0d447326b1ac"/>
            <w:id w:val="-1513227575"/>
          </w:sdtPr>
          <w:sdtEndPr/>
          <w:sdtContent>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其他权益变动</w:t>
                </w:r>
              </w:p>
            </w:tc>
          </w:sdtContent>
        </w:sdt>
        <w:sdt>
          <w:sdtPr>
            <w:rPr>
              <w:color w:val="000000" w:themeColor="text1"/>
            </w:rPr>
            <w:tag w:val="_PLD_cbd4cf48730a4934a58b86d2c27b6b08"/>
            <w:id w:val="1554037335"/>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宣告发放现金股利或利润</w:t>
                </w:r>
              </w:p>
            </w:tc>
          </w:sdtContent>
        </w:sdt>
        <w:sdt>
          <w:sdtPr>
            <w:rPr>
              <w:color w:val="000000" w:themeColor="text1"/>
            </w:rPr>
            <w:tag w:val="_PLD_4c0a72e8e14d4b319998bc5bde635ef0"/>
            <w:id w:val="133071392"/>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计提减值准备</w:t>
                </w:r>
              </w:p>
            </w:tc>
          </w:sdtContent>
        </w:sdt>
        <w:sdt>
          <w:sdtPr>
            <w:rPr>
              <w:color w:val="000000" w:themeColor="text1"/>
            </w:rPr>
            <w:tag w:val="_PLD_ea8213b5ee1442f98996b6dfc1f9a9a4"/>
            <w:id w:val="1915589935"/>
          </w:sdtPr>
          <w:sdtEndPr/>
          <w:sdtContent>
            <w:tc>
              <w:tcPr>
                <w:tcW w:w="13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其他</w:t>
                </w:r>
              </w:p>
            </w:tc>
          </w:sdtContent>
        </w:sdt>
        <w:tc>
          <w:tcPr>
            <w:tcW w:w="675" w:type="pct"/>
            <w:vMerge/>
            <w:tcBorders>
              <w:left w:val="single" w:sz="4" w:space="0" w:color="auto"/>
              <w:bottom w:val="single" w:sz="4" w:space="0" w:color="auto"/>
              <w:right w:val="single" w:sz="4" w:space="0" w:color="auto"/>
            </w:tcBorders>
            <w:shd w:val="clear" w:color="auto" w:fill="auto"/>
            <w:vAlign w:val="center"/>
          </w:tcPr>
          <w:p w:rsidR="000C5659" w:rsidRDefault="000C5659">
            <w:pPr>
              <w:jc w:val="center"/>
              <w:rPr>
                <w:color w:val="000000" w:themeColor="text1"/>
              </w:rPr>
            </w:pPr>
          </w:p>
        </w:tc>
        <w:tc>
          <w:tcPr>
            <w:tcW w:w="582" w:type="pct"/>
            <w:vMerge/>
            <w:tcBorders>
              <w:left w:val="single" w:sz="4" w:space="0" w:color="auto"/>
              <w:bottom w:val="single" w:sz="4" w:space="0" w:color="auto"/>
              <w:right w:val="single" w:sz="4" w:space="0" w:color="auto"/>
            </w:tcBorders>
            <w:shd w:val="clear" w:color="auto" w:fill="auto"/>
            <w:vAlign w:val="center"/>
          </w:tcPr>
          <w:p w:rsidR="000C5659" w:rsidRDefault="000C5659">
            <w:pPr>
              <w:jc w:val="center"/>
              <w:rPr>
                <w:color w:val="000000" w:themeColor="text1"/>
              </w:rPr>
            </w:pPr>
          </w:p>
        </w:tc>
      </w:tr>
      <w:tr w:rsidR="000C5659">
        <w:sdt>
          <w:sdtPr>
            <w:rPr>
              <w:color w:val="000000" w:themeColor="text1"/>
            </w:rPr>
            <w:tag w:val="_PLD_8204b6b48bf546e3af5babc667d4c84c"/>
            <w:id w:val="-1769770627"/>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一、合营企业</w:t>
                </w:r>
              </w:p>
            </w:tc>
          </w:sdtContent>
        </w:sdt>
      </w:tr>
      <w:tr w:rsidR="000C5659" w:rsidTr="00BC4888">
        <w:tc>
          <w:tcPr>
            <w:tcW w:w="45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rPr>
                <w:color w:val="000000" w:themeColor="text1"/>
              </w:rPr>
            </w:pPr>
            <w:r>
              <w:rPr>
                <w:rFonts w:hint="eastAsia"/>
                <w:color w:val="000000" w:themeColor="text1"/>
              </w:rPr>
              <w:t>小计</w:t>
            </w:r>
          </w:p>
        </w:tc>
        <w:tc>
          <w:tcPr>
            <w:tcW w:w="62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r w:rsidR="000C5659">
        <w:sdt>
          <w:sdtPr>
            <w:rPr>
              <w:color w:val="000000" w:themeColor="text1"/>
            </w:rPr>
            <w:tag w:val="_PLD_0b6a8ff5b8594d3fa9d53755249b815f"/>
            <w:id w:val="515510898"/>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rPr>
                    <w:color w:val="000000" w:themeColor="text1"/>
                  </w:rPr>
                </w:pPr>
                <w:r>
                  <w:rPr>
                    <w:rFonts w:hint="eastAsia"/>
                    <w:color w:val="000000" w:themeColor="text1"/>
                  </w:rPr>
                  <w:t>二、联营企业</w:t>
                </w:r>
              </w:p>
            </w:tc>
          </w:sdtContent>
        </w:sdt>
      </w:tr>
      <w:tr w:rsidR="000C5659" w:rsidTr="00BC4888">
        <w:tc>
          <w:tcPr>
            <w:tcW w:w="45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pPr>
            <w:r>
              <w:t>江苏扬州农村商业银行股份有限公司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106,281,648.42</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6,655,939.82</w:t>
            </w: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911,143.30</w:t>
            </w: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-758,791.98</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113,089,939.56</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r w:rsidR="000C5659" w:rsidTr="00BC4888">
        <w:tc>
          <w:tcPr>
            <w:tcW w:w="45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pPr>
            <w:r>
              <w:t>薇美姿实业（广东）股份有限公司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827,835,160.10</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-21,745,971.05</w:t>
            </w: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806,089,189.05</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50,323,015.20</w:t>
            </w:r>
          </w:p>
        </w:tc>
      </w:tr>
      <w:tr w:rsidR="000C5659" w:rsidTr="00BC4888">
        <w:tc>
          <w:tcPr>
            <w:tcW w:w="45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rPr>
                <w:color w:val="000000" w:themeColor="text1"/>
              </w:rPr>
            </w:pPr>
            <w:r>
              <w:rPr>
                <w:rFonts w:hint="eastAsia"/>
                <w:color w:val="000000" w:themeColor="text1"/>
              </w:rPr>
              <w:t>小计</w:t>
            </w:r>
          </w:p>
        </w:tc>
        <w:tc>
          <w:tcPr>
            <w:tcW w:w="621"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934,116,808.52</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-15,090,031.23</w:t>
            </w: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911,143.30</w:t>
            </w: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-758,791.98</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919,179,128.61</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50,323,015.20</w:t>
            </w:r>
          </w:p>
        </w:tc>
      </w:tr>
      <w:tr w:rsidR="000C5659" w:rsidTr="00BC4888">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621"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934,116,808.52</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-15,090,031.23</w:t>
            </w: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911,143.30</w:t>
            </w: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-758,791.98</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919,179,128.61</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50,323,015.20</w:t>
            </w:r>
          </w:p>
        </w:tc>
      </w:tr>
    </w:tbl>
    <w:p w:rsidR="000C5659" w:rsidRDefault="000C5659">
      <w:pPr>
        <w:pStyle w:val="Style325"/>
      </w:pPr>
    </w:p>
    <w:p w:rsidR="000C5659" w:rsidRDefault="000C5659">
      <w:pPr>
        <w:pStyle w:val="Style325"/>
        <w:sectPr w:rsidR="000C5659">
          <w:pgSz w:w="16838" w:h="11906" w:orient="landscape"/>
          <w:pgMar w:top="1797" w:right="1525" w:bottom="1276" w:left="1440" w:header="856" w:footer="992" w:gutter="0"/>
          <w:cols w:space="425"/>
          <w:docGrid w:linePitch="312"/>
        </w:sectPr>
      </w:pPr>
    </w:p>
    <w:p w:rsidR="000C5659" w:rsidRDefault="000E33C4" w:rsidP="000743DD">
      <w:pPr>
        <w:pStyle w:val="43"/>
        <w:numPr>
          <w:ilvl w:val="0"/>
          <w:numId w:val="64"/>
        </w:numPr>
        <w:ind w:left="425" w:hanging="425"/>
        <w:rPr>
          <w:color w:val="000000" w:themeColor="text1"/>
        </w:rPr>
      </w:pPr>
      <w:bookmarkStart w:id="253" w:name="_Hlk167893542"/>
      <w:bookmarkStart w:id="254" w:name="_Hlk169008665"/>
      <w:bookmarkEnd w:id="252"/>
      <w:r>
        <w:rPr>
          <w:rFonts w:hint="eastAsia"/>
          <w:color w:val="000000" w:themeColor="text1"/>
        </w:rPr>
        <w:lastRenderedPageBreak/>
        <w:t>长期股权投资的减值测试情况</w:t>
      </w:r>
    </w:p>
    <w:sdt>
      <w:sdtPr>
        <w:rPr>
          <w:color w:val="000000" w:themeColor="text1"/>
        </w:rPr>
        <w:alias w:val="是否适用：减值测试情况[双击切换]"/>
        <w:tag w:val="_GBC_c736c8a0ce06478bb4d52ef30b7043c8"/>
        <w:id w:val="-604810939"/>
        <w:placeholder>
          <w:docPart w:val="GBC22222222222222222222222222222"/>
        </w:placeholder>
      </w:sdtPr>
      <w:sdtEndPr/>
      <w:sdtContent>
        <w:p w:rsidR="000C5659" w:rsidRDefault="000E33C4">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bookmarkStart w:id="255" w:name="_Hlk167893618"/>
      <w:bookmarkEnd w:id="253"/>
      <w:r>
        <w:rPr>
          <w:rFonts w:hint="eastAsia"/>
          <w:color w:val="000000" w:themeColor="text1"/>
        </w:rPr>
        <w:t>其他说明</w:t>
      </w:r>
    </w:p>
    <w:p w:rsidR="000C5659" w:rsidRDefault="000E33C4">
      <w:pPr>
        <w:snapToGrid w:val="0"/>
        <w:spacing w:line="240" w:lineRule="atLeast"/>
        <w:rPr>
          <w:color w:val="000000" w:themeColor="text1"/>
        </w:rPr>
      </w:pPr>
      <w:r>
        <w:rPr>
          <w:rFonts w:hint="eastAsia"/>
          <w:color w:val="000000" w:themeColor="text1"/>
        </w:rPr>
        <w:t>无</w:t>
      </w:r>
    </w:p>
    <w:bookmarkEnd w:id="254"/>
    <w:bookmarkEnd w:id="255"/>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256" w:name="_Hlk533409702"/>
      <w:bookmarkStart w:id="257" w:name="_Hlk152858292"/>
      <w:bookmarkStart w:id="258" w:name="_Hlk167895169"/>
      <w:r>
        <w:rPr>
          <w:color w:val="000000" w:themeColor="text1"/>
          <w:szCs w:val="21"/>
        </w:rPr>
        <w:t>其他权益工具投资</w:t>
      </w:r>
    </w:p>
    <w:p w:rsidR="000C5659" w:rsidRDefault="000E33C4" w:rsidP="000743DD">
      <w:pPr>
        <w:pStyle w:val="43"/>
        <w:numPr>
          <w:ilvl w:val="3"/>
          <w:numId w:val="65"/>
        </w:numPr>
        <w:ind w:left="426" w:hanging="426"/>
        <w:rPr>
          <w:color w:val="000000" w:themeColor="text1"/>
        </w:rPr>
      </w:pPr>
      <w:bookmarkStart w:id="259" w:name="_Hlk532994936"/>
      <w:r>
        <w:rPr>
          <w:rFonts w:hint="eastAsia"/>
          <w:color w:val="000000" w:themeColor="text1"/>
        </w:rPr>
        <w:t>其他权益工具投资情况</w:t>
      </w:r>
    </w:p>
    <w:sdt>
      <w:sdtPr>
        <w:rPr>
          <w:color w:val="000000" w:themeColor="text1"/>
        </w:rPr>
        <w:alias w:val="是否适用：其他权益工具投资情况[双击切换]"/>
        <w:tag w:val="_GBC_ac87b47cf70d4820a1189b53bf53af73"/>
        <w:id w:val="-2146730270"/>
        <w:placeholder>
          <w:docPart w:val="GBC22222222222222222222222222222"/>
        </w:placeholder>
      </w:sdtPr>
      <w:sdtEndPr/>
      <w:sdtContent>
        <w:p w:rsidR="000C5659" w:rsidRDefault="000E33C4">
          <w:pPr>
            <w:pStyle w:val="Style208"/>
            <w:ind w:firstLineChars="0" w:firstLine="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56"/>
    <w:bookmarkEnd w:id="259"/>
    <w:p w:rsidR="000C5659" w:rsidRDefault="000C5659">
      <w:pPr>
        <w:pStyle w:val="Style175"/>
      </w:pPr>
    </w:p>
    <w:bookmarkEnd w:id="257"/>
    <w:p w:rsidR="000C5659" w:rsidRDefault="000E33C4" w:rsidP="000743DD">
      <w:pPr>
        <w:pStyle w:val="43"/>
        <w:numPr>
          <w:ilvl w:val="3"/>
          <w:numId w:val="65"/>
        </w:numPr>
        <w:ind w:left="426" w:hanging="426"/>
        <w:rPr>
          <w:color w:val="000000" w:themeColor="text1"/>
        </w:rPr>
      </w:pPr>
      <w:r>
        <w:rPr>
          <w:rFonts w:hint="eastAsia"/>
          <w:color w:val="000000" w:themeColor="text1"/>
        </w:rPr>
        <w:t>本期存在终止确认的情况说明</w:t>
      </w:r>
    </w:p>
    <w:sdt>
      <w:sdtPr>
        <w:rPr>
          <w:color w:val="000000" w:themeColor="text1"/>
        </w:rPr>
        <w:alias w:val="是否适用：本期存在终止确认的情况说明[双击切换]"/>
        <w:tag w:val="_GBC_db77b2aaae65441d940bf2dc3b0e8b9b"/>
        <w:id w:val="102245291"/>
        <w:placeholder>
          <w:docPart w:val="GBC22222222222222222222222222222"/>
        </w:placeholder>
      </w:sdtPr>
      <w:sdtEndPr/>
      <w:sdtContent>
        <w:p w:rsidR="000C5659" w:rsidRDefault="000E33C4">
          <w:pPr>
            <w:pStyle w:val="Style175"/>
            <w:ind w:firstLineChars="0" w:firstLine="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58"/>
    <w:p w:rsidR="000C5659" w:rsidRDefault="000C5659">
      <w:pPr>
        <w:rPr>
          <w:color w:val="000000" w:themeColor="text1"/>
        </w:rPr>
      </w:pPr>
    </w:p>
    <w:p w:rsidR="000C5659" w:rsidRDefault="000E33C4">
      <w:pPr>
        <w:rPr>
          <w:color w:val="000000" w:themeColor="text1"/>
        </w:rPr>
      </w:pPr>
      <w:bookmarkStart w:id="260" w:name="_Hlk10472110"/>
      <w:bookmarkStart w:id="261" w:name="_Hlk10472118"/>
      <w:r>
        <w:rPr>
          <w:rFonts w:hint="eastAsia"/>
          <w:color w:val="000000" w:themeColor="text1"/>
        </w:rPr>
        <w:t>其他</w:t>
      </w:r>
      <w:r>
        <w:rPr>
          <w:color w:val="000000" w:themeColor="text1"/>
        </w:rPr>
        <w:t>说明</w:t>
      </w:r>
      <w:r>
        <w:rPr>
          <w:rFonts w:hint="eastAsia"/>
          <w:color w:val="000000" w:themeColor="text1"/>
        </w:rPr>
        <w:t>：</w:t>
      </w:r>
      <w:bookmarkEnd w:id="260"/>
    </w:p>
    <w:sdt>
      <w:sdtPr>
        <w:rPr>
          <w:color w:val="000000" w:themeColor="text1"/>
        </w:rPr>
        <w:alias w:val="是否适用：其他权益工具投资其他说明[双击切换]"/>
        <w:tag w:val="_GBC_9bd79d8d324a4f4c984344781e18ee35"/>
        <w:id w:val="-1800446335"/>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61"/>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262" w:name="_Hlk10472259"/>
      <w:r>
        <w:rPr>
          <w:color w:val="000000" w:themeColor="text1"/>
          <w:szCs w:val="21"/>
        </w:rPr>
        <w:t>其他非流动金融资产</w:t>
      </w:r>
    </w:p>
    <w:sdt>
      <w:sdtPr>
        <w:rPr>
          <w:color w:val="000000" w:themeColor="text1"/>
        </w:rPr>
        <w:alias w:val="是否适用：其他非流动金融资产[双击切换]"/>
        <w:tag w:val="_GBC_39a16d6030db4b008bd8e70705c49dd5"/>
        <w:id w:val="-4716814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ind w:left="420" w:firstLineChars="0" w:firstLine="0"/>
        <w:jc w:val="right"/>
        <w:rPr>
          <w:rFonts w:ascii="宋体" w:hAnsi="宋体"/>
          <w:color w:val="000000" w:themeColor="text1"/>
        </w:rPr>
      </w:pPr>
      <w:r>
        <w:rPr>
          <w:rFonts w:ascii="宋体" w:hAnsi="宋体" w:hint="eastAsia"/>
          <w:color w:val="000000" w:themeColor="text1"/>
        </w:rPr>
        <w:t>单位：</w:t>
      </w:r>
      <w:sdt>
        <w:sdtPr>
          <w:rPr>
            <w:rFonts w:ascii="宋体" w:hAnsi="宋体" w:hint="eastAsia"/>
            <w:color w:val="000000" w:themeColor="text1"/>
          </w:rPr>
          <w:alias w:val="单位：其他非流动金融资产"/>
          <w:tag w:val="_GBC_5b71e344ee4a4b75b4e1ad6a64a64951"/>
          <w:id w:val="-2241435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rPr>
            <w:t>元</w:t>
          </w:r>
        </w:sdtContent>
      </w:sdt>
      <w:r>
        <w:rPr>
          <w:rFonts w:ascii="宋体" w:hAnsi="宋体" w:hint="eastAsia"/>
          <w:color w:val="000000" w:themeColor="text1"/>
        </w:rPr>
        <w:t xml:space="preserve">  币种：</w:t>
      </w:r>
      <w:sdt>
        <w:sdtPr>
          <w:rPr>
            <w:rFonts w:ascii="宋体" w:hAnsi="宋体" w:hint="eastAsia"/>
            <w:color w:val="000000" w:themeColor="text1"/>
          </w:rPr>
          <w:alias w:val="币种：其他非流动金融资产"/>
          <w:tag w:val="_GBC_328ac62ac4c04ba5a240d189e78801d2"/>
          <w:id w:val="-5761339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0C5659">
        <w:sdt>
          <w:sdtPr>
            <w:rPr>
              <w:color w:val="000000" w:themeColor="text1"/>
            </w:rPr>
            <w:tag w:val="_PLD_368e897e0b6d4c33891110578462f85a"/>
            <w:id w:val="1450433854"/>
          </w:sdtPr>
          <w:sdtEndPr/>
          <w:sdtContent>
            <w:tc>
              <w:tcPr>
                <w:tcW w:w="2017"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1b9292064fbf4f529dddfa8a709ecb23"/>
            <w:id w:val="188186176"/>
          </w:sdtPr>
          <w:sdtEndPr/>
          <w:sdtContent>
            <w:tc>
              <w:tcPr>
                <w:tcW w:w="1485" w:type="pct"/>
                <w:tcBorders>
                  <w:bottom w:val="single" w:sz="6" w:space="0" w:color="auto"/>
                </w:tcBorders>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eb417a8c21ba4afd967834600316003d"/>
            <w:id w:val="-1316331248"/>
          </w:sdtPr>
          <w:sdtEndPr/>
          <w:sdtContent>
            <w:tc>
              <w:tcPr>
                <w:tcW w:w="1498"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0C5659">
        <w:tc>
          <w:tcPr>
            <w:tcW w:w="2017" w:type="pct"/>
            <w:shd w:val="clear" w:color="auto" w:fill="auto"/>
            <w:vAlign w:val="center"/>
          </w:tcPr>
          <w:p w:rsidR="000C5659" w:rsidRDefault="000E33C4">
            <w:pPr>
              <w:pStyle w:val="Style325"/>
            </w:pPr>
            <w:r>
              <w:t>以公允价值计量且其变动计入当期损益的金融资产</w:t>
            </w:r>
          </w:p>
        </w:tc>
        <w:tc>
          <w:tcPr>
            <w:tcW w:w="1485" w:type="pct"/>
            <w:tcBorders>
              <w:top w:val="single" w:sz="6" w:space="0" w:color="auto"/>
              <w:bottom w:val="single" w:sz="6" w:space="0" w:color="auto"/>
            </w:tcBorders>
            <w:shd w:val="clear" w:color="auto" w:fill="auto"/>
          </w:tcPr>
          <w:p w:rsidR="000C5659" w:rsidRDefault="000E33C4">
            <w:pPr>
              <w:jc w:val="right"/>
            </w:pPr>
            <w:r>
              <w:rPr>
                <w:rFonts w:hint="eastAsia"/>
              </w:rPr>
              <w:t>56,411,382.64</w:t>
            </w:r>
          </w:p>
        </w:tc>
        <w:tc>
          <w:tcPr>
            <w:tcW w:w="1498" w:type="pct"/>
            <w:shd w:val="clear" w:color="auto" w:fill="auto"/>
          </w:tcPr>
          <w:p w:rsidR="000C5659" w:rsidRDefault="000E33C4">
            <w:pPr>
              <w:jc w:val="right"/>
            </w:pPr>
            <w:r>
              <w:t>49,782,181.47</w:t>
            </w:r>
          </w:p>
        </w:tc>
      </w:tr>
      <w:tr w:rsidR="000C5659">
        <w:tc>
          <w:tcPr>
            <w:tcW w:w="2017" w:type="pct"/>
            <w:shd w:val="clear" w:color="auto" w:fill="auto"/>
            <w:vAlign w:val="center"/>
          </w:tcPr>
          <w:p w:rsidR="000C5659" w:rsidRDefault="000E33C4">
            <w:pPr>
              <w:pStyle w:val="Style325"/>
            </w:pPr>
            <w:r>
              <w:t>其中：权益工具投资</w:t>
            </w:r>
          </w:p>
        </w:tc>
        <w:tc>
          <w:tcPr>
            <w:tcW w:w="1485" w:type="pct"/>
            <w:tcBorders>
              <w:top w:val="single" w:sz="6" w:space="0" w:color="auto"/>
              <w:bottom w:val="single" w:sz="6" w:space="0" w:color="auto"/>
            </w:tcBorders>
            <w:shd w:val="clear" w:color="auto" w:fill="auto"/>
          </w:tcPr>
          <w:p w:rsidR="000C5659" w:rsidRDefault="000E33C4">
            <w:pPr>
              <w:jc w:val="right"/>
            </w:pPr>
            <w:r>
              <w:rPr>
                <w:rFonts w:hint="eastAsia"/>
              </w:rPr>
              <w:t>56,411,382.64</w:t>
            </w:r>
          </w:p>
        </w:tc>
        <w:tc>
          <w:tcPr>
            <w:tcW w:w="1498" w:type="pct"/>
            <w:shd w:val="clear" w:color="auto" w:fill="auto"/>
          </w:tcPr>
          <w:p w:rsidR="000C5659" w:rsidRDefault="000E33C4">
            <w:pPr>
              <w:jc w:val="right"/>
            </w:pPr>
            <w:r>
              <w:t>49,782,181.47</w:t>
            </w:r>
          </w:p>
        </w:tc>
      </w:tr>
      <w:tr w:rsidR="000C5659">
        <w:tc>
          <w:tcPr>
            <w:tcW w:w="2017" w:type="pct"/>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1485" w:type="pct"/>
            <w:tcBorders>
              <w:top w:val="single" w:sz="6" w:space="0" w:color="auto"/>
              <w:bottom w:val="single" w:sz="4" w:space="0" w:color="auto"/>
            </w:tcBorders>
            <w:shd w:val="clear" w:color="auto" w:fill="auto"/>
          </w:tcPr>
          <w:p w:rsidR="000C5659" w:rsidRDefault="000E33C4">
            <w:pPr>
              <w:jc w:val="right"/>
            </w:pPr>
            <w:r>
              <w:rPr>
                <w:rFonts w:hint="eastAsia"/>
              </w:rPr>
              <w:t>56,411,382.64</w:t>
            </w:r>
          </w:p>
        </w:tc>
        <w:tc>
          <w:tcPr>
            <w:tcW w:w="1498" w:type="pct"/>
            <w:shd w:val="clear" w:color="auto" w:fill="auto"/>
          </w:tcPr>
          <w:p w:rsidR="000C5659" w:rsidRDefault="000E33C4">
            <w:pPr>
              <w:jc w:val="right"/>
            </w:pPr>
            <w:r>
              <w:t>49,782,181.47</w:t>
            </w:r>
          </w:p>
        </w:tc>
      </w:tr>
    </w:tbl>
    <w:p w:rsidR="000C5659" w:rsidRDefault="000C5659">
      <w:pPr>
        <w:pStyle w:val="Style325"/>
      </w:pPr>
    </w:p>
    <w:p w:rsidR="000C5659" w:rsidRDefault="000E33C4">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其他非流动金融资产其他说明"/>
        <w:tag w:val="_GBC_37b8dcc3b7224862a4fd92cb9cb0847a"/>
        <w:id w:val="-120307387"/>
        <w:placeholder>
          <w:docPart w:val="GBC22222222222222222222222222222"/>
        </w:placeholder>
      </w:sdtPr>
      <w:sdtEndPr/>
      <w:sdtContent>
        <w:p w:rsidR="000C5659" w:rsidRDefault="000E33C4">
          <w:pPr>
            <w:snapToGrid w:val="0"/>
            <w:spacing w:line="240" w:lineRule="atLeast"/>
            <w:rPr>
              <w:color w:val="000000" w:themeColor="text1"/>
            </w:rPr>
          </w:pPr>
          <w:r>
            <w:rPr>
              <w:rFonts w:hint="eastAsia"/>
              <w:color w:val="000000" w:themeColor="text1"/>
            </w:rPr>
            <w:t>无</w:t>
          </w:r>
        </w:p>
      </w:sdtContent>
    </w:sdt>
    <w:p w:rsidR="000C5659" w:rsidRDefault="000C5659">
      <w:pPr>
        <w:rPr>
          <w:color w:val="000000" w:themeColor="text1"/>
        </w:rPr>
      </w:pPr>
    </w:p>
    <w:bookmarkEnd w:id="262"/>
    <w:p w:rsidR="000C5659" w:rsidRDefault="000E33C4" w:rsidP="000743DD">
      <w:pPr>
        <w:pStyle w:val="35"/>
        <w:numPr>
          <w:ilvl w:val="0"/>
          <w:numId w:val="50"/>
        </w:numPr>
        <w:rPr>
          <w:color w:val="000000" w:themeColor="text1"/>
          <w:szCs w:val="21"/>
        </w:rPr>
      </w:pPr>
      <w:r>
        <w:rPr>
          <w:color w:val="000000" w:themeColor="text1"/>
          <w:szCs w:val="21"/>
        </w:rPr>
        <w:t>投资性房地产</w:t>
      </w:r>
    </w:p>
    <w:p w:rsidR="000C5659" w:rsidRDefault="000E33C4">
      <w:pPr>
        <w:rPr>
          <w:color w:val="000000" w:themeColor="text1"/>
        </w:rPr>
      </w:pPr>
      <w:r>
        <w:rPr>
          <w:color w:val="000000" w:themeColor="text1"/>
        </w:rPr>
        <w:t>投资性房地产</w:t>
      </w:r>
      <w:r>
        <w:rPr>
          <w:rFonts w:hint="eastAsia"/>
          <w:color w:val="000000" w:themeColor="text1"/>
        </w:rPr>
        <w:t>计量模式</w:t>
      </w:r>
    </w:p>
    <w:p w:rsidR="000C5659" w:rsidRDefault="000E33C4" w:rsidP="000743DD">
      <w:pPr>
        <w:pStyle w:val="43"/>
        <w:numPr>
          <w:ilvl w:val="0"/>
          <w:numId w:val="66"/>
        </w:numPr>
        <w:tabs>
          <w:tab w:val="left" w:pos="616"/>
        </w:tabs>
        <w:rPr>
          <w:rFonts w:ascii="宋体" w:hAnsi="宋体"/>
          <w:color w:val="000000" w:themeColor="text1"/>
          <w:szCs w:val="21"/>
        </w:rPr>
      </w:pPr>
      <w:r>
        <w:rPr>
          <w:rFonts w:ascii="宋体" w:hAnsi="宋体" w:hint="eastAsia"/>
          <w:color w:val="000000" w:themeColor="text1"/>
          <w:szCs w:val="21"/>
        </w:rPr>
        <w:t>采用成本计量模式的投资性房地产</w:t>
      </w:r>
    </w:p>
    <w:p w:rsidR="000C5659" w:rsidRDefault="000E33C4">
      <w:pPr>
        <w:ind w:firstLineChars="400" w:firstLine="840"/>
        <w:rPr>
          <w:color w:val="000000" w:themeColor="text1"/>
        </w:rPr>
      </w:pPr>
      <w:r>
        <w:rPr>
          <w:rFonts w:hint="eastAsia"/>
          <w:color w:val="000000" w:themeColor="text1"/>
        </w:rPr>
        <w:t>不适用</w:t>
      </w:r>
    </w:p>
    <w:p w:rsidR="000C5659" w:rsidRDefault="000E33C4" w:rsidP="000743DD">
      <w:pPr>
        <w:pStyle w:val="43"/>
        <w:numPr>
          <w:ilvl w:val="0"/>
          <w:numId w:val="66"/>
        </w:numPr>
        <w:tabs>
          <w:tab w:val="left" w:pos="616"/>
        </w:tabs>
        <w:rPr>
          <w:rFonts w:ascii="宋体" w:hAnsi="宋体"/>
          <w:color w:val="000000" w:themeColor="text1"/>
          <w:szCs w:val="21"/>
        </w:rPr>
      </w:pPr>
      <w:r>
        <w:rPr>
          <w:rFonts w:ascii="宋体" w:hAnsi="宋体" w:hint="eastAsia"/>
          <w:color w:val="000000" w:themeColor="text1"/>
          <w:szCs w:val="21"/>
        </w:rPr>
        <w:t>未办妥产权证书的投资性房地产情况：</w:t>
      </w:r>
    </w:p>
    <w:p w:rsidR="000C5659" w:rsidRDefault="00220B84">
      <w:pPr>
        <w:rPr>
          <w:color w:val="000000" w:themeColor="text1"/>
        </w:rPr>
      </w:pPr>
      <w:sdt>
        <w:sdtPr>
          <w:rPr>
            <w:color w:val="000000" w:themeColor="text1"/>
          </w:rPr>
          <w:alias w:val="是否适用：未办妥产权证书的投资性房地产情况[双击切换]"/>
          <w:tag w:val="_GBC_6ea8ec03c59f4a3585f376319ae453c5"/>
          <w:id w:val="1983114994"/>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rPr>
      </w:pPr>
    </w:p>
    <w:p w:rsidR="000C5659" w:rsidRDefault="000E33C4" w:rsidP="000743DD">
      <w:pPr>
        <w:pStyle w:val="43"/>
        <w:numPr>
          <w:ilvl w:val="0"/>
          <w:numId w:val="66"/>
        </w:numPr>
        <w:tabs>
          <w:tab w:val="left" w:pos="616"/>
        </w:tabs>
        <w:rPr>
          <w:rFonts w:ascii="宋体" w:hAnsi="宋体"/>
          <w:color w:val="000000" w:themeColor="text1"/>
          <w:szCs w:val="21"/>
        </w:rPr>
      </w:pPr>
      <w:bookmarkStart w:id="263" w:name="_Hlk167895351"/>
      <w:bookmarkStart w:id="264" w:name="_Hlk153460290"/>
      <w:r>
        <w:rPr>
          <w:rFonts w:ascii="宋体" w:hAnsi="宋体" w:hint="eastAsia"/>
          <w:color w:val="000000" w:themeColor="text1"/>
          <w:szCs w:val="21"/>
        </w:rPr>
        <w:t>采用成本计量模式的投资性房地产的减值测试情况</w:t>
      </w:r>
    </w:p>
    <w:sdt>
      <w:sdtPr>
        <w:rPr>
          <w:color w:val="000000" w:themeColor="text1"/>
        </w:rPr>
        <w:alias w:val="是否适用：减值测试情况[双击切换]"/>
        <w:tag w:val="_GBC_14e138c3da48491787bccf21877f5a28"/>
        <w:id w:val="62575071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ind w:leftChars="-21" w:left="-2" w:hangingChars="20" w:hanging="42"/>
        <w:rPr>
          <w:color w:val="000000" w:themeColor="text1"/>
        </w:rPr>
      </w:pPr>
      <w:bookmarkStart w:id="265" w:name="_Hlk167895445"/>
      <w:bookmarkEnd w:id="263"/>
      <w:bookmarkEnd w:id="264"/>
      <w:r>
        <w:rPr>
          <w:rFonts w:hint="eastAsia"/>
          <w:color w:val="000000" w:themeColor="text1"/>
        </w:rPr>
        <w:t>其他说明</w:t>
      </w:r>
    </w:p>
    <w:sdt>
      <w:sdtPr>
        <w:rPr>
          <w:color w:val="000000" w:themeColor="text1"/>
        </w:rPr>
        <w:alias w:val="是否适用：投资性房地产的说明[双击切换]"/>
        <w:tag w:val="_GBC_b8a71f0668054d4690d61665ba8183c0"/>
        <w:id w:val="-1714569223"/>
        <w:placeholder>
          <w:docPart w:val="GBC22222222222222222222222222222"/>
        </w:placeholder>
      </w:sdtPr>
      <w:sdtEndPr/>
      <w:sdtContent>
        <w:p w:rsidR="000C5659" w:rsidRDefault="000E33C4">
          <w:pPr>
            <w:ind w:right="283"/>
            <w:rPr>
              <w:rFonts w:cstheme="minorBidi"/>
              <w:color w:val="000000" w:themeColor="text1"/>
              <w:kern w:val="2"/>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283"/>
        <w:rPr>
          <w:color w:val="000000" w:themeColor="text1"/>
        </w:rPr>
      </w:pPr>
      <w:bookmarkStart w:id="266" w:name="_Hlk167895546"/>
      <w:bookmarkEnd w:id="265"/>
      <w:bookmarkEnd w:id="266"/>
    </w:p>
    <w:p w:rsidR="000C5659" w:rsidRDefault="000E33C4" w:rsidP="000743DD">
      <w:pPr>
        <w:pStyle w:val="35"/>
        <w:numPr>
          <w:ilvl w:val="0"/>
          <w:numId w:val="50"/>
        </w:numPr>
        <w:rPr>
          <w:color w:val="000000" w:themeColor="text1"/>
          <w:szCs w:val="21"/>
        </w:rPr>
      </w:pPr>
      <w:r>
        <w:rPr>
          <w:color w:val="000000" w:themeColor="text1"/>
          <w:szCs w:val="21"/>
        </w:rPr>
        <w:t>固定资产</w:t>
      </w:r>
    </w:p>
    <w:p w:rsidR="000C5659" w:rsidRDefault="000E33C4">
      <w:pPr>
        <w:pStyle w:val="43"/>
        <w:tabs>
          <w:tab w:val="left" w:pos="588"/>
        </w:tabs>
        <w:rPr>
          <w:rFonts w:ascii="宋体" w:hAnsi="宋体"/>
          <w:color w:val="000000" w:themeColor="text1"/>
        </w:rPr>
      </w:pPr>
      <w:bookmarkStart w:id="267" w:name="_Hlk10472369"/>
      <w:r>
        <w:rPr>
          <w:rFonts w:ascii="宋体" w:hAnsi="宋体" w:hint="eastAsia"/>
          <w:color w:val="000000" w:themeColor="text1"/>
        </w:rPr>
        <w:t>项目列示</w:t>
      </w:r>
    </w:p>
    <w:sdt>
      <w:sdtPr>
        <w:rPr>
          <w:color w:val="000000" w:themeColor="text1"/>
        </w:rPr>
        <w:alias w:val="是否适用：固定资产分类列示[双击切换]"/>
        <w:tag w:val="_GBC_73d82e583dcc4330bebfeb83abd5f5bb"/>
        <w:id w:val="5041675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固定资产分类列示"/>
          <w:tag w:val="_GBC_1ddbfde119544f109a3b12a48ffde12d"/>
          <w:id w:val="12554814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固定资产分类列示"/>
          <w:tag w:val="_GBC_fcb83ec59024431d9f3167f55c1ae7c0"/>
          <w:id w:val="5552928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1"/>
        <w:gridCol w:w="2807"/>
      </w:tblGrid>
      <w:tr w:rsidR="000C5659">
        <w:bookmarkEnd w:id="267" w:displacedByCustomXml="next"/>
        <w:bookmarkStart w:id="268" w:name="_Hlk10472389" w:displacedByCustomXml="next"/>
        <w:bookmarkStart w:id="269" w:name="_Hlk10472397" w:displacedByCustomXml="next"/>
        <w:sdt>
          <w:sdtPr>
            <w:rPr>
              <w:color w:val="000000" w:themeColor="text1"/>
            </w:rPr>
            <w:tag w:val="_PLD_8242dd3761084b5fa8943b910dbdbe45"/>
            <w:id w:val="-1002587049"/>
          </w:sdtPr>
          <w:sdtEndPr/>
          <w:sdtContent>
            <w:tc>
              <w:tcPr>
                <w:tcW w:w="1827" w:type="pct"/>
                <w:shd w:val="clear" w:color="auto" w:fill="auto"/>
                <w:vAlign w:val="center"/>
              </w:tcPr>
              <w:p w:rsidR="000C5659" w:rsidRDefault="000E33C4">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666df388ce2f4405af4694ebf5c112ca"/>
            <w:id w:val="-860820968"/>
          </w:sdtPr>
          <w:sdtEndPr/>
          <w:sdtContent>
            <w:tc>
              <w:tcPr>
                <w:tcW w:w="1581"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ca4fd9ec8b6a43259f78c36475f04e58"/>
            <w:id w:val="-134103426"/>
          </w:sdtPr>
          <w:sdtEndPr/>
          <w:sdtContent>
            <w:tc>
              <w:tcPr>
                <w:tcW w:w="1590"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c>
          <w:tcPr>
            <w:tcW w:w="1827"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lastRenderedPageBreak/>
              <w:t>固定资产</w:t>
            </w:r>
          </w:p>
        </w:tc>
        <w:tc>
          <w:tcPr>
            <w:tcW w:w="1581" w:type="pct"/>
            <w:shd w:val="clear" w:color="auto" w:fill="auto"/>
            <w:vAlign w:val="bottom"/>
          </w:tcPr>
          <w:p w:rsidR="000C5659" w:rsidRDefault="000E33C4">
            <w:pPr>
              <w:jc w:val="right"/>
              <w:textAlignment w:val="bottom"/>
              <w:rPr>
                <w:rFonts w:ascii="黑体" w:eastAsia="黑体" w:cs="黑体"/>
                <w:color w:val="000000"/>
                <w:sz w:val="18"/>
                <w:szCs w:val="18"/>
              </w:rPr>
            </w:pPr>
            <w:r>
              <w:rPr>
                <w:rFonts w:eastAsia="黑体" w:hint="eastAsia"/>
              </w:rPr>
              <w:t>495,442,726.17</w:t>
            </w:r>
          </w:p>
        </w:tc>
        <w:tc>
          <w:tcPr>
            <w:tcW w:w="1590"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t>455,866,031.40</w:t>
            </w:r>
          </w:p>
        </w:tc>
      </w:tr>
      <w:tr w:rsidR="000C5659">
        <w:tc>
          <w:tcPr>
            <w:tcW w:w="1827"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固定资产清理</w:t>
            </w:r>
          </w:p>
        </w:tc>
        <w:tc>
          <w:tcPr>
            <w:tcW w:w="1581"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r>
      <w:tr w:rsidR="000C5659">
        <w:tc>
          <w:tcPr>
            <w:tcW w:w="1827" w:type="pct"/>
            <w:shd w:val="clear" w:color="auto" w:fill="auto"/>
            <w:vAlign w:val="center"/>
          </w:tcPr>
          <w:p w:rsidR="000C5659" w:rsidRDefault="000E33C4">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合计</w:t>
            </w:r>
          </w:p>
        </w:tc>
        <w:tc>
          <w:tcPr>
            <w:tcW w:w="1581"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rPr>
                <w:rFonts w:hint="eastAsia"/>
              </w:rPr>
              <w:t>495,442,726.17</w:t>
            </w:r>
          </w:p>
        </w:tc>
        <w:tc>
          <w:tcPr>
            <w:tcW w:w="1590"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t>455,866,031.40</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bookmarkEnd w:id="268"/>
    </w:p>
    <w:p w:rsidR="000C5659" w:rsidRDefault="00220B84">
      <w:pPr>
        <w:rPr>
          <w:color w:val="000000" w:themeColor="text1"/>
        </w:rPr>
      </w:pPr>
      <w:sdt>
        <w:sdtPr>
          <w:rPr>
            <w:color w:val="000000" w:themeColor="text1"/>
          </w:rPr>
          <w:alias w:val="固定资产分类列示其他说明"/>
          <w:tag w:val="_GBC_9028bab58a12485bb8ef4d316280f591"/>
          <w:id w:val="1264570858"/>
          <w:placeholder>
            <w:docPart w:val="GBC22222222222222222222222222222"/>
          </w:placeholder>
        </w:sdtPr>
        <w:sdtEndPr/>
        <w:sdtContent>
          <w:r w:rsidR="000E33C4">
            <w:rPr>
              <w:rFonts w:hint="eastAsia"/>
              <w:color w:val="000000" w:themeColor="text1"/>
            </w:rPr>
            <w:t>无</w:t>
          </w:r>
        </w:sdtContent>
      </w:sdt>
    </w:p>
    <w:bookmarkEnd w:id="269"/>
    <w:p w:rsidR="000C5659" w:rsidRDefault="000C5659">
      <w:pPr>
        <w:rPr>
          <w:color w:val="000000" w:themeColor="text1"/>
        </w:rPr>
      </w:pPr>
    </w:p>
    <w:p w:rsidR="000C5659" w:rsidRDefault="000E33C4">
      <w:pPr>
        <w:pStyle w:val="43"/>
        <w:tabs>
          <w:tab w:val="left" w:pos="588"/>
        </w:tabs>
        <w:rPr>
          <w:rFonts w:ascii="宋体" w:hAnsi="宋体"/>
          <w:color w:val="000000" w:themeColor="text1"/>
        </w:rPr>
      </w:pPr>
      <w:r>
        <w:rPr>
          <w:rFonts w:ascii="宋体" w:hAnsi="宋体" w:hint="eastAsia"/>
          <w:color w:val="000000" w:themeColor="text1"/>
        </w:rPr>
        <w:t>固定资产</w:t>
      </w:r>
    </w:p>
    <w:p w:rsidR="000C5659" w:rsidRDefault="000E33C4" w:rsidP="000743DD">
      <w:pPr>
        <w:pStyle w:val="43"/>
        <w:numPr>
          <w:ilvl w:val="0"/>
          <w:numId w:val="67"/>
        </w:numPr>
        <w:tabs>
          <w:tab w:val="left" w:pos="588"/>
        </w:tabs>
        <w:rPr>
          <w:rFonts w:ascii="宋体" w:hAnsi="宋体"/>
          <w:color w:val="000000" w:themeColor="text1"/>
          <w:szCs w:val="21"/>
        </w:rPr>
      </w:pPr>
      <w:r>
        <w:rPr>
          <w:rFonts w:ascii="宋体" w:hAnsi="宋体" w:hint="eastAsia"/>
          <w:color w:val="000000" w:themeColor="text1"/>
          <w:szCs w:val="21"/>
        </w:rPr>
        <w:t>固定资产情况</w:t>
      </w:r>
    </w:p>
    <w:sdt>
      <w:sdtPr>
        <w:rPr>
          <w:color w:val="000000" w:themeColor="text1"/>
        </w:rPr>
        <w:alias w:val="是否适用：固定资产情况[双击切换]"/>
        <w:tag w:val="_GBC_dea1f620aab74d63b1372d831b5b450f"/>
        <w:id w:val="158534457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autoSpaceDE w:val="0"/>
        <w:autoSpaceDN w:val="0"/>
        <w:adjustRightInd w:val="0"/>
        <w:jc w:val="right"/>
        <w:rPr>
          <w:color w:val="000000" w:themeColor="text1"/>
        </w:rPr>
      </w:pPr>
      <w:r>
        <w:rPr>
          <w:rFonts w:hint="eastAsia"/>
          <w:color w:val="000000" w:themeColor="text1"/>
        </w:rPr>
        <w:t>单位：</w:t>
      </w:r>
      <w:sdt>
        <w:sdtPr>
          <w:rPr>
            <w:rFonts w:hint="eastAsia"/>
            <w:color w:val="000000" w:themeColor="text1"/>
          </w:rPr>
          <w:alias w:val="单位：财务附注：固定资产情况"/>
          <w:tag w:val="_GBC_563afa3e91c048118558af0713b1a1af"/>
          <w:id w:val="25659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固定资产情况"/>
          <w:tag w:val="_GBC_c5ecae448dd948eca54add973afbe77b"/>
          <w:id w:val="-618027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56" w:type="pct"/>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129"/>
        <w:gridCol w:w="1560"/>
        <w:gridCol w:w="1560"/>
        <w:gridCol w:w="1558"/>
        <w:gridCol w:w="1577"/>
        <w:gridCol w:w="1538"/>
      </w:tblGrid>
      <w:tr w:rsidR="000C5659" w:rsidTr="00BC4888">
        <w:trPr>
          <w:jc w:val="right"/>
        </w:trPr>
        <w:sdt>
          <w:sdtPr>
            <w:rPr>
              <w:color w:val="000000" w:themeColor="text1"/>
            </w:rPr>
            <w:tag w:val="_PLD_1741958de41447b7ac4cbd15ce893c6c"/>
            <w:id w:val="-100573670"/>
          </w:sdtPr>
          <w:sdtEndPr/>
          <w:sdtContent>
            <w:tc>
              <w:tcPr>
                <w:tcW w:w="633"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rFonts w:hint="eastAsia"/>
              <w:color w:val="000000" w:themeColor="text1"/>
            </w:rPr>
            <w:alias w:val="固定资产情况明细-项目名称"/>
            <w:tag w:val="_GBC_936a8499167f477aab1a2942b2fdbdaf"/>
            <w:id w:val="1752301294"/>
            <w:text/>
          </w:sdtPr>
          <w:sdtEndPr/>
          <w:sdtContent>
            <w:tc>
              <w:tcPr>
                <w:tcW w:w="874" w:type="pct"/>
                <w:shd w:val="clear" w:color="auto" w:fill="auto"/>
                <w:vAlign w:val="center"/>
              </w:tcPr>
              <w:p w:rsidR="000C5659" w:rsidRDefault="00B708C8">
                <w:pPr>
                  <w:jc w:val="center"/>
                  <w:rPr>
                    <w:color w:val="000000" w:themeColor="text1"/>
                  </w:rPr>
                </w:pPr>
                <w:r>
                  <w:rPr>
                    <w:rFonts w:hint="eastAsia"/>
                    <w:color w:val="000000" w:themeColor="text1"/>
                  </w:rPr>
                  <w:t>房屋及建筑物</w:t>
                </w:r>
              </w:p>
            </w:tc>
          </w:sdtContent>
        </w:sdt>
        <w:sdt>
          <w:sdtPr>
            <w:rPr>
              <w:rFonts w:hint="eastAsia"/>
            </w:rPr>
            <w:alias w:val="固定资产情况明细-项目名称"/>
            <w:tag w:val="_GBC_936a8499167f477aab1a2942b2fdbdaf"/>
            <w:id w:val="1413123668"/>
            <w:text/>
          </w:sdtPr>
          <w:sdtEndPr/>
          <w:sdtContent>
            <w:tc>
              <w:tcPr>
                <w:tcW w:w="874" w:type="pct"/>
                <w:shd w:val="clear" w:color="auto" w:fill="auto"/>
                <w:vAlign w:val="center"/>
              </w:tcPr>
              <w:p w:rsidR="000C5659" w:rsidRDefault="00B708C8">
                <w:pPr>
                  <w:jc w:val="center"/>
                </w:pPr>
                <w:r>
                  <w:rPr>
                    <w:rFonts w:hint="eastAsia"/>
                  </w:rPr>
                  <w:t>机器设备</w:t>
                </w:r>
              </w:p>
            </w:tc>
          </w:sdtContent>
        </w:sdt>
        <w:sdt>
          <w:sdtPr>
            <w:rPr>
              <w:rFonts w:hint="eastAsia"/>
            </w:rPr>
            <w:alias w:val="固定资产情况明细-项目名称"/>
            <w:tag w:val="_GBC_936a8499167f477aab1a2942b2fdbdaf"/>
            <w:id w:val="2143221465"/>
            <w:text/>
          </w:sdtPr>
          <w:sdtEndPr/>
          <w:sdtContent>
            <w:tc>
              <w:tcPr>
                <w:tcW w:w="873" w:type="pct"/>
                <w:shd w:val="clear" w:color="auto" w:fill="auto"/>
                <w:vAlign w:val="center"/>
              </w:tcPr>
              <w:p w:rsidR="000C5659" w:rsidRDefault="00B708C8">
                <w:pPr>
                  <w:jc w:val="center"/>
                </w:pPr>
                <w:r>
                  <w:rPr>
                    <w:rFonts w:hint="eastAsia"/>
                  </w:rPr>
                  <w:t>电子设备</w:t>
                </w:r>
              </w:p>
            </w:tc>
          </w:sdtContent>
        </w:sdt>
        <w:sdt>
          <w:sdtPr>
            <w:rPr>
              <w:rFonts w:hint="eastAsia"/>
            </w:rPr>
            <w:alias w:val="固定资产情况明细-项目名称"/>
            <w:tag w:val="_GBC_936a8499167f477aab1a2942b2fdbdaf"/>
            <w:id w:val="1578246936"/>
            <w:text/>
          </w:sdtPr>
          <w:sdtEndPr/>
          <w:sdtContent>
            <w:tc>
              <w:tcPr>
                <w:tcW w:w="884" w:type="pct"/>
                <w:shd w:val="clear" w:color="auto" w:fill="auto"/>
                <w:vAlign w:val="center"/>
              </w:tcPr>
              <w:p w:rsidR="000C5659" w:rsidRDefault="00B708C8">
                <w:pPr>
                  <w:jc w:val="center"/>
                </w:pPr>
                <w:r>
                  <w:rPr>
                    <w:rFonts w:hint="eastAsia"/>
                  </w:rPr>
                  <w:t>其他</w:t>
                </w:r>
              </w:p>
            </w:tc>
          </w:sdtContent>
        </w:sdt>
        <w:sdt>
          <w:sdtPr>
            <w:rPr>
              <w:color w:val="000000" w:themeColor="text1"/>
            </w:rPr>
            <w:tag w:val="_PLD_0b635f975b4949dbb798f88c3dcf1d8d"/>
            <w:id w:val="-1622227231"/>
          </w:sdtPr>
          <w:sdtEndPr/>
          <w:sdtContent>
            <w:tc>
              <w:tcPr>
                <w:tcW w:w="862" w:type="pct"/>
                <w:shd w:val="clear" w:color="auto" w:fill="auto"/>
                <w:vAlign w:val="center"/>
              </w:tcPr>
              <w:p w:rsidR="000C5659" w:rsidRDefault="000E33C4">
                <w:pPr>
                  <w:jc w:val="center"/>
                  <w:rPr>
                    <w:color w:val="000000" w:themeColor="text1"/>
                  </w:rPr>
                </w:pPr>
                <w:r>
                  <w:rPr>
                    <w:rFonts w:hint="eastAsia"/>
                    <w:color w:val="000000" w:themeColor="text1"/>
                  </w:rPr>
                  <w:t>合计</w:t>
                </w:r>
              </w:p>
            </w:tc>
          </w:sdtContent>
        </w:sdt>
      </w:tr>
      <w:tr w:rsidR="000C5659">
        <w:trPr>
          <w:jc w:val="right"/>
        </w:trPr>
        <w:sdt>
          <w:sdtPr>
            <w:rPr>
              <w:color w:val="000000" w:themeColor="text1"/>
            </w:rPr>
            <w:tag w:val="_PLD_e1d4e79d72fd45cc925f8729ecef795c"/>
            <w:id w:val="524451402"/>
          </w:sdtPr>
          <w:sdtEndPr/>
          <w:sdtContent>
            <w:tc>
              <w:tcPr>
                <w:tcW w:w="5000" w:type="pct"/>
                <w:gridSpan w:val="6"/>
                <w:shd w:val="clear" w:color="auto" w:fill="auto"/>
                <w:vAlign w:val="center"/>
              </w:tcPr>
              <w:p w:rsidR="000C5659" w:rsidRDefault="000E33C4">
                <w:pPr>
                  <w:rPr>
                    <w:color w:val="000000" w:themeColor="text1"/>
                  </w:rPr>
                </w:pPr>
                <w:r>
                  <w:rPr>
                    <w:rFonts w:hint="eastAsia"/>
                    <w:color w:val="000000" w:themeColor="text1"/>
                  </w:rPr>
                  <w:t>一、账面原值：</w:t>
                </w:r>
              </w:p>
            </w:tc>
          </w:sdtContent>
        </w:sdt>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color w:val="000000" w:themeColor="text1"/>
              </w:rPr>
              <w:t>1.</w:t>
            </w:r>
            <w:r>
              <w:rPr>
                <w:rFonts w:hint="eastAsia"/>
                <w:color w:val="000000" w:themeColor="text1"/>
              </w:rPr>
              <w:t>期初余额</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207,468,826.28</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391,323,565.18</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16,122,730.39</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159,786,862.20</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774,701,984.05</w:t>
            </w: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color w:val="000000" w:themeColor="text1"/>
              </w:rPr>
              <w:t>2.</w:t>
            </w:r>
            <w:r>
              <w:rPr>
                <w:rFonts w:hint="eastAsia"/>
                <w:color w:val="000000" w:themeColor="text1"/>
              </w:rPr>
              <w:t>本期增加金额</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28,103,507.26</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48,618,719.49</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2,782,053.33</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8,261,683.98</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87,765,964.06</w:t>
            </w:r>
          </w:p>
        </w:tc>
      </w:tr>
      <w:tr w:rsidR="000C5659" w:rsidTr="00BC4888">
        <w:trPr>
          <w:jc w:val="right"/>
        </w:trPr>
        <w:tc>
          <w:tcPr>
            <w:tcW w:w="633" w:type="pct"/>
            <w:shd w:val="clear" w:color="auto" w:fill="auto"/>
            <w:vAlign w:val="center"/>
          </w:tcPr>
          <w:p w:rsidR="000C5659" w:rsidRDefault="000E33C4">
            <w:pPr>
              <w:ind w:firstLineChars="300" w:firstLine="630"/>
              <w:rPr>
                <w:color w:val="000000" w:themeColor="text1"/>
              </w:rPr>
            </w:pPr>
            <w:r>
              <w:rPr>
                <w:rFonts w:hint="eastAsia"/>
                <w:color w:val="000000" w:themeColor="text1"/>
              </w:rPr>
              <w:t>（1）购置</w:t>
            </w:r>
          </w:p>
        </w:tc>
        <w:tc>
          <w:tcPr>
            <w:tcW w:w="874" w:type="pct"/>
            <w:shd w:val="clear" w:color="auto" w:fill="auto"/>
            <w:vAlign w:val="center"/>
          </w:tcPr>
          <w:p w:rsidR="000C5659" w:rsidRDefault="000C5659">
            <w:pPr>
              <w:jc w:val="right"/>
              <w:rPr>
                <w:color w:val="000000"/>
              </w:rPr>
            </w:pPr>
          </w:p>
        </w:tc>
        <w:tc>
          <w:tcPr>
            <w:tcW w:w="874" w:type="pct"/>
            <w:shd w:val="clear" w:color="auto" w:fill="auto"/>
            <w:vAlign w:val="center"/>
          </w:tcPr>
          <w:p w:rsidR="000C5659" w:rsidRDefault="000E33C4">
            <w:pPr>
              <w:jc w:val="right"/>
              <w:textAlignment w:val="center"/>
              <w:rPr>
                <w:color w:val="000000"/>
              </w:rPr>
            </w:pPr>
            <w:r>
              <w:rPr>
                <w:rFonts w:hint="eastAsia"/>
                <w:color w:val="000000"/>
                <w:lang w:bidi="ar"/>
              </w:rPr>
              <w:t>10,791,745.21</w:t>
            </w:r>
          </w:p>
        </w:tc>
        <w:tc>
          <w:tcPr>
            <w:tcW w:w="873" w:type="pct"/>
            <w:shd w:val="clear" w:color="auto" w:fill="auto"/>
            <w:vAlign w:val="center"/>
          </w:tcPr>
          <w:p w:rsidR="000C5659" w:rsidRDefault="000E33C4">
            <w:pPr>
              <w:jc w:val="right"/>
              <w:textAlignment w:val="center"/>
              <w:rPr>
                <w:color w:val="000000"/>
              </w:rPr>
            </w:pPr>
            <w:r>
              <w:rPr>
                <w:rFonts w:hint="eastAsia"/>
                <w:color w:val="000000"/>
                <w:lang w:bidi="ar"/>
              </w:rPr>
              <w:t>744,068.68</w:t>
            </w:r>
          </w:p>
        </w:tc>
        <w:tc>
          <w:tcPr>
            <w:tcW w:w="884" w:type="pct"/>
            <w:shd w:val="clear" w:color="auto" w:fill="auto"/>
            <w:vAlign w:val="center"/>
          </w:tcPr>
          <w:p w:rsidR="000C5659" w:rsidRDefault="000E33C4">
            <w:pPr>
              <w:jc w:val="right"/>
              <w:textAlignment w:val="center"/>
              <w:rPr>
                <w:color w:val="000000"/>
              </w:rPr>
            </w:pPr>
            <w:r>
              <w:rPr>
                <w:rFonts w:hint="eastAsia"/>
                <w:color w:val="000000"/>
                <w:lang w:bidi="ar"/>
              </w:rPr>
              <w:t>3,334,441.30</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14,870,255.19</w:t>
            </w:r>
          </w:p>
        </w:tc>
      </w:tr>
      <w:tr w:rsidR="000C5659" w:rsidTr="00BC4888">
        <w:trPr>
          <w:jc w:val="right"/>
        </w:trPr>
        <w:tc>
          <w:tcPr>
            <w:tcW w:w="633" w:type="pct"/>
            <w:shd w:val="clear" w:color="auto" w:fill="auto"/>
            <w:vAlign w:val="center"/>
          </w:tcPr>
          <w:p w:rsidR="000C5659" w:rsidRDefault="000E33C4">
            <w:pPr>
              <w:ind w:firstLineChars="300" w:firstLine="630"/>
              <w:rPr>
                <w:color w:val="000000" w:themeColor="text1"/>
              </w:rPr>
            </w:pPr>
            <w:r>
              <w:rPr>
                <w:rFonts w:hint="eastAsia"/>
                <w:color w:val="000000" w:themeColor="text1"/>
              </w:rPr>
              <w:t>（2）在建工程转入</w:t>
            </w:r>
          </w:p>
        </w:tc>
        <w:tc>
          <w:tcPr>
            <w:tcW w:w="874" w:type="pct"/>
            <w:shd w:val="clear" w:color="auto" w:fill="auto"/>
            <w:vAlign w:val="center"/>
          </w:tcPr>
          <w:p w:rsidR="000C5659" w:rsidRDefault="000E33C4">
            <w:pPr>
              <w:jc w:val="right"/>
              <w:textAlignment w:val="center"/>
            </w:pPr>
            <w:r>
              <w:rPr>
                <w:rFonts w:hint="eastAsia"/>
                <w:color w:val="000000"/>
                <w:lang w:bidi="ar"/>
              </w:rPr>
              <w:t>71,559.63</w:t>
            </w:r>
          </w:p>
        </w:tc>
        <w:tc>
          <w:tcPr>
            <w:tcW w:w="874" w:type="pct"/>
            <w:shd w:val="clear" w:color="auto" w:fill="auto"/>
            <w:vAlign w:val="center"/>
          </w:tcPr>
          <w:p w:rsidR="000C5659" w:rsidRDefault="000E33C4">
            <w:pPr>
              <w:jc w:val="right"/>
              <w:textAlignment w:val="center"/>
              <w:rPr>
                <w:color w:val="000000"/>
              </w:rPr>
            </w:pPr>
            <w:r>
              <w:rPr>
                <w:rFonts w:hint="eastAsia"/>
                <w:color w:val="000000"/>
                <w:lang w:bidi="ar"/>
              </w:rPr>
              <w:t>753,664.61</w:t>
            </w:r>
          </w:p>
        </w:tc>
        <w:tc>
          <w:tcPr>
            <w:tcW w:w="873" w:type="pct"/>
            <w:shd w:val="clear" w:color="auto" w:fill="auto"/>
            <w:vAlign w:val="center"/>
          </w:tcPr>
          <w:p w:rsidR="000C5659" w:rsidRDefault="000C5659">
            <w:pPr>
              <w:jc w:val="right"/>
            </w:pPr>
          </w:p>
        </w:tc>
        <w:tc>
          <w:tcPr>
            <w:tcW w:w="884" w:type="pct"/>
            <w:shd w:val="clear" w:color="auto" w:fill="auto"/>
            <w:vAlign w:val="center"/>
          </w:tcPr>
          <w:p w:rsidR="000C5659" w:rsidRDefault="000C5659">
            <w:pPr>
              <w:jc w:val="right"/>
            </w:pP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825,224.24</w:t>
            </w:r>
          </w:p>
        </w:tc>
      </w:tr>
      <w:tr w:rsidR="000C5659" w:rsidTr="00BC4888">
        <w:trPr>
          <w:jc w:val="right"/>
        </w:trPr>
        <w:tc>
          <w:tcPr>
            <w:tcW w:w="633" w:type="pct"/>
            <w:shd w:val="clear" w:color="auto" w:fill="auto"/>
            <w:vAlign w:val="center"/>
          </w:tcPr>
          <w:p w:rsidR="000C5659" w:rsidRDefault="000E33C4">
            <w:pPr>
              <w:ind w:firstLineChars="300" w:firstLine="630"/>
              <w:rPr>
                <w:color w:val="000000" w:themeColor="text1"/>
              </w:rPr>
            </w:pPr>
            <w:r>
              <w:rPr>
                <w:rFonts w:hint="eastAsia"/>
                <w:color w:val="000000" w:themeColor="text1"/>
              </w:rPr>
              <w:t>（3）企业合并增加</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28,031,947.63</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37,073,309.67</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2,037,984.65</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4,927,242.68</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72,070,484.63</w:t>
            </w:r>
          </w:p>
        </w:tc>
      </w:tr>
      <w:tr w:rsidR="000C5659" w:rsidTr="00BC4888">
        <w:trPr>
          <w:jc w:val="right"/>
        </w:trPr>
        <w:tc>
          <w:tcPr>
            <w:tcW w:w="633" w:type="pct"/>
            <w:shd w:val="clear" w:color="auto" w:fill="auto"/>
            <w:vAlign w:val="center"/>
          </w:tcPr>
          <w:p w:rsidR="000C5659" w:rsidRDefault="000E33C4">
            <w:pPr>
              <w:ind w:firstLineChars="250" w:firstLine="525"/>
              <w:rPr>
                <w:color w:val="000000" w:themeColor="text1"/>
              </w:rPr>
            </w:pPr>
            <w:r>
              <w:rPr>
                <w:rFonts w:hint="eastAsia"/>
                <w:color w:val="000000" w:themeColor="text1"/>
              </w:rPr>
              <w:t>3.本期减少金额</w:t>
            </w:r>
          </w:p>
        </w:tc>
        <w:tc>
          <w:tcPr>
            <w:tcW w:w="874" w:type="pct"/>
            <w:shd w:val="clear" w:color="auto" w:fill="auto"/>
            <w:vAlign w:val="center"/>
          </w:tcPr>
          <w:p w:rsidR="000C5659" w:rsidRDefault="000C5659">
            <w:pPr>
              <w:jc w:val="right"/>
              <w:rPr>
                <w:color w:val="000000"/>
                <w:lang w:bidi="ar"/>
              </w:rPr>
            </w:pP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107,327.03</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89,004.75</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153,907.37</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350,239.15</w:t>
            </w:r>
          </w:p>
        </w:tc>
      </w:tr>
      <w:tr w:rsidR="000C5659" w:rsidTr="00BC4888">
        <w:trPr>
          <w:jc w:val="right"/>
        </w:trPr>
        <w:tc>
          <w:tcPr>
            <w:tcW w:w="633" w:type="pct"/>
            <w:shd w:val="clear" w:color="auto" w:fill="auto"/>
            <w:vAlign w:val="center"/>
          </w:tcPr>
          <w:p w:rsidR="000C5659" w:rsidRDefault="000E33C4">
            <w:pPr>
              <w:ind w:firstLineChars="300" w:firstLine="630"/>
              <w:rPr>
                <w:color w:val="000000" w:themeColor="text1"/>
              </w:rPr>
            </w:pPr>
            <w:r>
              <w:rPr>
                <w:rFonts w:hint="eastAsia"/>
                <w:color w:val="000000" w:themeColor="text1"/>
              </w:rPr>
              <w:t>（1）处置或报废</w:t>
            </w:r>
          </w:p>
        </w:tc>
        <w:tc>
          <w:tcPr>
            <w:tcW w:w="874" w:type="pct"/>
            <w:shd w:val="clear" w:color="auto" w:fill="auto"/>
            <w:vAlign w:val="center"/>
          </w:tcPr>
          <w:p w:rsidR="000C5659" w:rsidRDefault="000C5659">
            <w:pPr>
              <w:jc w:val="right"/>
              <w:rPr>
                <w:color w:val="000000"/>
                <w:lang w:bidi="ar"/>
              </w:rPr>
            </w:pP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107,327.03</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89,004.75</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153,907.37</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350,239.15</w:t>
            </w: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rFonts w:hint="eastAsia"/>
                <w:color w:val="000000" w:themeColor="text1"/>
              </w:rPr>
              <w:t>4.期末余额</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235,572,333.54</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439,834,957.64</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18,815,778.97</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167,894,638.81</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862,117,708.96</w:t>
            </w:r>
          </w:p>
        </w:tc>
      </w:tr>
      <w:tr w:rsidR="000C5659">
        <w:trPr>
          <w:jc w:val="right"/>
        </w:trPr>
        <w:sdt>
          <w:sdtPr>
            <w:rPr>
              <w:color w:val="000000" w:themeColor="text1"/>
            </w:rPr>
            <w:tag w:val="_PLD_3b9a984e6e834331844252acd1c6a321"/>
            <w:id w:val="658512625"/>
          </w:sdtPr>
          <w:sdtEndPr/>
          <w:sdtContent>
            <w:tc>
              <w:tcPr>
                <w:tcW w:w="5000" w:type="pct"/>
                <w:gridSpan w:val="6"/>
                <w:shd w:val="clear" w:color="auto" w:fill="auto"/>
                <w:vAlign w:val="center"/>
              </w:tcPr>
              <w:p w:rsidR="000C5659" w:rsidRDefault="000E33C4">
                <w:pPr>
                  <w:rPr>
                    <w:color w:val="000000" w:themeColor="text1"/>
                  </w:rPr>
                </w:pPr>
                <w:r>
                  <w:rPr>
                    <w:rFonts w:hint="eastAsia"/>
                    <w:color w:val="000000" w:themeColor="text1"/>
                  </w:rPr>
                  <w:t>二、累计折旧</w:t>
                </w:r>
              </w:p>
            </w:tc>
          </w:sdtContent>
        </w:sdt>
      </w:tr>
      <w:tr w:rsidR="000C5659" w:rsidTr="00BC4888">
        <w:trPr>
          <w:jc w:val="right"/>
        </w:trPr>
        <w:tc>
          <w:tcPr>
            <w:tcW w:w="633" w:type="pct"/>
            <w:shd w:val="clear" w:color="auto" w:fill="auto"/>
            <w:vAlign w:val="center"/>
          </w:tcPr>
          <w:p w:rsidR="000C5659" w:rsidRDefault="000E33C4">
            <w:pPr>
              <w:ind w:firstLineChars="200" w:firstLine="420"/>
              <w:textAlignment w:val="top"/>
              <w:rPr>
                <w:color w:val="000000" w:themeColor="text1"/>
              </w:rPr>
            </w:pPr>
            <w:r>
              <w:rPr>
                <w:rFonts w:hint="eastAsia"/>
                <w:color w:val="000000"/>
                <w:lang w:bidi="ar"/>
              </w:rPr>
              <w:t>1.期初余额</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59,758,102.87</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185,049,453.27</w:t>
            </w:r>
          </w:p>
        </w:tc>
        <w:tc>
          <w:tcPr>
            <w:tcW w:w="873"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13,475,123.00</w:t>
            </w:r>
          </w:p>
        </w:tc>
        <w:tc>
          <w:tcPr>
            <w:tcW w:w="88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60,553,273.51</w:t>
            </w:r>
          </w:p>
        </w:tc>
        <w:tc>
          <w:tcPr>
            <w:tcW w:w="862"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318,835,952.65</w:t>
            </w:r>
          </w:p>
        </w:tc>
      </w:tr>
      <w:tr w:rsidR="000C5659" w:rsidTr="00BC4888">
        <w:trPr>
          <w:jc w:val="right"/>
        </w:trPr>
        <w:tc>
          <w:tcPr>
            <w:tcW w:w="633" w:type="pct"/>
            <w:shd w:val="clear" w:color="auto" w:fill="auto"/>
            <w:vAlign w:val="center"/>
          </w:tcPr>
          <w:p w:rsidR="000C5659" w:rsidRDefault="000E33C4">
            <w:pPr>
              <w:ind w:firstLineChars="200" w:firstLine="420"/>
              <w:textAlignment w:val="top"/>
              <w:rPr>
                <w:color w:val="000000" w:themeColor="text1"/>
              </w:rPr>
            </w:pPr>
            <w:r>
              <w:rPr>
                <w:rFonts w:hint="eastAsia"/>
                <w:color w:val="000000"/>
                <w:lang w:bidi="ar"/>
              </w:rPr>
              <w:t>2.本期增加金额</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 xml:space="preserve">8,815,228.17 </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 xml:space="preserve">23,587,376.64 </w:t>
            </w:r>
          </w:p>
        </w:tc>
        <w:tc>
          <w:tcPr>
            <w:tcW w:w="873"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 xml:space="preserve">1,367,597.34 </w:t>
            </w:r>
          </w:p>
        </w:tc>
        <w:tc>
          <w:tcPr>
            <w:tcW w:w="88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 xml:space="preserve">14,337,301.89 </w:t>
            </w:r>
          </w:p>
        </w:tc>
        <w:tc>
          <w:tcPr>
            <w:tcW w:w="862"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 xml:space="preserve">48,107,504.04 </w:t>
            </w:r>
          </w:p>
        </w:tc>
      </w:tr>
      <w:tr w:rsidR="000C5659" w:rsidTr="00BC4888">
        <w:trPr>
          <w:jc w:val="right"/>
        </w:trPr>
        <w:tc>
          <w:tcPr>
            <w:tcW w:w="633" w:type="pct"/>
            <w:shd w:val="clear" w:color="auto" w:fill="auto"/>
            <w:vAlign w:val="center"/>
          </w:tcPr>
          <w:p w:rsidR="000C5659" w:rsidRDefault="000E33C4">
            <w:pPr>
              <w:ind w:firstLineChars="300" w:firstLine="630"/>
              <w:textAlignment w:val="top"/>
              <w:rPr>
                <w:color w:val="000000" w:themeColor="text1"/>
              </w:rPr>
            </w:pPr>
            <w:r>
              <w:rPr>
                <w:rFonts w:hint="eastAsia"/>
                <w:color w:val="000000"/>
                <w:lang w:bidi="ar"/>
              </w:rPr>
              <w:t>（1）计提</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5,371,166.81</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17,287,986.28</w:t>
            </w:r>
          </w:p>
        </w:tc>
        <w:tc>
          <w:tcPr>
            <w:tcW w:w="873"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846,577.70</w:t>
            </w:r>
          </w:p>
        </w:tc>
        <w:tc>
          <w:tcPr>
            <w:tcW w:w="88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11,491,834.62</w:t>
            </w:r>
          </w:p>
        </w:tc>
        <w:tc>
          <w:tcPr>
            <w:tcW w:w="862"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34,997,565.41</w:t>
            </w:r>
          </w:p>
        </w:tc>
      </w:tr>
      <w:tr w:rsidR="000C5659" w:rsidTr="00BC4888">
        <w:trPr>
          <w:jc w:val="right"/>
        </w:trPr>
        <w:tc>
          <w:tcPr>
            <w:tcW w:w="633" w:type="pct"/>
            <w:shd w:val="clear" w:color="auto" w:fill="auto"/>
            <w:vAlign w:val="center"/>
          </w:tcPr>
          <w:p w:rsidR="000C5659" w:rsidRDefault="000E33C4">
            <w:pPr>
              <w:ind w:firstLineChars="300" w:firstLine="630"/>
              <w:textAlignment w:val="top"/>
            </w:pPr>
            <w:r>
              <w:rPr>
                <w:rFonts w:hint="eastAsia"/>
                <w:color w:val="000000"/>
                <w:lang w:bidi="ar"/>
              </w:rPr>
              <w:t>（2）企业合并增加</w:t>
            </w:r>
          </w:p>
        </w:tc>
        <w:tc>
          <w:tcPr>
            <w:tcW w:w="874" w:type="pct"/>
            <w:shd w:val="clear" w:color="auto" w:fill="auto"/>
            <w:vAlign w:val="center"/>
          </w:tcPr>
          <w:p w:rsidR="000C5659" w:rsidRDefault="000E33C4" w:rsidP="00BC4888">
            <w:pPr>
              <w:jc w:val="right"/>
              <w:textAlignment w:val="bottom"/>
              <w:rPr>
                <w:rFonts w:asciiTheme="minorEastAsia" w:eastAsiaTheme="minorEastAsia" w:hAnsiTheme="minorEastAsia" w:cstheme="minorEastAsia"/>
                <w:color w:val="000000"/>
                <w:lang w:bidi="ar"/>
              </w:rPr>
            </w:pPr>
            <w:r>
              <w:rPr>
                <w:rFonts w:hint="eastAsia"/>
                <w:color w:val="000000"/>
                <w:lang w:bidi="ar"/>
              </w:rPr>
              <w:t>3,444,061.36</w:t>
            </w:r>
          </w:p>
        </w:tc>
        <w:tc>
          <w:tcPr>
            <w:tcW w:w="874" w:type="pct"/>
            <w:shd w:val="clear" w:color="auto" w:fill="auto"/>
            <w:vAlign w:val="center"/>
          </w:tcPr>
          <w:p w:rsidR="000C5659" w:rsidRDefault="000E33C4" w:rsidP="00BC4888">
            <w:pPr>
              <w:jc w:val="right"/>
              <w:textAlignment w:val="bottom"/>
              <w:rPr>
                <w:rFonts w:asciiTheme="minorEastAsia" w:eastAsiaTheme="minorEastAsia" w:hAnsiTheme="minorEastAsia" w:cstheme="minorEastAsia"/>
                <w:color w:val="000000"/>
                <w:lang w:bidi="ar"/>
              </w:rPr>
            </w:pPr>
            <w:r>
              <w:rPr>
                <w:rFonts w:hint="eastAsia"/>
                <w:color w:val="000000"/>
                <w:lang w:bidi="ar"/>
              </w:rPr>
              <w:t>6,299,390.36</w:t>
            </w:r>
          </w:p>
        </w:tc>
        <w:tc>
          <w:tcPr>
            <w:tcW w:w="873" w:type="pct"/>
            <w:shd w:val="clear" w:color="auto" w:fill="auto"/>
            <w:vAlign w:val="center"/>
          </w:tcPr>
          <w:p w:rsidR="000C5659" w:rsidRDefault="000E33C4" w:rsidP="00BC4888">
            <w:pPr>
              <w:jc w:val="right"/>
              <w:textAlignment w:val="bottom"/>
              <w:rPr>
                <w:rFonts w:asciiTheme="minorEastAsia" w:eastAsiaTheme="minorEastAsia" w:hAnsiTheme="minorEastAsia" w:cstheme="minorEastAsia"/>
                <w:color w:val="000000"/>
                <w:lang w:bidi="ar"/>
              </w:rPr>
            </w:pPr>
            <w:r>
              <w:rPr>
                <w:rFonts w:hint="eastAsia"/>
                <w:color w:val="000000"/>
                <w:lang w:bidi="ar"/>
              </w:rPr>
              <w:t>521,019.64</w:t>
            </w:r>
          </w:p>
        </w:tc>
        <w:tc>
          <w:tcPr>
            <w:tcW w:w="884" w:type="pct"/>
            <w:shd w:val="clear" w:color="auto" w:fill="auto"/>
            <w:vAlign w:val="center"/>
          </w:tcPr>
          <w:p w:rsidR="000C5659" w:rsidRDefault="000E33C4" w:rsidP="00BC4888">
            <w:pPr>
              <w:jc w:val="right"/>
              <w:textAlignment w:val="bottom"/>
              <w:rPr>
                <w:rFonts w:asciiTheme="minorEastAsia" w:eastAsiaTheme="minorEastAsia" w:hAnsiTheme="minorEastAsia" w:cstheme="minorEastAsia"/>
                <w:color w:val="000000"/>
                <w:lang w:bidi="ar"/>
              </w:rPr>
            </w:pPr>
            <w:r>
              <w:rPr>
                <w:rFonts w:hint="eastAsia"/>
                <w:color w:val="000000"/>
                <w:lang w:bidi="ar"/>
              </w:rPr>
              <w:t>2,845,467.27</w:t>
            </w:r>
          </w:p>
        </w:tc>
        <w:tc>
          <w:tcPr>
            <w:tcW w:w="862"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color w:val="000000"/>
                <w:lang w:bidi="ar"/>
              </w:rPr>
            </w:pPr>
            <w:r>
              <w:rPr>
                <w:rFonts w:hint="eastAsia"/>
                <w:color w:val="000000"/>
                <w:lang w:bidi="ar"/>
              </w:rPr>
              <w:t>13,109,938.63</w:t>
            </w: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rFonts w:hint="eastAsia"/>
                <w:color w:val="000000" w:themeColor="text1"/>
              </w:rPr>
              <w:t>3.本期减少金额</w:t>
            </w:r>
          </w:p>
        </w:tc>
        <w:tc>
          <w:tcPr>
            <w:tcW w:w="874" w:type="pct"/>
            <w:shd w:val="clear" w:color="auto" w:fill="auto"/>
            <w:vAlign w:val="center"/>
          </w:tcPr>
          <w:p w:rsidR="000C5659" w:rsidRDefault="000C5659">
            <w:pPr>
              <w:jc w:val="right"/>
              <w:rPr>
                <w:rFonts w:asciiTheme="minorEastAsia" w:eastAsiaTheme="minorEastAsia" w:hAnsiTheme="minorEastAsia" w:cstheme="minorEastAsia"/>
              </w:rPr>
            </w:pP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41,014.98</w:t>
            </w:r>
          </w:p>
        </w:tc>
        <w:tc>
          <w:tcPr>
            <w:tcW w:w="873"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84,042.95</w:t>
            </w:r>
          </w:p>
        </w:tc>
        <w:tc>
          <w:tcPr>
            <w:tcW w:w="88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143,415.97</w:t>
            </w:r>
          </w:p>
        </w:tc>
        <w:tc>
          <w:tcPr>
            <w:tcW w:w="862"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268,473.90</w:t>
            </w:r>
          </w:p>
        </w:tc>
      </w:tr>
      <w:tr w:rsidR="000C5659" w:rsidTr="00BC4888">
        <w:trPr>
          <w:jc w:val="right"/>
        </w:trPr>
        <w:tc>
          <w:tcPr>
            <w:tcW w:w="633" w:type="pct"/>
            <w:shd w:val="clear" w:color="auto" w:fill="auto"/>
            <w:vAlign w:val="center"/>
          </w:tcPr>
          <w:p w:rsidR="000C5659" w:rsidRDefault="000E33C4">
            <w:pPr>
              <w:ind w:firstLineChars="300" w:firstLine="630"/>
              <w:rPr>
                <w:color w:val="000000" w:themeColor="text1"/>
              </w:rPr>
            </w:pPr>
            <w:r>
              <w:rPr>
                <w:rFonts w:hint="eastAsia"/>
                <w:color w:val="000000" w:themeColor="text1"/>
              </w:rPr>
              <w:t>（1）处置或报废</w:t>
            </w:r>
          </w:p>
        </w:tc>
        <w:tc>
          <w:tcPr>
            <w:tcW w:w="874" w:type="pct"/>
            <w:shd w:val="clear" w:color="auto" w:fill="auto"/>
            <w:vAlign w:val="center"/>
          </w:tcPr>
          <w:p w:rsidR="000C5659" w:rsidRDefault="000C5659">
            <w:pPr>
              <w:jc w:val="right"/>
              <w:rPr>
                <w:rFonts w:asciiTheme="minorEastAsia" w:eastAsiaTheme="minorEastAsia" w:hAnsiTheme="minorEastAsia" w:cstheme="minorEastAsia"/>
              </w:rPr>
            </w:pP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41,014.98</w:t>
            </w:r>
          </w:p>
        </w:tc>
        <w:tc>
          <w:tcPr>
            <w:tcW w:w="873"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84,042.95</w:t>
            </w:r>
          </w:p>
        </w:tc>
        <w:tc>
          <w:tcPr>
            <w:tcW w:w="88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143,415.97</w:t>
            </w:r>
          </w:p>
        </w:tc>
        <w:tc>
          <w:tcPr>
            <w:tcW w:w="862"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268,473.90</w:t>
            </w: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rFonts w:hint="eastAsia"/>
                <w:color w:val="000000" w:themeColor="text1"/>
              </w:rPr>
              <w:t>4.期末余额</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68,573,331.04</w:t>
            </w:r>
          </w:p>
        </w:tc>
        <w:tc>
          <w:tcPr>
            <w:tcW w:w="87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208,595,814.93</w:t>
            </w:r>
          </w:p>
        </w:tc>
        <w:tc>
          <w:tcPr>
            <w:tcW w:w="873"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14,758,677.39</w:t>
            </w:r>
          </w:p>
        </w:tc>
        <w:tc>
          <w:tcPr>
            <w:tcW w:w="884"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74,747,159.43</w:t>
            </w:r>
          </w:p>
        </w:tc>
        <w:tc>
          <w:tcPr>
            <w:tcW w:w="862" w:type="pct"/>
            <w:shd w:val="clear" w:color="auto" w:fill="auto"/>
            <w:vAlign w:val="center"/>
          </w:tcPr>
          <w:p w:rsidR="000C5659" w:rsidRDefault="000E33C4">
            <w:pPr>
              <w:jc w:val="right"/>
              <w:textAlignment w:val="center"/>
              <w:rPr>
                <w:rFonts w:asciiTheme="minorEastAsia" w:eastAsiaTheme="minorEastAsia" w:hAnsiTheme="minorEastAsia" w:cstheme="minorEastAsia"/>
                <w:color w:val="000000"/>
                <w:lang w:bidi="ar"/>
              </w:rPr>
            </w:pPr>
            <w:r>
              <w:rPr>
                <w:rFonts w:hint="eastAsia"/>
                <w:color w:val="000000"/>
                <w:lang w:bidi="ar"/>
              </w:rPr>
              <w:t>366,674,982.79</w:t>
            </w:r>
          </w:p>
        </w:tc>
      </w:tr>
      <w:tr w:rsidR="000C5659">
        <w:trPr>
          <w:jc w:val="right"/>
        </w:trPr>
        <w:sdt>
          <w:sdtPr>
            <w:rPr>
              <w:color w:val="000000" w:themeColor="text1"/>
            </w:rPr>
            <w:tag w:val="_PLD_662c84047b6d41648e46d047cc9b134a"/>
            <w:id w:val="-685598355"/>
          </w:sdtPr>
          <w:sdtEndPr/>
          <w:sdtContent>
            <w:tc>
              <w:tcPr>
                <w:tcW w:w="5000" w:type="pct"/>
                <w:gridSpan w:val="6"/>
                <w:shd w:val="clear" w:color="auto" w:fill="auto"/>
                <w:vAlign w:val="center"/>
              </w:tcPr>
              <w:p w:rsidR="000C5659" w:rsidRDefault="000E33C4">
                <w:pPr>
                  <w:rPr>
                    <w:color w:val="000000" w:themeColor="text1"/>
                  </w:rPr>
                </w:pPr>
                <w:r>
                  <w:rPr>
                    <w:rFonts w:hint="eastAsia"/>
                    <w:color w:val="000000" w:themeColor="text1"/>
                  </w:rPr>
                  <w:t>三、减值准备</w:t>
                </w:r>
              </w:p>
            </w:tc>
          </w:sdtContent>
        </w:sdt>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color w:val="000000" w:themeColor="text1"/>
              </w:rPr>
              <w:t>1.</w:t>
            </w:r>
            <w:r>
              <w:rPr>
                <w:rFonts w:hint="eastAsia"/>
                <w:color w:val="000000" w:themeColor="text1"/>
              </w:rPr>
              <w:t>期初余额</w:t>
            </w:r>
          </w:p>
        </w:tc>
        <w:tc>
          <w:tcPr>
            <w:tcW w:w="874" w:type="pct"/>
            <w:shd w:val="clear" w:color="auto" w:fill="auto"/>
            <w:vAlign w:val="center"/>
          </w:tcPr>
          <w:p w:rsidR="000C5659" w:rsidRDefault="000C5659">
            <w:pPr>
              <w:jc w:val="right"/>
            </w:pPr>
          </w:p>
        </w:tc>
        <w:tc>
          <w:tcPr>
            <w:tcW w:w="874" w:type="pct"/>
            <w:shd w:val="clear" w:color="auto" w:fill="auto"/>
            <w:vAlign w:val="center"/>
          </w:tcPr>
          <w:p w:rsidR="000C5659" w:rsidRDefault="000C5659">
            <w:pPr>
              <w:jc w:val="right"/>
            </w:pPr>
          </w:p>
        </w:tc>
        <w:tc>
          <w:tcPr>
            <w:tcW w:w="873" w:type="pct"/>
            <w:shd w:val="clear" w:color="auto" w:fill="auto"/>
            <w:vAlign w:val="center"/>
          </w:tcPr>
          <w:p w:rsidR="000C5659" w:rsidRDefault="000C5659">
            <w:pPr>
              <w:jc w:val="right"/>
            </w:pPr>
          </w:p>
        </w:tc>
        <w:tc>
          <w:tcPr>
            <w:tcW w:w="884" w:type="pct"/>
            <w:shd w:val="clear" w:color="auto" w:fill="auto"/>
            <w:vAlign w:val="center"/>
          </w:tcPr>
          <w:p w:rsidR="000C5659" w:rsidRDefault="000C5659">
            <w:pPr>
              <w:jc w:val="right"/>
            </w:pPr>
          </w:p>
        </w:tc>
        <w:tc>
          <w:tcPr>
            <w:tcW w:w="862" w:type="pct"/>
            <w:shd w:val="clear" w:color="auto" w:fill="auto"/>
            <w:vAlign w:val="center"/>
          </w:tcPr>
          <w:p w:rsidR="000C5659" w:rsidRDefault="000C5659">
            <w:pPr>
              <w:jc w:val="right"/>
            </w:pP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color w:val="000000" w:themeColor="text1"/>
              </w:rPr>
              <w:t>2.</w:t>
            </w:r>
            <w:r>
              <w:rPr>
                <w:rFonts w:hint="eastAsia"/>
                <w:color w:val="000000" w:themeColor="text1"/>
              </w:rPr>
              <w:t>本期增加金额</w:t>
            </w:r>
          </w:p>
        </w:tc>
        <w:tc>
          <w:tcPr>
            <w:tcW w:w="874" w:type="pct"/>
            <w:shd w:val="clear" w:color="auto" w:fill="auto"/>
            <w:vAlign w:val="center"/>
          </w:tcPr>
          <w:p w:rsidR="000C5659" w:rsidRDefault="000C5659">
            <w:pPr>
              <w:jc w:val="right"/>
            </w:pPr>
          </w:p>
        </w:tc>
        <w:tc>
          <w:tcPr>
            <w:tcW w:w="874" w:type="pct"/>
            <w:shd w:val="clear" w:color="auto" w:fill="auto"/>
            <w:vAlign w:val="center"/>
          </w:tcPr>
          <w:p w:rsidR="000C5659" w:rsidRDefault="000C5659">
            <w:pPr>
              <w:jc w:val="right"/>
            </w:pPr>
          </w:p>
        </w:tc>
        <w:tc>
          <w:tcPr>
            <w:tcW w:w="873" w:type="pct"/>
            <w:shd w:val="clear" w:color="auto" w:fill="auto"/>
            <w:vAlign w:val="center"/>
          </w:tcPr>
          <w:p w:rsidR="000C5659" w:rsidRDefault="000C5659">
            <w:pPr>
              <w:jc w:val="right"/>
            </w:pPr>
          </w:p>
        </w:tc>
        <w:tc>
          <w:tcPr>
            <w:tcW w:w="884" w:type="pct"/>
            <w:shd w:val="clear" w:color="auto" w:fill="auto"/>
            <w:vAlign w:val="center"/>
          </w:tcPr>
          <w:p w:rsidR="000C5659" w:rsidRDefault="000C5659">
            <w:pPr>
              <w:jc w:val="right"/>
            </w:pPr>
          </w:p>
        </w:tc>
        <w:tc>
          <w:tcPr>
            <w:tcW w:w="862" w:type="pct"/>
            <w:shd w:val="clear" w:color="auto" w:fill="auto"/>
            <w:vAlign w:val="center"/>
          </w:tcPr>
          <w:p w:rsidR="000C5659" w:rsidRDefault="000C5659">
            <w:pPr>
              <w:jc w:val="right"/>
            </w:pPr>
          </w:p>
        </w:tc>
      </w:tr>
      <w:tr w:rsidR="000C5659" w:rsidTr="00BC4888">
        <w:trPr>
          <w:jc w:val="right"/>
        </w:trPr>
        <w:tc>
          <w:tcPr>
            <w:tcW w:w="633" w:type="pct"/>
            <w:shd w:val="clear" w:color="auto" w:fill="auto"/>
            <w:vAlign w:val="center"/>
          </w:tcPr>
          <w:p w:rsidR="000C5659" w:rsidRDefault="000E33C4">
            <w:pPr>
              <w:ind w:firstLineChars="300" w:firstLine="630"/>
              <w:rPr>
                <w:color w:val="000000" w:themeColor="text1"/>
              </w:rPr>
            </w:pPr>
            <w:r>
              <w:rPr>
                <w:rFonts w:hint="eastAsia"/>
                <w:color w:val="000000" w:themeColor="text1"/>
              </w:rPr>
              <w:t>（1）计提</w:t>
            </w:r>
          </w:p>
        </w:tc>
        <w:tc>
          <w:tcPr>
            <w:tcW w:w="874" w:type="pct"/>
            <w:shd w:val="clear" w:color="auto" w:fill="auto"/>
            <w:vAlign w:val="center"/>
          </w:tcPr>
          <w:p w:rsidR="000C5659" w:rsidRDefault="000C5659">
            <w:pPr>
              <w:jc w:val="right"/>
            </w:pPr>
          </w:p>
        </w:tc>
        <w:tc>
          <w:tcPr>
            <w:tcW w:w="874" w:type="pct"/>
            <w:shd w:val="clear" w:color="auto" w:fill="auto"/>
            <w:vAlign w:val="center"/>
          </w:tcPr>
          <w:p w:rsidR="000C5659" w:rsidRDefault="000C5659">
            <w:pPr>
              <w:jc w:val="right"/>
            </w:pPr>
          </w:p>
        </w:tc>
        <w:tc>
          <w:tcPr>
            <w:tcW w:w="873" w:type="pct"/>
            <w:shd w:val="clear" w:color="auto" w:fill="auto"/>
            <w:vAlign w:val="center"/>
          </w:tcPr>
          <w:p w:rsidR="000C5659" w:rsidRDefault="000C5659">
            <w:pPr>
              <w:jc w:val="right"/>
            </w:pPr>
          </w:p>
        </w:tc>
        <w:tc>
          <w:tcPr>
            <w:tcW w:w="884" w:type="pct"/>
            <w:shd w:val="clear" w:color="auto" w:fill="auto"/>
            <w:vAlign w:val="center"/>
          </w:tcPr>
          <w:p w:rsidR="000C5659" w:rsidRDefault="000C5659">
            <w:pPr>
              <w:jc w:val="right"/>
            </w:pPr>
          </w:p>
        </w:tc>
        <w:tc>
          <w:tcPr>
            <w:tcW w:w="862" w:type="pct"/>
            <w:shd w:val="clear" w:color="auto" w:fill="auto"/>
            <w:vAlign w:val="center"/>
          </w:tcPr>
          <w:p w:rsidR="000C5659" w:rsidRDefault="000C5659">
            <w:pPr>
              <w:jc w:val="right"/>
            </w:pP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rFonts w:hint="eastAsia"/>
                <w:color w:val="000000" w:themeColor="text1"/>
              </w:rPr>
              <w:t>3.本期减少金额</w:t>
            </w:r>
          </w:p>
        </w:tc>
        <w:tc>
          <w:tcPr>
            <w:tcW w:w="874" w:type="pct"/>
            <w:shd w:val="clear" w:color="auto" w:fill="auto"/>
            <w:vAlign w:val="center"/>
          </w:tcPr>
          <w:p w:rsidR="000C5659" w:rsidRDefault="000C5659">
            <w:pPr>
              <w:jc w:val="right"/>
            </w:pPr>
          </w:p>
        </w:tc>
        <w:tc>
          <w:tcPr>
            <w:tcW w:w="874" w:type="pct"/>
            <w:shd w:val="clear" w:color="auto" w:fill="auto"/>
            <w:vAlign w:val="center"/>
          </w:tcPr>
          <w:p w:rsidR="000C5659" w:rsidRDefault="000C5659">
            <w:pPr>
              <w:jc w:val="right"/>
            </w:pPr>
          </w:p>
        </w:tc>
        <w:tc>
          <w:tcPr>
            <w:tcW w:w="873" w:type="pct"/>
            <w:shd w:val="clear" w:color="auto" w:fill="auto"/>
            <w:vAlign w:val="center"/>
          </w:tcPr>
          <w:p w:rsidR="000C5659" w:rsidRDefault="000C5659">
            <w:pPr>
              <w:jc w:val="right"/>
            </w:pPr>
          </w:p>
        </w:tc>
        <w:tc>
          <w:tcPr>
            <w:tcW w:w="884" w:type="pct"/>
            <w:shd w:val="clear" w:color="auto" w:fill="auto"/>
            <w:vAlign w:val="center"/>
          </w:tcPr>
          <w:p w:rsidR="000C5659" w:rsidRDefault="000C5659">
            <w:pPr>
              <w:jc w:val="right"/>
            </w:pPr>
          </w:p>
        </w:tc>
        <w:tc>
          <w:tcPr>
            <w:tcW w:w="862" w:type="pct"/>
            <w:shd w:val="clear" w:color="auto" w:fill="auto"/>
            <w:vAlign w:val="center"/>
          </w:tcPr>
          <w:p w:rsidR="000C5659" w:rsidRDefault="000C5659">
            <w:pPr>
              <w:jc w:val="right"/>
            </w:pPr>
          </w:p>
        </w:tc>
      </w:tr>
      <w:tr w:rsidR="000C5659" w:rsidTr="00BC4888">
        <w:trPr>
          <w:jc w:val="right"/>
        </w:trPr>
        <w:tc>
          <w:tcPr>
            <w:tcW w:w="633" w:type="pct"/>
            <w:shd w:val="clear" w:color="auto" w:fill="auto"/>
            <w:vAlign w:val="center"/>
          </w:tcPr>
          <w:p w:rsidR="000C5659" w:rsidRDefault="000E33C4">
            <w:pPr>
              <w:ind w:firstLineChars="300" w:firstLine="630"/>
              <w:rPr>
                <w:color w:val="000000" w:themeColor="text1"/>
              </w:rPr>
            </w:pPr>
            <w:r>
              <w:rPr>
                <w:rFonts w:hint="eastAsia"/>
                <w:color w:val="000000" w:themeColor="text1"/>
              </w:rPr>
              <w:t>（1）处置或报废</w:t>
            </w:r>
          </w:p>
        </w:tc>
        <w:tc>
          <w:tcPr>
            <w:tcW w:w="874" w:type="pct"/>
            <w:shd w:val="clear" w:color="auto" w:fill="auto"/>
            <w:vAlign w:val="center"/>
          </w:tcPr>
          <w:p w:rsidR="000C5659" w:rsidRDefault="000C5659">
            <w:pPr>
              <w:jc w:val="right"/>
            </w:pPr>
          </w:p>
        </w:tc>
        <w:tc>
          <w:tcPr>
            <w:tcW w:w="874" w:type="pct"/>
            <w:shd w:val="clear" w:color="auto" w:fill="auto"/>
            <w:vAlign w:val="center"/>
          </w:tcPr>
          <w:p w:rsidR="000C5659" w:rsidRDefault="000C5659">
            <w:pPr>
              <w:jc w:val="right"/>
            </w:pPr>
          </w:p>
        </w:tc>
        <w:tc>
          <w:tcPr>
            <w:tcW w:w="873" w:type="pct"/>
            <w:shd w:val="clear" w:color="auto" w:fill="auto"/>
            <w:vAlign w:val="center"/>
          </w:tcPr>
          <w:p w:rsidR="000C5659" w:rsidRDefault="000C5659">
            <w:pPr>
              <w:jc w:val="right"/>
            </w:pPr>
          </w:p>
        </w:tc>
        <w:tc>
          <w:tcPr>
            <w:tcW w:w="884" w:type="pct"/>
            <w:shd w:val="clear" w:color="auto" w:fill="auto"/>
            <w:vAlign w:val="center"/>
          </w:tcPr>
          <w:p w:rsidR="000C5659" w:rsidRDefault="000C5659">
            <w:pPr>
              <w:jc w:val="right"/>
            </w:pPr>
          </w:p>
        </w:tc>
        <w:tc>
          <w:tcPr>
            <w:tcW w:w="862" w:type="pct"/>
            <w:shd w:val="clear" w:color="auto" w:fill="auto"/>
            <w:vAlign w:val="center"/>
          </w:tcPr>
          <w:p w:rsidR="000C5659" w:rsidRDefault="000C5659">
            <w:pPr>
              <w:jc w:val="right"/>
            </w:pP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rFonts w:hint="eastAsia"/>
                <w:color w:val="000000" w:themeColor="text1"/>
              </w:rPr>
              <w:t>4.期末余额</w:t>
            </w:r>
          </w:p>
        </w:tc>
        <w:tc>
          <w:tcPr>
            <w:tcW w:w="874" w:type="pct"/>
            <w:shd w:val="clear" w:color="auto" w:fill="auto"/>
            <w:vAlign w:val="center"/>
          </w:tcPr>
          <w:p w:rsidR="000C5659" w:rsidRDefault="000C5659">
            <w:pPr>
              <w:jc w:val="right"/>
            </w:pPr>
          </w:p>
        </w:tc>
        <w:tc>
          <w:tcPr>
            <w:tcW w:w="874" w:type="pct"/>
            <w:shd w:val="clear" w:color="auto" w:fill="auto"/>
            <w:vAlign w:val="center"/>
          </w:tcPr>
          <w:p w:rsidR="000C5659" w:rsidRDefault="000C5659">
            <w:pPr>
              <w:jc w:val="right"/>
            </w:pPr>
          </w:p>
        </w:tc>
        <w:tc>
          <w:tcPr>
            <w:tcW w:w="873" w:type="pct"/>
            <w:shd w:val="clear" w:color="auto" w:fill="auto"/>
            <w:vAlign w:val="center"/>
          </w:tcPr>
          <w:p w:rsidR="000C5659" w:rsidRDefault="000C5659">
            <w:pPr>
              <w:jc w:val="right"/>
            </w:pPr>
          </w:p>
        </w:tc>
        <w:tc>
          <w:tcPr>
            <w:tcW w:w="884" w:type="pct"/>
            <w:shd w:val="clear" w:color="auto" w:fill="auto"/>
            <w:vAlign w:val="center"/>
          </w:tcPr>
          <w:p w:rsidR="000C5659" w:rsidRDefault="000C5659">
            <w:pPr>
              <w:jc w:val="right"/>
            </w:pPr>
          </w:p>
        </w:tc>
        <w:tc>
          <w:tcPr>
            <w:tcW w:w="862" w:type="pct"/>
            <w:shd w:val="clear" w:color="auto" w:fill="auto"/>
            <w:vAlign w:val="center"/>
          </w:tcPr>
          <w:p w:rsidR="000C5659" w:rsidRDefault="000C5659">
            <w:pPr>
              <w:jc w:val="right"/>
            </w:pPr>
          </w:p>
        </w:tc>
      </w:tr>
      <w:tr w:rsidR="000C5659">
        <w:trPr>
          <w:jc w:val="right"/>
        </w:trPr>
        <w:sdt>
          <w:sdtPr>
            <w:rPr>
              <w:color w:val="000000" w:themeColor="text1"/>
            </w:rPr>
            <w:tag w:val="_PLD_bea29c32f5204124a483fa6e274ca7df"/>
            <w:id w:val="1184635577"/>
          </w:sdtPr>
          <w:sdtEndPr/>
          <w:sdtContent>
            <w:tc>
              <w:tcPr>
                <w:tcW w:w="5000" w:type="pct"/>
                <w:gridSpan w:val="6"/>
                <w:shd w:val="clear" w:color="auto" w:fill="auto"/>
                <w:vAlign w:val="center"/>
              </w:tcPr>
              <w:p w:rsidR="000C5659" w:rsidRDefault="000E33C4">
                <w:pPr>
                  <w:rPr>
                    <w:color w:val="000000" w:themeColor="text1"/>
                  </w:rPr>
                </w:pPr>
                <w:r>
                  <w:rPr>
                    <w:rFonts w:hint="eastAsia"/>
                    <w:color w:val="000000" w:themeColor="text1"/>
                  </w:rPr>
                  <w:t>四、账面价值</w:t>
                </w:r>
              </w:p>
            </w:tc>
          </w:sdtContent>
        </w:sdt>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rFonts w:hint="eastAsia"/>
                <w:color w:val="000000" w:themeColor="text1"/>
              </w:rPr>
              <w:t>1.期末账面价值</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166,999,002.50</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231,239,142.71</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4,057,101.58</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93,147,479.38</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495,442,726.17</w:t>
            </w:r>
          </w:p>
        </w:tc>
      </w:tr>
      <w:tr w:rsidR="000C5659" w:rsidTr="00BC4888">
        <w:trPr>
          <w:jc w:val="right"/>
        </w:trPr>
        <w:tc>
          <w:tcPr>
            <w:tcW w:w="633" w:type="pct"/>
            <w:shd w:val="clear" w:color="auto" w:fill="auto"/>
            <w:vAlign w:val="center"/>
          </w:tcPr>
          <w:p w:rsidR="000C5659" w:rsidRDefault="000E33C4">
            <w:pPr>
              <w:ind w:firstLineChars="200" w:firstLine="420"/>
              <w:rPr>
                <w:color w:val="000000" w:themeColor="text1"/>
              </w:rPr>
            </w:pPr>
            <w:r>
              <w:rPr>
                <w:rFonts w:hint="eastAsia"/>
                <w:color w:val="000000" w:themeColor="text1"/>
              </w:rPr>
              <w:t>2.期初账面价值</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147,710,723.41</w:t>
            </w:r>
          </w:p>
        </w:tc>
        <w:tc>
          <w:tcPr>
            <w:tcW w:w="874" w:type="pct"/>
            <w:shd w:val="clear" w:color="auto" w:fill="auto"/>
            <w:vAlign w:val="center"/>
          </w:tcPr>
          <w:p w:rsidR="000C5659" w:rsidRDefault="000E33C4">
            <w:pPr>
              <w:jc w:val="right"/>
              <w:textAlignment w:val="center"/>
              <w:rPr>
                <w:color w:val="000000"/>
                <w:lang w:bidi="ar"/>
              </w:rPr>
            </w:pPr>
            <w:r>
              <w:rPr>
                <w:rFonts w:hint="eastAsia"/>
                <w:color w:val="000000"/>
                <w:lang w:bidi="ar"/>
              </w:rPr>
              <w:t>206,274,111.91</w:t>
            </w:r>
          </w:p>
        </w:tc>
        <w:tc>
          <w:tcPr>
            <w:tcW w:w="873" w:type="pct"/>
            <w:shd w:val="clear" w:color="auto" w:fill="auto"/>
            <w:vAlign w:val="center"/>
          </w:tcPr>
          <w:p w:rsidR="000C5659" w:rsidRDefault="000E33C4">
            <w:pPr>
              <w:jc w:val="right"/>
              <w:textAlignment w:val="center"/>
              <w:rPr>
                <w:color w:val="000000"/>
                <w:lang w:bidi="ar"/>
              </w:rPr>
            </w:pPr>
            <w:r>
              <w:rPr>
                <w:rFonts w:hint="eastAsia"/>
                <w:color w:val="000000"/>
                <w:lang w:bidi="ar"/>
              </w:rPr>
              <w:t>2,647,607.39</w:t>
            </w:r>
          </w:p>
        </w:tc>
        <w:tc>
          <w:tcPr>
            <w:tcW w:w="884" w:type="pct"/>
            <w:shd w:val="clear" w:color="auto" w:fill="auto"/>
            <w:vAlign w:val="center"/>
          </w:tcPr>
          <w:p w:rsidR="000C5659" w:rsidRDefault="000E33C4">
            <w:pPr>
              <w:jc w:val="right"/>
              <w:textAlignment w:val="center"/>
              <w:rPr>
                <w:color w:val="000000"/>
                <w:lang w:bidi="ar"/>
              </w:rPr>
            </w:pPr>
            <w:r>
              <w:rPr>
                <w:rFonts w:hint="eastAsia"/>
                <w:color w:val="000000"/>
                <w:lang w:bidi="ar"/>
              </w:rPr>
              <w:t>99,233,588.69</w:t>
            </w:r>
          </w:p>
        </w:tc>
        <w:tc>
          <w:tcPr>
            <w:tcW w:w="862" w:type="pct"/>
            <w:shd w:val="clear" w:color="auto" w:fill="auto"/>
            <w:vAlign w:val="center"/>
          </w:tcPr>
          <w:p w:rsidR="000C5659" w:rsidRDefault="000E33C4">
            <w:pPr>
              <w:jc w:val="right"/>
              <w:textAlignment w:val="center"/>
              <w:rPr>
                <w:color w:val="000000"/>
                <w:lang w:bidi="ar"/>
              </w:rPr>
            </w:pPr>
            <w:r>
              <w:rPr>
                <w:rFonts w:hint="eastAsia"/>
                <w:color w:val="000000"/>
                <w:lang w:bidi="ar"/>
              </w:rPr>
              <w:t>455,866,031.40</w:t>
            </w:r>
          </w:p>
        </w:tc>
      </w:tr>
    </w:tbl>
    <w:p w:rsidR="000C5659" w:rsidRDefault="000C5659">
      <w:pPr>
        <w:rPr>
          <w:color w:val="000000" w:themeColor="text1"/>
        </w:rPr>
      </w:pPr>
    </w:p>
    <w:p w:rsidR="000C5659" w:rsidRDefault="000E33C4" w:rsidP="000743DD">
      <w:pPr>
        <w:pStyle w:val="43"/>
        <w:numPr>
          <w:ilvl w:val="0"/>
          <w:numId w:val="67"/>
        </w:numPr>
        <w:tabs>
          <w:tab w:val="left" w:pos="588"/>
        </w:tabs>
        <w:rPr>
          <w:rFonts w:ascii="宋体" w:hAnsi="宋体"/>
          <w:color w:val="000000" w:themeColor="text1"/>
          <w:szCs w:val="21"/>
        </w:rPr>
      </w:pPr>
      <w:r>
        <w:rPr>
          <w:rFonts w:ascii="宋体" w:hAnsi="宋体" w:hint="eastAsia"/>
          <w:color w:val="000000" w:themeColor="text1"/>
          <w:szCs w:val="21"/>
        </w:rPr>
        <w:t>暂时闲置的固定资产情况</w:t>
      </w:r>
    </w:p>
    <w:sdt>
      <w:sdtPr>
        <w:rPr>
          <w:color w:val="000000" w:themeColor="text1"/>
        </w:rPr>
        <w:alias w:val="是否适用：暂时闲置的固定资产情况[双击切换]"/>
        <w:tag w:val="_GBC_ca31f29118c7481f95f99a2655f8c1e1"/>
        <w:id w:val="192452676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67"/>
        </w:numPr>
        <w:tabs>
          <w:tab w:val="left" w:pos="588"/>
        </w:tabs>
        <w:rPr>
          <w:rFonts w:ascii="宋体" w:hAnsi="宋体"/>
          <w:color w:val="000000" w:themeColor="text1"/>
          <w:szCs w:val="21"/>
        </w:rPr>
      </w:pPr>
      <w:r>
        <w:rPr>
          <w:rFonts w:ascii="宋体" w:hAnsi="宋体" w:hint="eastAsia"/>
          <w:color w:val="000000" w:themeColor="text1"/>
          <w:szCs w:val="21"/>
        </w:rPr>
        <w:t>通过经营租赁租出的固定资产</w:t>
      </w:r>
    </w:p>
    <w:sdt>
      <w:sdtPr>
        <w:rPr>
          <w:color w:val="000000" w:themeColor="text1"/>
        </w:rPr>
        <w:alias w:val="是否适用：通过经营租赁租出的固定资产[双击切换]"/>
        <w:tag w:val="_GBC_251e1c74f40b47869d759974b0f6a463"/>
        <w:id w:val="-159623918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67"/>
        </w:numPr>
        <w:tabs>
          <w:tab w:val="left" w:pos="588"/>
        </w:tabs>
        <w:rPr>
          <w:rFonts w:ascii="宋体" w:hAnsi="宋体"/>
          <w:color w:val="000000" w:themeColor="text1"/>
          <w:szCs w:val="21"/>
        </w:rPr>
      </w:pPr>
      <w:r>
        <w:rPr>
          <w:rFonts w:ascii="宋体" w:hAnsi="宋体" w:hint="eastAsia"/>
          <w:color w:val="000000" w:themeColor="text1"/>
          <w:szCs w:val="21"/>
        </w:rPr>
        <w:t>未办妥产权证书的固定资产情况</w:t>
      </w:r>
    </w:p>
    <w:sdt>
      <w:sdtPr>
        <w:rPr>
          <w:color w:val="000000" w:themeColor="text1"/>
        </w:rPr>
        <w:alias w:val="是否适用：未办妥产权证书的固定资产情况[双击切换]"/>
        <w:tag w:val="_GBC_a26aa363313e4c8fbedf9041cd41bfc9"/>
        <w:id w:val="66506042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67"/>
        </w:numPr>
        <w:tabs>
          <w:tab w:val="left" w:pos="588"/>
        </w:tabs>
        <w:rPr>
          <w:rFonts w:ascii="宋体" w:hAnsi="宋体"/>
          <w:color w:val="000000" w:themeColor="text1"/>
          <w:szCs w:val="21"/>
        </w:rPr>
      </w:pPr>
      <w:bookmarkStart w:id="270" w:name="_Hlk167957241"/>
      <w:bookmarkStart w:id="271" w:name="_Hlk153460880"/>
      <w:r>
        <w:rPr>
          <w:rFonts w:ascii="宋体" w:hAnsi="宋体" w:hint="eastAsia"/>
          <w:color w:val="000000" w:themeColor="text1"/>
          <w:szCs w:val="21"/>
        </w:rPr>
        <w:t>固定资产的减值测试情况</w:t>
      </w:r>
    </w:p>
    <w:sdt>
      <w:sdtPr>
        <w:rPr>
          <w:color w:val="000000" w:themeColor="text1"/>
        </w:rPr>
        <w:alias w:val="是否适用：减值测试情况[双击切换]"/>
        <w:tag w:val="_GBC_9a66caee6756422c9cb01da54631670e"/>
        <w:id w:val="14285624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70"/>
    <w:bookmarkEnd w:id="271"/>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固定资产的说明[双击切换]"/>
        <w:tag w:val="_GBC_e2fd7087594d4949ada40807334de5fb"/>
        <w:id w:val="213181792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43"/>
        <w:rPr>
          <w:rFonts w:ascii="宋体" w:hAnsi="宋体"/>
          <w:color w:val="000000" w:themeColor="text1"/>
        </w:rPr>
      </w:pPr>
      <w:r>
        <w:rPr>
          <w:rFonts w:ascii="宋体" w:hAnsi="宋体" w:hint="eastAsia"/>
          <w:color w:val="000000" w:themeColor="text1"/>
        </w:rPr>
        <w:t>固定资产清理</w:t>
      </w:r>
    </w:p>
    <w:sdt>
      <w:sdtPr>
        <w:rPr>
          <w:color w:val="000000" w:themeColor="text1"/>
        </w:rPr>
        <w:alias w:val="是否适用：固定资产清理[双击切换]"/>
        <w:tag w:val="_GBC_d005d220fbda4cd2a58ced6d0d7a1404"/>
        <w:id w:val="17864608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在建工程</w:t>
      </w:r>
    </w:p>
    <w:p w:rsidR="000C5659" w:rsidRDefault="000E33C4">
      <w:pPr>
        <w:pStyle w:val="43"/>
        <w:rPr>
          <w:rFonts w:ascii="宋体" w:hAnsi="宋体"/>
          <w:color w:val="000000" w:themeColor="text1"/>
        </w:rPr>
      </w:pPr>
      <w:bookmarkStart w:id="272" w:name="_Hlk10472757"/>
      <w:r>
        <w:rPr>
          <w:rFonts w:ascii="宋体" w:hAnsi="宋体" w:hint="eastAsia"/>
          <w:color w:val="000000" w:themeColor="text1"/>
        </w:rPr>
        <w:t>项目列示</w:t>
      </w:r>
    </w:p>
    <w:sdt>
      <w:sdtPr>
        <w:rPr>
          <w:color w:val="000000" w:themeColor="text1"/>
        </w:rPr>
        <w:alias w:val="是否适用：在建工程分类列示[双击切换]"/>
        <w:tag w:val="_GBC_bcbd4315343844fc923825dd150041e5"/>
        <w:id w:val="61549327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在建工程分类列示"/>
          <w:tag w:val="_GBC_9df8e16a6fb54a76b384d11e7a6dd52d"/>
          <w:id w:val="3933189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在建工程分类列示"/>
          <w:tag w:val="_GBC_17b0bdb7b5f24e599fcea2e90510306a"/>
          <w:id w:val="20767093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0C5659">
        <w:trPr>
          <w:cantSplit/>
        </w:trPr>
        <w:bookmarkEnd w:id="272" w:displacedByCustomXml="next"/>
        <w:bookmarkStart w:id="273" w:name="_Hlk10472837" w:displacedByCustomXml="next"/>
        <w:bookmarkStart w:id="274" w:name="_Hlk10472848" w:displacedByCustomXml="next"/>
        <w:sdt>
          <w:sdtPr>
            <w:rPr>
              <w:color w:val="000000" w:themeColor="text1"/>
            </w:rPr>
            <w:tag w:val="_PLD_3a34a6496ee4454093b17b19ba9b805d"/>
            <w:id w:val="469015245"/>
          </w:sdtPr>
          <w:sdtEndPr/>
          <w:sdtContent>
            <w:tc>
              <w:tcPr>
                <w:tcW w:w="1764" w:type="pct"/>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88973d2835334cdbb31181ad26b55912"/>
            <w:id w:val="-80522977"/>
          </w:sdtPr>
          <w:sdtEndPr/>
          <w:sdtContent>
            <w:tc>
              <w:tcPr>
                <w:tcW w:w="1622" w:type="pct"/>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55f5bd8851c54b7897a165bee2df0273"/>
            <w:id w:val="1777216981"/>
          </w:sdtPr>
          <w:sdtEndPr/>
          <w:sdtContent>
            <w:tc>
              <w:tcPr>
                <w:tcW w:w="1614" w:type="pct"/>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1764" w:type="pct"/>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在建工程</w:t>
            </w:r>
          </w:p>
        </w:tc>
        <w:tc>
          <w:tcPr>
            <w:tcW w:w="1622" w:type="pct"/>
          </w:tcPr>
          <w:p w:rsidR="000C5659" w:rsidRDefault="000E33C4">
            <w:pPr>
              <w:ind w:right="5"/>
              <w:jc w:val="right"/>
            </w:pPr>
            <w:r>
              <w:rPr>
                <w:rFonts w:hint="eastAsia"/>
              </w:rPr>
              <w:t>24,081,956.10</w:t>
            </w:r>
          </w:p>
        </w:tc>
        <w:tc>
          <w:tcPr>
            <w:tcW w:w="1614" w:type="pct"/>
          </w:tcPr>
          <w:p w:rsidR="000C5659" w:rsidRDefault="000E33C4">
            <w:pPr>
              <w:ind w:right="5"/>
              <w:jc w:val="right"/>
            </w:pPr>
            <w:r>
              <w:t>2,303,703.65</w:t>
            </w:r>
          </w:p>
        </w:tc>
      </w:tr>
      <w:tr w:rsidR="000C5659">
        <w:trPr>
          <w:cantSplit/>
        </w:trPr>
        <w:tc>
          <w:tcPr>
            <w:tcW w:w="1764" w:type="pct"/>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工程物资</w:t>
            </w:r>
          </w:p>
        </w:tc>
        <w:tc>
          <w:tcPr>
            <w:tcW w:w="1622" w:type="pct"/>
          </w:tcPr>
          <w:p w:rsidR="000C5659" w:rsidRDefault="000C5659">
            <w:pPr>
              <w:ind w:right="5"/>
              <w:jc w:val="right"/>
            </w:pPr>
          </w:p>
        </w:tc>
        <w:tc>
          <w:tcPr>
            <w:tcW w:w="1614" w:type="pct"/>
          </w:tcPr>
          <w:p w:rsidR="000C5659" w:rsidRDefault="000C5659">
            <w:pPr>
              <w:ind w:right="5"/>
              <w:jc w:val="right"/>
            </w:pPr>
          </w:p>
        </w:tc>
      </w:tr>
      <w:tr w:rsidR="000C5659">
        <w:trPr>
          <w:cantSplit/>
        </w:trPr>
        <w:tc>
          <w:tcPr>
            <w:tcW w:w="1764" w:type="pct"/>
            <w:vAlign w:val="center"/>
          </w:tcPr>
          <w:p w:rsidR="000C5659" w:rsidRDefault="000E33C4">
            <w:pPr>
              <w:autoSpaceDE w:val="0"/>
              <w:autoSpaceDN w:val="0"/>
              <w:adjustRightInd w:val="0"/>
              <w:jc w:val="center"/>
              <w:rPr>
                <w:color w:val="000000" w:themeColor="text1"/>
              </w:rPr>
            </w:pPr>
            <w:r>
              <w:rPr>
                <w:rFonts w:hint="eastAsia"/>
                <w:color w:val="000000" w:themeColor="text1"/>
              </w:rPr>
              <w:t>合计</w:t>
            </w:r>
          </w:p>
        </w:tc>
        <w:tc>
          <w:tcPr>
            <w:tcW w:w="1622" w:type="pct"/>
          </w:tcPr>
          <w:p w:rsidR="000C5659" w:rsidRDefault="000E33C4">
            <w:pPr>
              <w:jc w:val="right"/>
            </w:pPr>
            <w:r>
              <w:rPr>
                <w:rFonts w:hint="eastAsia"/>
              </w:rPr>
              <w:t>24,081,956.10</w:t>
            </w:r>
          </w:p>
        </w:tc>
        <w:tc>
          <w:tcPr>
            <w:tcW w:w="1614" w:type="pct"/>
          </w:tcPr>
          <w:p w:rsidR="000C5659" w:rsidRDefault="000E33C4">
            <w:pPr>
              <w:ind w:right="5"/>
              <w:jc w:val="right"/>
            </w:pPr>
            <w:r>
              <w:t>2,303,703.65</w:t>
            </w:r>
          </w:p>
        </w:tc>
      </w:tr>
    </w:tbl>
    <w:p w:rsidR="000C5659" w:rsidRDefault="000C5659">
      <w:pPr>
        <w:pStyle w:val="Style325"/>
      </w:pPr>
    </w:p>
    <w:p w:rsidR="000C5659" w:rsidRDefault="000E33C4">
      <w:pPr>
        <w:rPr>
          <w:color w:val="000000" w:themeColor="text1"/>
        </w:rPr>
      </w:pPr>
      <w:r>
        <w:rPr>
          <w:rFonts w:hint="eastAsia"/>
          <w:color w:val="000000" w:themeColor="text1"/>
        </w:rPr>
        <w:lastRenderedPageBreak/>
        <w:t>其他说明：</w:t>
      </w:r>
      <w:bookmarkEnd w:id="273"/>
    </w:p>
    <w:p w:rsidR="000C5659" w:rsidRDefault="00220B84">
      <w:pPr>
        <w:rPr>
          <w:color w:val="000000" w:themeColor="text1"/>
        </w:rPr>
      </w:pPr>
      <w:sdt>
        <w:sdtPr>
          <w:rPr>
            <w:color w:val="000000" w:themeColor="text1"/>
          </w:rPr>
          <w:alias w:val="在建工程分类列示其他说明"/>
          <w:tag w:val="_GBC_ebe1a06b82914095a2c469c32c78af71"/>
          <w:id w:val="-1959333717"/>
          <w:placeholder>
            <w:docPart w:val="GBC22222222222222222222222222222"/>
          </w:placeholder>
        </w:sdtPr>
        <w:sdtEndPr/>
        <w:sdtContent>
          <w:r w:rsidR="000E33C4">
            <w:rPr>
              <w:rFonts w:hint="eastAsia"/>
              <w:color w:val="000000" w:themeColor="text1"/>
            </w:rPr>
            <w:t>无</w:t>
          </w:r>
        </w:sdtContent>
      </w:sdt>
    </w:p>
    <w:bookmarkEnd w:id="274"/>
    <w:p w:rsidR="000C5659" w:rsidRDefault="000C5659">
      <w:pPr>
        <w:rPr>
          <w:color w:val="000000" w:themeColor="text1"/>
        </w:rPr>
      </w:pPr>
    </w:p>
    <w:p w:rsidR="000C5659" w:rsidRDefault="000E33C4">
      <w:pPr>
        <w:pStyle w:val="43"/>
        <w:rPr>
          <w:rFonts w:ascii="宋体" w:hAnsi="宋体"/>
          <w:color w:val="000000" w:themeColor="text1"/>
        </w:rPr>
      </w:pPr>
      <w:r>
        <w:rPr>
          <w:rFonts w:ascii="宋体" w:hAnsi="宋体" w:hint="eastAsia"/>
          <w:color w:val="000000" w:themeColor="text1"/>
        </w:rPr>
        <w:t>在建工程</w:t>
      </w:r>
    </w:p>
    <w:p w:rsidR="000C5659" w:rsidRDefault="000E33C4" w:rsidP="000743DD">
      <w:pPr>
        <w:pStyle w:val="43"/>
        <w:numPr>
          <w:ilvl w:val="0"/>
          <w:numId w:val="68"/>
        </w:numPr>
        <w:tabs>
          <w:tab w:val="left" w:pos="588"/>
        </w:tabs>
        <w:rPr>
          <w:rFonts w:ascii="宋体" w:hAnsi="宋体"/>
          <w:color w:val="000000" w:themeColor="text1"/>
          <w:szCs w:val="21"/>
        </w:rPr>
      </w:pPr>
      <w:r>
        <w:rPr>
          <w:rFonts w:ascii="宋体" w:hAnsi="宋体" w:hint="eastAsia"/>
          <w:color w:val="000000" w:themeColor="text1"/>
          <w:szCs w:val="21"/>
        </w:rPr>
        <w:t>在建工程情况</w:t>
      </w:r>
    </w:p>
    <w:sdt>
      <w:sdtPr>
        <w:rPr>
          <w:color w:val="000000" w:themeColor="text1"/>
        </w:rPr>
        <w:alias w:val="是否适用：在建工程情况[双击切换]"/>
        <w:tag w:val="_GBC_d9828cc7ad534f26902e1979f9d67530"/>
        <w:id w:val="85755510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在建工程"/>
          <w:tag w:val="_GBC_d20598ce3f5b4d21a9055de674936a9a"/>
          <w:id w:val="5828151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在建工程"/>
          <w:tag w:val="_GBC_9e96d736daa247dd96af144329fff105"/>
          <w:id w:val="-15817478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530"/>
        <w:gridCol w:w="1427"/>
        <w:gridCol w:w="861"/>
        <w:gridCol w:w="1500"/>
        <w:gridCol w:w="1322"/>
        <w:gridCol w:w="861"/>
        <w:gridCol w:w="1322"/>
      </w:tblGrid>
      <w:tr w:rsidR="000C5659">
        <w:trPr>
          <w:cantSplit/>
        </w:trPr>
        <w:sdt>
          <w:sdtPr>
            <w:rPr>
              <w:color w:val="000000" w:themeColor="text1"/>
            </w:rPr>
            <w:tag w:val="_PLD_27b31695edfd49cb9cafa333777d18c3"/>
            <w:id w:val="-915480919"/>
          </w:sdtPr>
          <w:sdtEndPr/>
          <w:sdtContent>
            <w:tc>
              <w:tcPr>
                <w:tcW w:w="875" w:type="pct"/>
                <w:vMerge w:val="restart"/>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a5273bde7b2f4c6c8fbe3ea2d7a7eb84"/>
            <w:id w:val="1369417677"/>
          </w:sdtPr>
          <w:sdtEndPr/>
          <w:sdtContent>
            <w:tc>
              <w:tcPr>
                <w:tcW w:w="2141" w:type="pct"/>
                <w:gridSpan w:val="3"/>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ac57490b080449c8b91be5a872e19f79"/>
            <w:id w:val="-1087761181"/>
          </w:sdtPr>
          <w:sdtEndPr/>
          <w:sdtContent>
            <w:tc>
              <w:tcPr>
                <w:tcW w:w="1982" w:type="pct"/>
                <w:gridSpan w:val="3"/>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875" w:type="pct"/>
            <w:vMerge/>
            <w:vAlign w:val="center"/>
          </w:tcPr>
          <w:p w:rsidR="000C5659" w:rsidRDefault="000C5659">
            <w:pPr>
              <w:tabs>
                <w:tab w:val="left" w:pos="420"/>
              </w:tabs>
              <w:ind w:left="420" w:hanging="420"/>
              <w:jc w:val="center"/>
              <w:rPr>
                <w:color w:val="000000" w:themeColor="text1"/>
              </w:rPr>
            </w:pPr>
          </w:p>
        </w:tc>
        <w:sdt>
          <w:sdtPr>
            <w:rPr>
              <w:color w:val="000000" w:themeColor="text1"/>
            </w:rPr>
            <w:tag w:val="_PLD_1d60491359e245e7bc54655c8c8c15fd"/>
            <w:id w:val="-1502580991"/>
          </w:sdtPr>
          <w:sdtEndPr/>
          <w:sdtContent>
            <w:tc>
              <w:tcPr>
                <w:tcW w:w="802" w:type="pct"/>
                <w:vAlign w:val="center"/>
              </w:tcPr>
              <w:p w:rsidR="000C5659" w:rsidRDefault="000E33C4">
                <w:pPr>
                  <w:tabs>
                    <w:tab w:val="left" w:pos="420"/>
                  </w:tabs>
                  <w:ind w:left="420" w:hanging="420"/>
                  <w:jc w:val="center"/>
                  <w:rPr>
                    <w:color w:val="000000" w:themeColor="text1"/>
                  </w:rPr>
                </w:pPr>
                <w:r>
                  <w:rPr>
                    <w:rFonts w:hint="eastAsia"/>
                    <w:color w:val="000000" w:themeColor="text1"/>
                  </w:rPr>
                  <w:t>账面余额</w:t>
                </w:r>
              </w:p>
            </w:tc>
          </w:sdtContent>
        </w:sdt>
        <w:sdt>
          <w:sdtPr>
            <w:rPr>
              <w:color w:val="000000" w:themeColor="text1"/>
            </w:rPr>
            <w:tag w:val="_PLD_d5d8fa5186d44c82b146ad7151830389"/>
            <w:id w:val="-577522962"/>
          </w:sdtPr>
          <w:sdtEndPr/>
          <w:sdtContent>
            <w:tc>
              <w:tcPr>
                <w:tcW w:w="496" w:type="pct"/>
                <w:vAlign w:val="center"/>
              </w:tcPr>
              <w:p w:rsidR="000C5659" w:rsidRDefault="000E33C4">
                <w:pPr>
                  <w:tabs>
                    <w:tab w:val="left" w:pos="420"/>
                  </w:tabs>
                  <w:ind w:left="420" w:hanging="420"/>
                  <w:jc w:val="center"/>
                  <w:rPr>
                    <w:color w:val="000000" w:themeColor="text1"/>
                  </w:rPr>
                </w:pPr>
                <w:r>
                  <w:rPr>
                    <w:rFonts w:hint="eastAsia"/>
                    <w:color w:val="000000" w:themeColor="text1"/>
                  </w:rPr>
                  <w:t>减值准备</w:t>
                </w:r>
              </w:p>
            </w:tc>
          </w:sdtContent>
        </w:sdt>
        <w:sdt>
          <w:sdtPr>
            <w:rPr>
              <w:color w:val="000000" w:themeColor="text1"/>
            </w:rPr>
            <w:tag w:val="_PLD_49aa1c2d25814b789479d76afb6fc844"/>
            <w:id w:val="-1437283799"/>
          </w:sdtPr>
          <w:sdtEndPr/>
          <w:sdtContent>
            <w:tc>
              <w:tcPr>
                <w:tcW w:w="843" w:type="pct"/>
                <w:vAlign w:val="center"/>
              </w:tcPr>
              <w:p w:rsidR="000C5659" w:rsidRDefault="000E33C4">
                <w:pPr>
                  <w:tabs>
                    <w:tab w:val="left" w:pos="420"/>
                  </w:tabs>
                  <w:ind w:left="420" w:hanging="420"/>
                  <w:jc w:val="center"/>
                  <w:rPr>
                    <w:color w:val="000000" w:themeColor="text1"/>
                  </w:rPr>
                </w:pPr>
                <w:r>
                  <w:rPr>
                    <w:rFonts w:hint="eastAsia"/>
                    <w:color w:val="000000" w:themeColor="text1"/>
                  </w:rPr>
                  <w:t>账面价值</w:t>
                </w:r>
              </w:p>
            </w:tc>
          </w:sdtContent>
        </w:sdt>
        <w:sdt>
          <w:sdtPr>
            <w:rPr>
              <w:color w:val="000000" w:themeColor="text1"/>
            </w:rPr>
            <w:tag w:val="_PLD_4bba2db5e5a549ecafbf4e94a7af2e35"/>
            <w:id w:val="-317883879"/>
          </w:sdtPr>
          <w:sdtEndPr/>
          <w:sdtContent>
            <w:tc>
              <w:tcPr>
                <w:tcW w:w="743" w:type="pct"/>
                <w:vAlign w:val="center"/>
              </w:tcPr>
              <w:p w:rsidR="000C5659" w:rsidRDefault="000E33C4">
                <w:pPr>
                  <w:tabs>
                    <w:tab w:val="left" w:pos="420"/>
                  </w:tabs>
                  <w:ind w:left="420" w:hanging="420"/>
                  <w:jc w:val="center"/>
                  <w:rPr>
                    <w:color w:val="000000" w:themeColor="text1"/>
                  </w:rPr>
                </w:pPr>
                <w:r>
                  <w:rPr>
                    <w:rFonts w:hint="eastAsia"/>
                    <w:color w:val="000000" w:themeColor="text1"/>
                  </w:rPr>
                  <w:t>账面余额</w:t>
                </w:r>
              </w:p>
            </w:tc>
          </w:sdtContent>
        </w:sdt>
        <w:sdt>
          <w:sdtPr>
            <w:rPr>
              <w:color w:val="000000" w:themeColor="text1"/>
            </w:rPr>
            <w:tag w:val="_PLD_e054d8cd1e1b4672ae08a495b587bdce"/>
            <w:id w:val="1515731866"/>
          </w:sdtPr>
          <w:sdtEndPr/>
          <w:sdtContent>
            <w:tc>
              <w:tcPr>
                <w:tcW w:w="496" w:type="pct"/>
                <w:vAlign w:val="center"/>
              </w:tcPr>
              <w:p w:rsidR="000C5659" w:rsidRDefault="000E33C4">
                <w:pPr>
                  <w:tabs>
                    <w:tab w:val="left" w:pos="420"/>
                  </w:tabs>
                  <w:ind w:left="420" w:hanging="420"/>
                  <w:jc w:val="center"/>
                  <w:rPr>
                    <w:color w:val="000000" w:themeColor="text1"/>
                  </w:rPr>
                </w:pPr>
                <w:r>
                  <w:rPr>
                    <w:rFonts w:hint="eastAsia"/>
                    <w:color w:val="000000" w:themeColor="text1"/>
                  </w:rPr>
                  <w:t>减值准备</w:t>
                </w:r>
              </w:p>
            </w:tc>
          </w:sdtContent>
        </w:sdt>
        <w:sdt>
          <w:sdtPr>
            <w:rPr>
              <w:color w:val="000000" w:themeColor="text1"/>
            </w:rPr>
            <w:tag w:val="_PLD_bd3055c2713a44fa9cbd3fd973d34c6a"/>
            <w:id w:val="-791359915"/>
          </w:sdtPr>
          <w:sdtEndPr/>
          <w:sdtContent>
            <w:tc>
              <w:tcPr>
                <w:tcW w:w="743" w:type="pct"/>
                <w:vAlign w:val="center"/>
              </w:tcPr>
              <w:p w:rsidR="000C5659" w:rsidRDefault="000E33C4">
                <w:pPr>
                  <w:tabs>
                    <w:tab w:val="left" w:pos="420"/>
                  </w:tabs>
                  <w:ind w:left="420" w:hanging="420"/>
                  <w:jc w:val="center"/>
                  <w:rPr>
                    <w:color w:val="000000" w:themeColor="text1"/>
                  </w:rPr>
                </w:pPr>
                <w:r>
                  <w:rPr>
                    <w:rFonts w:hint="eastAsia"/>
                    <w:color w:val="000000" w:themeColor="text1"/>
                  </w:rPr>
                  <w:t>账面价值</w:t>
                </w:r>
              </w:p>
            </w:tc>
          </w:sdtContent>
        </w:sdt>
      </w:tr>
      <w:tr w:rsidR="000C5659" w:rsidTr="00BC4888">
        <w:trPr>
          <w:cantSplit/>
        </w:trPr>
        <w:tc>
          <w:tcPr>
            <w:tcW w:w="875" w:type="pct"/>
          </w:tcPr>
          <w:p w:rsidR="000C5659" w:rsidRDefault="000E33C4">
            <w:pPr>
              <w:textAlignment w:val="top"/>
            </w:pPr>
            <w:r>
              <w:rPr>
                <w:rFonts w:hint="eastAsia"/>
                <w:color w:val="000000"/>
                <w:lang w:bidi="ar"/>
              </w:rPr>
              <w:t>集团设备改造</w:t>
            </w:r>
          </w:p>
        </w:tc>
        <w:tc>
          <w:tcPr>
            <w:tcW w:w="802" w:type="pct"/>
            <w:vAlign w:val="center"/>
          </w:tcPr>
          <w:p w:rsidR="000C5659" w:rsidRDefault="000E33C4" w:rsidP="00BC4888">
            <w:pPr>
              <w:jc w:val="right"/>
              <w:textAlignment w:val="top"/>
            </w:pPr>
            <w:r>
              <w:rPr>
                <w:rFonts w:hint="eastAsia"/>
                <w:color w:val="000000"/>
                <w:lang w:bidi="ar"/>
              </w:rPr>
              <w:t>121,388.03</w:t>
            </w:r>
          </w:p>
        </w:tc>
        <w:tc>
          <w:tcPr>
            <w:tcW w:w="496" w:type="pct"/>
            <w:vAlign w:val="center"/>
          </w:tcPr>
          <w:p w:rsidR="000C5659" w:rsidRDefault="000C5659" w:rsidP="00BC4888">
            <w:pPr>
              <w:ind w:right="73"/>
              <w:jc w:val="right"/>
            </w:pPr>
          </w:p>
        </w:tc>
        <w:tc>
          <w:tcPr>
            <w:tcW w:w="843" w:type="pct"/>
            <w:vAlign w:val="center"/>
          </w:tcPr>
          <w:p w:rsidR="000C5659" w:rsidRDefault="000E33C4" w:rsidP="00BC4888">
            <w:pPr>
              <w:ind w:right="73"/>
              <w:jc w:val="right"/>
            </w:pPr>
            <w:r>
              <w:t>121,388.03</w:t>
            </w:r>
          </w:p>
        </w:tc>
        <w:tc>
          <w:tcPr>
            <w:tcW w:w="743" w:type="pct"/>
            <w:vAlign w:val="center"/>
          </w:tcPr>
          <w:p w:rsidR="000C5659" w:rsidRDefault="000E33C4" w:rsidP="00BC4888">
            <w:pPr>
              <w:jc w:val="right"/>
            </w:pPr>
            <w:r>
              <w:t>24,700.65</w:t>
            </w:r>
          </w:p>
        </w:tc>
        <w:tc>
          <w:tcPr>
            <w:tcW w:w="496" w:type="pct"/>
            <w:vAlign w:val="center"/>
          </w:tcPr>
          <w:p w:rsidR="000C5659" w:rsidRDefault="000C5659" w:rsidP="00BC4888">
            <w:pPr>
              <w:jc w:val="right"/>
            </w:pPr>
          </w:p>
        </w:tc>
        <w:tc>
          <w:tcPr>
            <w:tcW w:w="743" w:type="pct"/>
            <w:vAlign w:val="center"/>
          </w:tcPr>
          <w:p w:rsidR="000C5659" w:rsidRDefault="000E33C4" w:rsidP="00BC4888">
            <w:pPr>
              <w:jc w:val="right"/>
            </w:pPr>
            <w:r>
              <w:t>24,700.65</w:t>
            </w:r>
          </w:p>
        </w:tc>
      </w:tr>
      <w:tr w:rsidR="000C5659" w:rsidTr="00BC4888">
        <w:trPr>
          <w:cantSplit/>
        </w:trPr>
        <w:tc>
          <w:tcPr>
            <w:tcW w:w="875" w:type="pct"/>
          </w:tcPr>
          <w:p w:rsidR="000C5659" w:rsidRDefault="000E33C4">
            <w:pPr>
              <w:textAlignment w:val="top"/>
            </w:pPr>
            <w:r>
              <w:rPr>
                <w:rFonts w:hint="eastAsia"/>
                <w:color w:val="000000"/>
                <w:lang w:bidi="ar"/>
              </w:rPr>
              <w:t>卧式牙签裁切装袋自动化设备安装</w:t>
            </w:r>
          </w:p>
        </w:tc>
        <w:tc>
          <w:tcPr>
            <w:tcW w:w="802" w:type="pct"/>
            <w:vAlign w:val="center"/>
          </w:tcPr>
          <w:p w:rsidR="000C5659" w:rsidRDefault="000E33C4" w:rsidP="00BC4888">
            <w:pPr>
              <w:jc w:val="right"/>
              <w:textAlignment w:val="top"/>
            </w:pPr>
            <w:r>
              <w:rPr>
                <w:rFonts w:hint="eastAsia"/>
                <w:color w:val="000000"/>
                <w:lang w:bidi="ar"/>
              </w:rPr>
              <w:t>481,871.84</w:t>
            </w:r>
          </w:p>
        </w:tc>
        <w:tc>
          <w:tcPr>
            <w:tcW w:w="496" w:type="pct"/>
            <w:vAlign w:val="center"/>
          </w:tcPr>
          <w:p w:rsidR="000C5659" w:rsidRDefault="000C5659" w:rsidP="00BC4888">
            <w:pPr>
              <w:ind w:right="73"/>
              <w:jc w:val="right"/>
            </w:pPr>
          </w:p>
        </w:tc>
        <w:tc>
          <w:tcPr>
            <w:tcW w:w="843" w:type="pct"/>
            <w:vAlign w:val="center"/>
          </w:tcPr>
          <w:p w:rsidR="000C5659" w:rsidRDefault="000E33C4" w:rsidP="00BC4888">
            <w:pPr>
              <w:ind w:right="73"/>
              <w:jc w:val="right"/>
            </w:pPr>
            <w:r>
              <w:t>481,871.84</w:t>
            </w:r>
          </w:p>
        </w:tc>
        <w:tc>
          <w:tcPr>
            <w:tcW w:w="743" w:type="pct"/>
            <w:vAlign w:val="center"/>
          </w:tcPr>
          <w:p w:rsidR="000C5659" w:rsidRDefault="000E33C4" w:rsidP="00BC4888">
            <w:pPr>
              <w:jc w:val="right"/>
            </w:pPr>
            <w:r>
              <w:t>1,061,946.90</w:t>
            </w:r>
          </w:p>
        </w:tc>
        <w:tc>
          <w:tcPr>
            <w:tcW w:w="496" w:type="pct"/>
            <w:vAlign w:val="center"/>
          </w:tcPr>
          <w:p w:rsidR="000C5659" w:rsidRDefault="000C5659" w:rsidP="00BC4888">
            <w:pPr>
              <w:jc w:val="right"/>
            </w:pPr>
          </w:p>
        </w:tc>
        <w:tc>
          <w:tcPr>
            <w:tcW w:w="743" w:type="pct"/>
            <w:vAlign w:val="center"/>
          </w:tcPr>
          <w:p w:rsidR="000C5659" w:rsidRDefault="000E33C4" w:rsidP="00BC4888">
            <w:pPr>
              <w:jc w:val="right"/>
            </w:pPr>
            <w:r>
              <w:t>1,061,946.90</w:t>
            </w:r>
          </w:p>
        </w:tc>
      </w:tr>
      <w:tr w:rsidR="000C5659" w:rsidTr="00BC4888">
        <w:trPr>
          <w:cantSplit/>
        </w:trPr>
        <w:tc>
          <w:tcPr>
            <w:tcW w:w="875" w:type="pct"/>
            <w:vAlign w:val="center"/>
          </w:tcPr>
          <w:p w:rsidR="000C5659" w:rsidRDefault="000E33C4">
            <w:pPr>
              <w:jc w:val="center"/>
              <w:textAlignment w:val="center"/>
              <w:rPr>
                <w:color w:val="000000" w:themeColor="text1"/>
              </w:rPr>
            </w:pPr>
            <w:r>
              <w:rPr>
                <w:rFonts w:hint="eastAsia"/>
                <w:color w:val="000000"/>
                <w:lang w:bidi="ar"/>
              </w:rPr>
              <w:t>美星自动化改造</w:t>
            </w:r>
          </w:p>
        </w:tc>
        <w:tc>
          <w:tcPr>
            <w:tcW w:w="802" w:type="pct"/>
            <w:vAlign w:val="center"/>
          </w:tcPr>
          <w:p w:rsidR="000C5659" w:rsidRDefault="000E33C4" w:rsidP="00BC4888">
            <w:pPr>
              <w:jc w:val="right"/>
              <w:textAlignment w:val="top"/>
            </w:pPr>
            <w:r>
              <w:rPr>
                <w:rFonts w:hint="eastAsia"/>
                <w:color w:val="000000"/>
                <w:lang w:bidi="ar"/>
              </w:rPr>
              <w:t>684,382.46</w:t>
            </w:r>
          </w:p>
        </w:tc>
        <w:tc>
          <w:tcPr>
            <w:tcW w:w="496" w:type="pct"/>
            <w:vAlign w:val="center"/>
          </w:tcPr>
          <w:p w:rsidR="000C5659" w:rsidRDefault="000C5659" w:rsidP="00BC4888">
            <w:pPr>
              <w:ind w:right="73"/>
              <w:jc w:val="right"/>
            </w:pPr>
          </w:p>
        </w:tc>
        <w:tc>
          <w:tcPr>
            <w:tcW w:w="843" w:type="pct"/>
            <w:vAlign w:val="center"/>
          </w:tcPr>
          <w:p w:rsidR="000C5659" w:rsidRDefault="000E33C4" w:rsidP="00BC4888">
            <w:pPr>
              <w:ind w:right="73"/>
              <w:jc w:val="right"/>
            </w:pPr>
            <w:r>
              <w:t>684,382.46</w:t>
            </w:r>
          </w:p>
        </w:tc>
        <w:tc>
          <w:tcPr>
            <w:tcW w:w="743" w:type="pct"/>
            <w:vAlign w:val="center"/>
          </w:tcPr>
          <w:p w:rsidR="000C5659" w:rsidRDefault="000E33C4" w:rsidP="00BC4888">
            <w:pPr>
              <w:jc w:val="right"/>
            </w:pPr>
            <w:r>
              <w:t>1,011,171.95</w:t>
            </w:r>
          </w:p>
        </w:tc>
        <w:tc>
          <w:tcPr>
            <w:tcW w:w="496" w:type="pct"/>
            <w:vAlign w:val="center"/>
          </w:tcPr>
          <w:p w:rsidR="000C5659" w:rsidRDefault="000C5659" w:rsidP="00BC4888">
            <w:pPr>
              <w:jc w:val="right"/>
            </w:pPr>
          </w:p>
        </w:tc>
        <w:tc>
          <w:tcPr>
            <w:tcW w:w="743" w:type="pct"/>
            <w:vAlign w:val="center"/>
          </w:tcPr>
          <w:p w:rsidR="000C5659" w:rsidRDefault="000E33C4" w:rsidP="00BC4888">
            <w:pPr>
              <w:jc w:val="right"/>
            </w:pPr>
            <w:r>
              <w:t>1,011,171.95</w:t>
            </w:r>
          </w:p>
        </w:tc>
      </w:tr>
      <w:tr w:rsidR="000C5659" w:rsidTr="00BC4888">
        <w:trPr>
          <w:cantSplit/>
        </w:trPr>
        <w:tc>
          <w:tcPr>
            <w:tcW w:w="875" w:type="pct"/>
            <w:vAlign w:val="center"/>
          </w:tcPr>
          <w:p w:rsidR="000C5659" w:rsidRDefault="000E33C4">
            <w:pPr>
              <w:jc w:val="center"/>
              <w:textAlignment w:val="center"/>
              <w:rPr>
                <w:color w:val="000000" w:themeColor="text1"/>
              </w:rPr>
            </w:pPr>
            <w:r>
              <w:rPr>
                <w:rFonts w:hint="eastAsia"/>
                <w:color w:val="000000"/>
                <w:lang w:bidi="ar"/>
              </w:rPr>
              <w:t>日化设备改造</w:t>
            </w:r>
          </w:p>
        </w:tc>
        <w:tc>
          <w:tcPr>
            <w:tcW w:w="802" w:type="pct"/>
            <w:vAlign w:val="center"/>
          </w:tcPr>
          <w:p w:rsidR="000C5659" w:rsidRDefault="000E33C4" w:rsidP="00BC4888">
            <w:pPr>
              <w:jc w:val="right"/>
              <w:textAlignment w:val="top"/>
            </w:pPr>
            <w:r>
              <w:rPr>
                <w:rFonts w:hint="eastAsia"/>
                <w:color w:val="000000"/>
                <w:lang w:bidi="ar"/>
              </w:rPr>
              <w:t>605,636.43</w:t>
            </w:r>
          </w:p>
        </w:tc>
        <w:tc>
          <w:tcPr>
            <w:tcW w:w="496" w:type="pct"/>
            <w:vAlign w:val="center"/>
          </w:tcPr>
          <w:p w:rsidR="000C5659" w:rsidRDefault="000C5659" w:rsidP="00BC4888">
            <w:pPr>
              <w:ind w:right="73"/>
              <w:jc w:val="right"/>
            </w:pPr>
          </w:p>
        </w:tc>
        <w:tc>
          <w:tcPr>
            <w:tcW w:w="843" w:type="pct"/>
            <w:vAlign w:val="center"/>
          </w:tcPr>
          <w:p w:rsidR="000C5659" w:rsidRDefault="000E33C4" w:rsidP="00BC4888">
            <w:pPr>
              <w:ind w:right="73"/>
              <w:jc w:val="right"/>
            </w:pPr>
            <w:r>
              <w:t>605,636.43</w:t>
            </w:r>
          </w:p>
        </w:tc>
        <w:tc>
          <w:tcPr>
            <w:tcW w:w="743" w:type="pct"/>
            <w:vAlign w:val="center"/>
          </w:tcPr>
          <w:p w:rsidR="000C5659" w:rsidRDefault="000E33C4" w:rsidP="00BC4888">
            <w:pPr>
              <w:jc w:val="right"/>
            </w:pPr>
            <w:r>
              <w:t>205,884.15</w:t>
            </w:r>
          </w:p>
        </w:tc>
        <w:tc>
          <w:tcPr>
            <w:tcW w:w="496" w:type="pct"/>
            <w:vAlign w:val="center"/>
          </w:tcPr>
          <w:p w:rsidR="000C5659" w:rsidRDefault="000C5659" w:rsidP="00BC4888">
            <w:pPr>
              <w:jc w:val="right"/>
            </w:pPr>
          </w:p>
        </w:tc>
        <w:tc>
          <w:tcPr>
            <w:tcW w:w="743" w:type="pct"/>
            <w:vAlign w:val="center"/>
          </w:tcPr>
          <w:p w:rsidR="000C5659" w:rsidRDefault="000E33C4" w:rsidP="00BC4888">
            <w:pPr>
              <w:jc w:val="right"/>
            </w:pPr>
            <w:r>
              <w:t>205,884.15</w:t>
            </w:r>
          </w:p>
        </w:tc>
      </w:tr>
      <w:tr w:rsidR="000C5659" w:rsidTr="00BC4888">
        <w:trPr>
          <w:cantSplit/>
        </w:trPr>
        <w:tc>
          <w:tcPr>
            <w:tcW w:w="875" w:type="pct"/>
            <w:vAlign w:val="center"/>
          </w:tcPr>
          <w:p w:rsidR="000C5659" w:rsidRDefault="000E33C4">
            <w:pPr>
              <w:jc w:val="center"/>
              <w:textAlignment w:val="center"/>
              <w:rPr>
                <w:color w:val="000000" w:themeColor="text1"/>
              </w:rPr>
            </w:pPr>
            <w:r>
              <w:rPr>
                <w:rFonts w:hint="eastAsia"/>
                <w:color w:val="000000"/>
                <w:lang w:bidi="ar"/>
              </w:rPr>
              <w:t>牙膏第三条新产线项目</w:t>
            </w:r>
          </w:p>
        </w:tc>
        <w:tc>
          <w:tcPr>
            <w:tcW w:w="802" w:type="pct"/>
            <w:vAlign w:val="center"/>
          </w:tcPr>
          <w:p w:rsidR="000C5659" w:rsidRDefault="000E33C4" w:rsidP="00BC4888">
            <w:pPr>
              <w:jc w:val="right"/>
              <w:textAlignment w:val="top"/>
            </w:pPr>
            <w:r>
              <w:rPr>
                <w:rFonts w:hint="eastAsia"/>
                <w:color w:val="000000"/>
                <w:lang w:bidi="ar"/>
              </w:rPr>
              <w:t>2,063,896.46</w:t>
            </w:r>
          </w:p>
        </w:tc>
        <w:tc>
          <w:tcPr>
            <w:tcW w:w="496" w:type="pct"/>
            <w:vAlign w:val="center"/>
          </w:tcPr>
          <w:p w:rsidR="000C5659" w:rsidRDefault="000C5659" w:rsidP="00BC4888">
            <w:pPr>
              <w:ind w:right="73"/>
              <w:jc w:val="right"/>
            </w:pPr>
          </w:p>
        </w:tc>
        <w:tc>
          <w:tcPr>
            <w:tcW w:w="843" w:type="pct"/>
            <w:vAlign w:val="center"/>
          </w:tcPr>
          <w:p w:rsidR="000C5659" w:rsidRDefault="000E33C4" w:rsidP="00BC4888">
            <w:pPr>
              <w:ind w:right="73"/>
              <w:jc w:val="right"/>
            </w:pPr>
            <w:r>
              <w:t>2,063,896.46</w:t>
            </w:r>
          </w:p>
        </w:tc>
        <w:tc>
          <w:tcPr>
            <w:tcW w:w="743" w:type="pct"/>
            <w:vAlign w:val="center"/>
          </w:tcPr>
          <w:p w:rsidR="000C5659" w:rsidRDefault="000C5659" w:rsidP="00BC4888">
            <w:pPr>
              <w:jc w:val="right"/>
            </w:pPr>
          </w:p>
        </w:tc>
        <w:tc>
          <w:tcPr>
            <w:tcW w:w="496" w:type="pct"/>
            <w:vAlign w:val="center"/>
          </w:tcPr>
          <w:p w:rsidR="000C5659" w:rsidRDefault="000C5659" w:rsidP="00BC4888">
            <w:pPr>
              <w:jc w:val="right"/>
            </w:pPr>
          </w:p>
        </w:tc>
        <w:tc>
          <w:tcPr>
            <w:tcW w:w="743" w:type="pct"/>
            <w:vAlign w:val="center"/>
          </w:tcPr>
          <w:p w:rsidR="000C5659" w:rsidRDefault="000C5659" w:rsidP="00BC4888">
            <w:pPr>
              <w:jc w:val="right"/>
            </w:pPr>
          </w:p>
        </w:tc>
      </w:tr>
      <w:tr w:rsidR="000C5659" w:rsidTr="00BC4888">
        <w:trPr>
          <w:cantSplit/>
        </w:trPr>
        <w:tc>
          <w:tcPr>
            <w:tcW w:w="875" w:type="pct"/>
            <w:vAlign w:val="center"/>
          </w:tcPr>
          <w:p w:rsidR="000C5659" w:rsidRDefault="000E33C4">
            <w:pPr>
              <w:jc w:val="center"/>
              <w:textAlignment w:val="center"/>
              <w:rPr>
                <w:color w:val="000000" w:themeColor="text1"/>
              </w:rPr>
            </w:pPr>
            <w:r>
              <w:rPr>
                <w:rFonts w:hint="eastAsia"/>
                <w:color w:val="000000"/>
                <w:lang w:bidi="ar"/>
              </w:rPr>
              <w:t>善恩康厂房项目</w:t>
            </w:r>
          </w:p>
        </w:tc>
        <w:tc>
          <w:tcPr>
            <w:tcW w:w="802" w:type="pct"/>
            <w:vAlign w:val="center"/>
          </w:tcPr>
          <w:p w:rsidR="000C5659" w:rsidRDefault="000E33C4" w:rsidP="00BC4888">
            <w:pPr>
              <w:jc w:val="right"/>
              <w:textAlignment w:val="top"/>
            </w:pPr>
            <w:r>
              <w:rPr>
                <w:rFonts w:hint="eastAsia"/>
                <w:color w:val="000000"/>
                <w:lang w:bidi="ar"/>
              </w:rPr>
              <w:t>20,124,780.88</w:t>
            </w:r>
          </w:p>
        </w:tc>
        <w:tc>
          <w:tcPr>
            <w:tcW w:w="496" w:type="pct"/>
            <w:vAlign w:val="center"/>
          </w:tcPr>
          <w:p w:rsidR="000C5659" w:rsidRDefault="000C5659" w:rsidP="00BC4888">
            <w:pPr>
              <w:ind w:right="73"/>
              <w:jc w:val="right"/>
            </w:pPr>
          </w:p>
        </w:tc>
        <w:tc>
          <w:tcPr>
            <w:tcW w:w="843" w:type="pct"/>
            <w:vAlign w:val="center"/>
          </w:tcPr>
          <w:p w:rsidR="000C5659" w:rsidRDefault="000E33C4" w:rsidP="00BC4888">
            <w:pPr>
              <w:ind w:right="73"/>
              <w:jc w:val="right"/>
            </w:pPr>
            <w:r>
              <w:t>20,124,780.88</w:t>
            </w:r>
          </w:p>
        </w:tc>
        <w:tc>
          <w:tcPr>
            <w:tcW w:w="743" w:type="pct"/>
            <w:vAlign w:val="center"/>
          </w:tcPr>
          <w:p w:rsidR="000C5659" w:rsidRDefault="000C5659" w:rsidP="00BC4888">
            <w:pPr>
              <w:jc w:val="right"/>
            </w:pPr>
          </w:p>
        </w:tc>
        <w:tc>
          <w:tcPr>
            <w:tcW w:w="496" w:type="pct"/>
            <w:vAlign w:val="center"/>
          </w:tcPr>
          <w:p w:rsidR="000C5659" w:rsidRDefault="000C5659" w:rsidP="00BC4888">
            <w:pPr>
              <w:jc w:val="right"/>
            </w:pPr>
          </w:p>
        </w:tc>
        <w:tc>
          <w:tcPr>
            <w:tcW w:w="743" w:type="pct"/>
            <w:vAlign w:val="center"/>
          </w:tcPr>
          <w:p w:rsidR="000C5659" w:rsidRDefault="000C5659" w:rsidP="00BC4888">
            <w:pPr>
              <w:jc w:val="right"/>
            </w:pPr>
          </w:p>
        </w:tc>
      </w:tr>
      <w:tr w:rsidR="000C5659" w:rsidTr="00BC4888">
        <w:trPr>
          <w:cantSplit/>
        </w:trPr>
        <w:tc>
          <w:tcPr>
            <w:tcW w:w="875" w:type="pct"/>
            <w:vAlign w:val="center"/>
          </w:tcPr>
          <w:p w:rsidR="000C5659" w:rsidRDefault="000E33C4">
            <w:pPr>
              <w:jc w:val="center"/>
              <w:rPr>
                <w:color w:val="000000" w:themeColor="text1"/>
              </w:rPr>
            </w:pPr>
            <w:r>
              <w:rPr>
                <w:rFonts w:hint="eastAsia"/>
                <w:color w:val="000000" w:themeColor="text1"/>
              </w:rPr>
              <w:t>合计</w:t>
            </w:r>
          </w:p>
        </w:tc>
        <w:tc>
          <w:tcPr>
            <w:tcW w:w="802" w:type="pct"/>
            <w:vAlign w:val="center"/>
          </w:tcPr>
          <w:p w:rsidR="000C5659" w:rsidRDefault="000E33C4" w:rsidP="00BC4888">
            <w:pPr>
              <w:jc w:val="right"/>
              <w:textAlignment w:val="top"/>
            </w:pPr>
            <w:r>
              <w:rPr>
                <w:rFonts w:hint="eastAsia"/>
                <w:color w:val="000000"/>
                <w:lang w:bidi="ar"/>
              </w:rPr>
              <w:t>24,081,956.10</w:t>
            </w:r>
          </w:p>
        </w:tc>
        <w:tc>
          <w:tcPr>
            <w:tcW w:w="496" w:type="pct"/>
            <w:vAlign w:val="center"/>
          </w:tcPr>
          <w:p w:rsidR="000C5659" w:rsidRDefault="000C5659" w:rsidP="00BC4888">
            <w:pPr>
              <w:ind w:right="73"/>
              <w:jc w:val="right"/>
            </w:pPr>
          </w:p>
        </w:tc>
        <w:tc>
          <w:tcPr>
            <w:tcW w:w="843" w:type="pct"/>
            <w:vAlign w:val="center"/>
          </w:tcPr>
          <w:p w:rsidR="000C5659" w:rsidRDefault="000E33C4" w:rsidP="00BC4888">
            <w:pPr>
              <w:ind w:right="73"/>
              <w:jc w:val="right"/>
            </w:pPr>
            <w:r>
              <w:t>24,081,956.10</w:t>
            </w:r>
          </w:p>
        </w:tc>
        <w:tc>
          <w:tcPr>
            <w:tcW w:w="743" w:type="pct"/>
            <w:vAlign w:val="center"/>
          </w:tcPr>
          <w:p w:rsidR="000C5659" w:rsidRDefault="000E33C4" w:rsidP="00BC4888">
            <w:pPr>
              <w:jc w:val="right"/>
            </w:pPr>
            <w:r>
              <w:rPr>
                <w:rFonts w:hint="eastAsia"/>
              </w:rPr>
              <w:t>2,303,703.65</w:t>
            </w:r>
          </w:p>
        </w:tc>
        <w:tc>
          <w:tcPr>
            <w:tcW w:w="496" w:type="pct"/>
            <w:vAlign w:val="center"/>
          </w:tcPr>
          <w:p w:rsidR="000C5659" w:rsidRDefault="000C5659" w:rsidP="00BC4888">
            <w:pPr>
              <w:jc w:val="right"/>
            </w:pPr>
          </w:p>
        </w:tc>
        <w:tc>
          <w:tcPr>
            <w:tcW w:w="743" w:type="pct"/>
            <w:vAlign w:val="center"/>
          </w:tcPr>
          <w:p w:rsidR="000C5659" w:rsidRDefault="000E33C4" w:rsidP="00BC4888">
            <w:pPr>
              <w:jc w:val="right"/>
            </w:pPr>
            <w:r>
              <w:rPr>
                <w:rFonts w:hint="eastAsia"/>
              </w:rPr>
              <w:t>2,303,703.65</w:t>
            </w:r>
          </w:p>
        </w:tc>
      </w:tr>
    </w:tbl>
    <w:p w:rsidR="000C5659" w:rsidRDefault="000C5659">
      <w:pPr>
        <w:rPr>
          <w:color w:val="000000" w:themeColor="text1"/>
        </w:rPr>
      </w:pPr>
    </w:p>
    <w:p w:rsidR="000C5659" w:rsidRDefault="000E33C4" w:rsidP="000743DD">
      <w:pPr>
        <w:pStyle w:val="43"/>
        <w:numPr>
          <w:ilvl w:val="0"/>
          <w:numId w:val="68"/>
        </w:numPr>
        <w:tabs>
          <w:tab w:val="left" w:pos="588"/>
        </w:tabs>
        <w:rPr>
          <w:rFonts w:ascii="宋体" w:hAnsi="宋体"/>
          <w:color w:val="000000" w:themeColor="text1"/>
          <w:szCs w:val="21"/>
        </w:rPr>
      </w:pPr>
      <w:r>
        <w:rPr>
          <w:rFonts w:ascii="宋体" w:hAnsi="宋体" w:hint="eastAsia"/>
          <w:color w:val="000000" w:themeColor="text1"/>
          <w:szCs w:val="21"/>
        </w:rPr>
        <w:t>重要在建工程项目本期变动情况</w:t>
      </w:r>
    </w:p>
    <w:sdt>
      <w:sdtPr>
        <w:rPr>
          <w:color w:val="000000" w:themeColor="text1"/>
        </w:rPr>
        <w:alias w:val="是否适用：重要在建工程项目本期变动情况[双击切换]"/>
        <w:tag w:val="_GBC_ec2dd768673145d4bb9d3c31a6fa701a"/>
        <w:id w:val="-38110209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在建工程项目变动情况"/>
          <w:tag w:val="_GBC_29f36690ce0d4e8bbec5f76711e80456"/>
          <w:id w:val="3700426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在建工程项目变动情况"/>
          <w:tag w:val="_GBC_6fab639954e742c1bd6f75b3c51ecaf8"/>
          <w:id w:val="-504281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831"/>
        <w:gridCol w:w="1736"/>
        <w:gridCol w:w="1842"/>
        <w:gridCol w:w="1810"/>
        <w:gridCol w:w="762"/>
        <w:gridCol w:w="1842"/>
      </w:tblGrid>
      <w:tr w:rsidR="000C5659">
        <w:trPr>
          <w:cantSplit/>
        </w:trPr>
        <w:sdt>
          <w:sdtPr>
            <w:rPr>
              <w:color w:val="000000" w:themeColor="text1"/>
            </w:rPr>
            <w:tag w:val="_PLD_911d5911af294d4f9d2b6b16b5f6c08b"/>
            <w:id w:val="-1846315855"/>
          </w:sdtPr>
          <w:sdtEndPr/>
          <w:sdtContent>
            <w:tc>
              <w:tcPr>
                <w:tcW w:w="468" w:type="pct"/>
                <w:shd w:val="clear" w:color="auto" w:fill="auto"/>
                <w:vAlign w:val="center"/>
              </w:tcPr>
              <w:p w:rsidR="000C5659" w:rsidRDefault="000E33C4">
                <w:pPr>
                  <w:ind w:right="105"/>
                  <w:jc w:val="center"/>
                  <w:rPr>
                    <w:color w:val="000000" w:themeColor="text1"/>
                  </w:rPr>
                </w:pPr>
                <w:r>
                  <w:rPr>
                    <w:rFonts w:hint="eastAsia"/>
                    <w:color w:val="000000" w:themeColor="text1"/>
                  </w:rPr>
                  <w:t>项目名称</w:t>
                </w:r>
              </w:p>
            </w:tc>
          </w:sdtContent>
        </w:sdt>
        <w:sdt>
          <w:sdtPr>
            <w:rPr>
              <w:color w:val="000000" w:themeColor="text1"/>
            </w:rPr>
            <w:tag w:val="_PLD_25c75ebdcb434964b5f5e8b512151b0b"/>
            <w:id w:val="1137759197"/>
          </w:sdtPr>
          <w:sdtEndPr/>
          <w:sdtContent>
            <w:tc>
              <w:tcPr>
                <w:tcW w:w="979" w:type="pct"/>
                <w:shd w:val="clear" w:color="auto" w:fill="auto"/>
                <w:vAlign w:val="center"/>
              </w:tcPr>
              <w:p w:rsidR="000C5659" w:rsidRDefault="000E33C4">
                <w:pPr>
                  <w:ind w:right="105"/>
                  <w:jc w:val="center"/>
                  <w:rPr>
                    <w:color w:val="000000" w:themeColor="text1"/>
                  </w:rPr>
                </w:pPr>
                <w:r>
                  <w:rPr>
                    <w:rFonts w:hint="eastAsia"/>
                    <w:color w:val="000000" w:themeColor="text1"/>
                  </w:rPr>
                  <w:t>期初</w:t>
                </w:r>
              </w:p>
              <w:p w:rsidR="000C5659" w:rsidRDefault="000E33C4">
                <w:pPr>
                  <w:ind w:right="105"/>
                  <w:jc w:val="center"/>
                  <w:rPr>
                    <w:color w:val="000000" w:themeColor="text1"/>
                  </w:rPr>
                </w:pPr>
                <w:r>
                  <w:rPr>
                    <w:rFonts w:hint="eastAsia"/>
                    <w:color w:val="000000" w:themeColor="text1"/>
                  </w:rPr>
                  <w:t>余额</w:t>
                </w:r>
              </w:p>
            </w:tc>
          </w:sdtContent>
        </w:sdt>
        <w:sdt>
          <w:sdtPr>
            <w:rPr>
              <w:color w:val="000000" w:themeColor="text1"/>
            </w:rPr>
            <w:tag w:val="_PLD_0117182ae7e24536a0996423ddcfa5f0"/>
            <w:id w:val="483051714"/>
          </w:sdtPr>
          <w:sdtEndPr/>
          <w:sdtContent>
            <w:tc>
              <w:tcPr>
                <w:tcW w:w="1038" w:type="pct"/>
                <w:shd w:val="clear" w:color="auto" w:fill="auto"/>
                <w:vAlign w:val="center"/>
              </w:tcPr>
              <w:p w:rsidR="000C5659" w:rsidRDefault="000E33C4">
                <w:pPr>
                  <w:ind w:right="105"/>
                  <w:jc w:val="center"/>
                  <w:rPr>
                    <w:color w:val="000000" w:themeColor="text1"/>
                  </w:rPr>
                </w:pPr>
                <w:r>
                  <w:rPr>
                    <w:rFonts w:hint="eastAsia"/>
                    <w:color w:val="000000" w:themeColor="text1"/>
                  </w:rPr>
                  <w:t>本期增加金额</w:t>
                </w:r>
              </w:p>
            </w:tc>
          </w:sdtContent>
        </w:sdt>
        <w:sdt>
          <w:sdtPr>
            <w:rPr>
              <w:color w:val="000000" w:themeColor="text1"/>
            </w:rPr>
            <w:tag w:val="_PLD_6db4feaec90f4eeeb4ed5fb04d298657"/>
            <w:id w:val="541025738"/>
          </w:sdtPr>
          <w:sdtEndPr/>
          <w:sdtContent>
            <w:tc>
              <w:tcPr>
                <w:tcW w:w="1020" w:type="pct"/>
                <w:shd w:val="clear" w:color="auto" w:fill="auto"/>
                <w:vAlign w:val="center"/>
              </w:tcPr>
              <w:p w:rsidR="000C5659" w:rsidRDefault="000E33C4">
                <w:pPr>
                  <w:ind w:right="73"/>
                  <w:jc w:val="center"/>
                  <w:rPr>
                    <w:color w:val="000000" w:themeColor="text1"/>
                  </w:rPr>
                </w:pPr>
                <w:r>
                  <w:rPr>
                    <w:rFonts w:hint="eastAsia"/>
                    <w:color w:val="000000" w:themeColor="text1"/>
                  </w:rPr>
                  <w:t>本期转入固定资产金额</w:t>
                </w:r>
              </w:p>
            </w:tc>
          </w:sdtContent>
        </w:sdt>
        <w:sdt>
          <w:sdtPr>
            <w:rPr>
              <w:color w:val="000000" w:themeColor="text1"/>
            </w:rPr>
            <w:tag w:val="_PLD_1fe85c3ed6f84f6f85209149a9931055"/>
            <w:id w:val="1080410943"/>
          </w:sdtPr>
          <w:sdtEndPr/>
          <w:sdtContent>
            <w:tc>
              <w:tcPr>
                <w:tcW w:w="430" w:type="pct"/>
                <w:shd w:val="clear" w:color="auto" w:fill="auto"/>
                <w:vAlign w:val="center"/>
              </w:tcPr>
              <w:p w:rsidR="000C5659" w:rsidRDefault="000E33C4">
                <w:pPr>
                  <w:ind w:right="73"/>
                  <w:jc w:val="center"/>
                  <w:rPr>
                    <w:color w:val="000000" w:themeColor="text1"/>
                  </w:rPr>
                </w:pPr>
                <w:r>
                  <w:rPr>
                    <w:rFonts w:hint="eastAsia"/>
                    <w:color w:val="000000" w:themeColor="text1"/>
                  </w:rPr>
                  <w:t>本期其他减少金额</w:t>
                </w:r>
              </w:p>
            </w:tc>
          </w:sdtContent>
        </w:sdt>
        <w:sdt>
          <w:sdtPr>
            <w:rPr>
              <w:color w:val="000000" w:themeColor="text1"/>
            </w:rPr>
            <w:tag w:val="_PLD_7954fe4b89f644d29865af249dfe8c3f"/>
            <w:id w:val="-1268999757"/>
          </w:sdtPr>
          <w:sdtEndPr/>
          <w:sdtContent>
            <w:tc>
              <w:tcPr>
                <w:tcW w:w="1038" w:type="pct"/>
                <w:vAlign w:val="center"/>
              </w:tcPr>
              <w:p w:rsidR="000C5659" w:rsidRDefault="000E33C4">
                <w:pPr>
                  <w:jc w:val="center"/>
                  <w:rPr>
                    <w:color w:val="000000" w:themeColor="text1"/>
                  </w:rPr>
                </w:pPr>
                <w:r>
                  <w:rPr>
                    <w:rFonts w:hint="eastAsia"/>
                    <w:color w:val="000000" w:themeColor="text1"/>
                  </w:rPr>
                  <w:t>期末</w:t>
                </w:r>
              </w:p>
              <w:p w:rsidR="000C5659" w:rsidRDefault="000E33C4">
                <w:pPr>
                  <w:jc w:val="center"/>
                  <w:rPr>
                    <w:color w:val="000000" w:themeColor="text1"/>
                  </w:rPr>
                </w:pPr>
                <w:r>
                  <w:rPr>
                    <w:rFonts w:hint="eastAsia"/>
                    <w:color w:val="000000" w:themeColor="text1"/>
                  </w:rPr>
                  <w:t>余额</w:t>
                </w:r>
              </w:p>
            </w:tc>
          </w:sdtContent>
        </w:sdt>
      </w:tr>
      <w:tr w:rsidR="000C5659">
        <w:trPr>
          <w:cantSplit/>
        </w:trPr>
        <w:tc>
          <w:tcPr>
            <w:tcW w:w="468" w:type="pct"/>
            <w:shd w:val="clear" w:color="auto" w:fill="auto"/>
          </w:tcPr>
          <w:p w:rsidR="000C5659" w:rsidRDefault="000E33C4">
            <w:pPr>
              <w:ind w:right="105"/>
            </w:pPr>
            <w:r>
              <w:t>善恩康厂房项目</w:t>
            </w:r>
          </w:p>
        </w:tc>
        <w:tc>
          <w:tcPr>
            <w:tcW w:w="979" w:type="pct"/>
            <w:shd w:val="clear" w:color="auto" w:fill="auto"/>
          </w:tcPr>
          <w:p w:rsidR="000C5659" w:rsidRDefault="000C5659">
            <w:pPr>
              <w:jc w:val="right"/>
            </w:pPr>
          </w:p>
        </w:tc>
        <w:tc>
          <w:tcPr>
            <w:tcW w:w="1038" w:type="pct"/>
            <w:shd w:val="clear" w:color="auto" w:fill="auto"/>
          </w:tcPr>
          <w:p w:rsidR="000C5659" w:rsidRDefault="000E33C4">
            <w:pPr>
              <w:jc w:val="right"/>
              <w:textAlignment w:val="top"/>
            </w:pPr>
            <w:r>
              <w:rPr>
                <w:rFonts w:hint="eastAsia"/>
                <w:color w:val="000000"/>
                <w:lang w:bidi="ar"/>
              </w:rPr>
              <w:t>20,124,780.88</w:t>
            </w:r>
          </w:p>
        </w:tc>
        <w:tc>
          <w:tcPr>
            <w:tcW w:w="1020" w:type="pct"/>
            <w:shd w:val="clear" w:color="auto" w:fill="auto"/>
          </w:tcPr>
          <w:p w:rsidR="000C5659" w:rsidRDefault="000C5659">
            <w:pPr>
              <w:ind w:right="73"/>
              <w:jc w:val="right"/>
            </w:pPr>
          </w:p>
        </w:tc>
        <w:tc>
          <w:tcPr>
            <w:tcW w:w="430" w:type="pct"/>
            <w:shd w:val="clear" w:color="auto" w:fill="auto"/>
          </w:tcPr>
          <w:p w:rsidR="000C5659" w:rsidRDefault="000C5659">
            <w:pPr>
              <w:jc w:val="right"/>
            </w:pPr>
          </w:p>
        </w:tc>
        <w:tc>
          <w:tcPr>
            <w:tcW w:w="1038" w:type="pct"/>
          </w:tcPr>
          <w:p w:rsidR="000C5659" w:rsidRDefault="000E33C4">
            <w:pPr>
              <w:jc w:val="right"/>
            </w:pPr>
            <w:r>
              <w:t>20,124,780.88</w:t>
            </w:r>
          </w:p>
        </w:tc>
      </w:tr>
      <w:tr w:rsidR="000C5659">
        <w:trPr>
          <w:cantSplit/>
        </w:trPr>
        <w:tc>
          <w:tcPr>
            <w:tcW w:w="468" w:type="pct"/>
            <w:shd w:val="clear" w:color="auto" w:fill="auto"/>
            <w:vAlign w:val="center"/>
          </w:tcPr>
          <w:p w:rsidR="000C5659" w:rsidRDefault="000E33C4">
            <w:pPr>
              <w:ind w:right="105"/>
              <w:rPr>
                <w:color w:val="000000" w:themeColor="text1"/>
              </w:rPr>
            </w:pPr>
            <w:r>
              <w:rPr>
                <w:rFonts w:hint="eastAsia"/>
                <w:color w:val="000000" w:themeColor="text1"/>
              </w:rPr>
              <w:t>美星自动化改造</w:t>
            </w:r>
          </w:p>
        </w:tc>
        <w:tc>
          <w:tcPr>
            <w:tcW w:w="979" w:type="pct"/>
            <w:shd w:val="clear" w:color="auto" w:fill="auto"/>
          </w:tcPr>
          <w:p w:rsidR="000C5659" w:rsidRDefault="000E33C4">
            <w:pPr>
              <w:jc w:val="right"/>
              <w:textAlignment w:val="top"/>
            </w:pPr>
            <w:r>
              <w:rPr>
                <w:rFonts w:hint="eastAsia"/>
                <w:color w:val="000000"/>
                <w:lang w:bidi="ar"/>
              </w:rPr>
              <w:t>1,011,171.95</w:t>
            </w:r>
          </w:p>
        </w:tc>
        <w:tc>
          <w:tcPr>
            <w:tcW w:w="1038" w:type="pct"/>
            <w:shd w:val="clear" w:color="auto" w:fill="auto"/>
          </w:tcPr>
          <w:p w:rsidR="000C5659" w:rsidRDefault="000E33C4">
            <w:pPr>
              <w:jc w:val="right"/>
              <w:textAlignment w:val="top"/>
            </w:pPr>
            <w:r>
              <w:rPr>
                <w:color w:val="000000"/>
                <w:lang w:bidi="ar"/>
              </w:rPr>
              <w:t>837,368.42</w:t>
            </w:r>
          </w:p>
        </w:tc>
        <w:tc>
          <w:tcPr>
            <w:tcW w:w="1020" w:type="pct"/>
            <w:shd w:val="clear" w:color="auto" w:fill="auto"/>
          </w:tcPr>
          <w:p w:rsidR="000C5659" w:rsidRDefault="000E33C4">
            <w:pPr>
              <w:ind w:right="73"/>
              <w:jc w:val="right"/>
            </w:pPr>
            <w:r>
              <w:t>1,164,157.91</w:t>
            </w:r>
          </w:p>
        </w:tc>
        <w:tc>
          <w:tcPr>
            <w:tcW w:w="430" w:type="pct"/>
            <w:shd w:val="clear" w:color="auto" w:fill="auto"/>
          </w:tcPr>
          <w:p w:rsidR="000C5659" w:rsidRDefault="000C5659">
            <w:pPr>
              <w:jc w:val="right"/>
            </w:pPr>
          </w:p>
        </w:tc>
        <w:tc>
          <w:tcPr>
            <w:tcW w:w="1038" w:type="pct"/>
          </w:tcPr>
          <w:p w:rsidR="000C5659" w:rsidRDefault="000E33C4">
            <w:pPr>
              <w:jc w:val="right"/>
            </w:pPr>
            <w:r>
              <w:t>684,382.46</w:t>
            </w:r>
          </w:p>
        </w:tc>
      </w:tr>
      <w:tr w:rsidR="000C5659">
        <w:trPr>
          <w:cantSplit/>
        </w:trPr>
        <w:tc>
          <w:tcPr>
            <w:tcW w:w="468" w:type="pct"/>
            <w:shd w:val="clear" w:color="auto" w:fill="auto"/>
            <w:vAlign w:val="center"/>
          </w:tcPr>
          <w:p w:rsidR="000C5659" w:rsidRDefault="000E33C4">
            <w:pPr>
              <w:ind w:right="105"/>
              <w:jc w:val="center"/>
              <w:rPr>
                <w:color w:val="000000" w:themeColor="text1"/>
              </w:rPr>
            </w:pPr>
            <w:r>
              <w:t>合计</w:t>
            </w:r>
          </w:p>
        </w:tc>
        <w:tc>
          <w:tcPr>
            <w:tcW w:w="979" w:type="pct"/>
            <w:shd w:val="clear" w:color="auto" w:fill="auto"/>
          </w:tcPr>
          <w:p w:rsidR="000C5659" w:rsidRDefault="000E33C4">
            <w:pPr>
              <w:jc w:val="right"/>
              <w:textAlignment w:val="top"/>
            </w:pPr>
            <w:r>
              <w:rPr>
                <w:color w:val="000000"/>
                <w:lang w:bidi="ar"/>
              </w:rPr>
              <w:t>1,011,171.95</w:t>
            </w:r>
          </w:p>
        </w:tc>
        <w:tc>
          <w:tcPr>
            <w:tcW w:w="1038" w:type="pct"/>
            <w:shd w:val="clear" w:color="auto" w:fill="auto"/>
            <w:vAlign w:val="center"/>
          </w:tcPr>
          <w:p w:rsidR="000C5659" w:rsidRDefault="000E33C4">
            <w:pPr>
              <w:jc w:val="right"/>
              <w:textAlignment w:val="top"/>
            </w:pPr>
            <w:r>
              <w:rPr>
                <w:rFonts w:hint="eastAsia"/>
                <w:color w:val="000000"/>
              </w:rPr>
              <w:t>20,962,149.30</w:t>
            </w:r>
          </w:p>
        </w:tc>
        <w:tc>
          <w:tcPr>
            <w:tcW w:w="1020" w:type="pct"/>
            <w:shd w:val="clear" w:color="auto" w:fill="auto"/>
            <w:vAlign w:val="center"/>
          </w:tcPr>
          <w:p w:rsidR="000C5659" w:rsidRDefault="000E33C4">
            <w:pPr>
              <w:ind w:right="73"/>
              <w:jc w:val="right"/>
            </w:pPr>
            <w:r>
              <w:rPr>
                <w:rFonts w:hint="eastAsia"/>
                <w:color w:val="000000"/>
              </w:rPr>
              <w:t>1,164,157.91</w:t>
            </w:r>
          </w:p>
        </w:tc>
        <w:tc>
          <w:tcPr>
            <w:tcW w:w="430" w:type="pct"/>
            <w:shd w:val="clear" w:color="auto" w:fill="auto"/>
          </w:tcPr>
          <w:p w:rsidR="000C5659" w:rsidRDefault="000C5659">
            <w:pPr>
              <w:jc w:val="right"/>
            </w:pPr>
          </w:p>
        </w:tc>
        <w:tc>
          <w:tcPr>
            <w:tcW w:w="1038" w:type="pct"/>
          </w:tcPr>
          <w:p w:rsidR="000C5659" w:rsidRDefault="000E33C4">
            <w:pPr>
              <w:jc w:val="right"/>
            </w:pPr>
            <w:r>
              <w:t>20,809,163.34</w:t>
            </w:r>
          </w:p>
        </w:tc>
      </w:tr>
    </w:tbl>
    <w:p w:rsidR="000C5659" w:rsidRDefault="000C5659">
      <w:pPr>
        <w:snapToGrid w:val="0"/>
        <w:spacing w:line="240" w:lineRule="atLeast"/>
        <w:rPr>
          <w:color w:val="000000" w:themeColor="text1"/>
        </w:rPr>
      </w:pPr>
    </w:p>
    <w:p w:rsidR="000C5659" w:rsidRDefault="000E33C4" w:rsidP="000743DD">
      <w:pPr>
        <w:pStyle w:val="43"/>
        <w:numPr>
          <w:ilvl w:val="0"/>
          <w:numId w:val="68"/>
        </w:numPr>
        <w:tabs>
          <w:tab w:val="left" w:pos="588"/>
        </w:tabs>
        <w:rPr>
          <w:rFonts w:ascii="宋体" w:hAnsi="宋体"/>
          <w:color w:val="000000" w:themeColor="text1"/>
          <w:szCs w:val="21"/>
        </w:rPr>
      </w:pPr>
      <w:bookmarkStart w:id="275" w:name="_Hlk167958414"/>
      <w:r>
        <w:rPr>
          <w:rFonts w:ascii="宋体" w:hAnsi="宋体" w:hint="eastAsia"/>
          <w:color w:val="000000" w:themeColor="text1"/>
          <w:szCs w:val="21"/>
        </w:rPr>
        <w:t>本期计提在建工程减值准备情况</w:t>
      </w:r>
    </w:p>
    <w:sdt>
      <w:sdtPr>
        <w:rPr>
          <w:color w:val="000000" w:themeColor="text1"/>
        </w:rPr>
        <w:alias w:val="是否适用：本期计提在建工程减值准备情况[双击切换]"/>
        <w:tag w:val="_GBC_7dd31cf4784347cd87139a8c2548b22d"/>
        <w:id w:val="76742181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68"/>
        </w:numPr>
        <w:tabs>
          <w:tab w:val="left" w:pos="588"/>
        </w:tabs>
        <w:rPr>
          <w:rFonts w:ascii="宋体" w:hAnsi="宋体"/>
          <w:color w:val="000000" w:themeColor="text1"/>
          <w:szCs w:val="21"/>
        </w:rPr>
      </w:pPr>
      <w:bookmarkStart w:id="276" w:name="_Hlk153461314"/>
      <w:r>
        <w:rPr>
          <w:rFonts w:ascii="宋体" w:hAnsi="宋体" w:hint="eastAsia"/>
          <w:color w:val="000000" w:themeColor="text1"/>
          <w:szCs w:val="21"/>
        </w:rPr>
        <w:t>在建工程的减值测试情况</w:t>
      </w:r>
    </w:p>
    <w:sdt>
      <w:sdtPr>
        <w:rPr>
          <w:color w:val="000000" w:themeColor="text1"/>
        </w:rPr>
        <w:alias w:val="是否适用：减值测试情况[双击切换]"/>
        <w:tag w:val="_GBC_f6d4bcf1dee14a709974326281981b12"/>
        <w:id w:val="7543282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bookmarkEnd w:id="275"/>
    <w:bookmarkEnd w:id="276"/>
    <w:p w:rsidR="000C5659" w:rsidRDefault="000E33C4">
      <w:pPr>
        <w:rPr>
          <w:color w:val="000000" w:themeColor="text1"/>
        </w:rPr>
      </w:pPr>
      <w:r>
        <w:rPr>
          <w:rFonts w:hint="eastAsia"/>
          <w:color w:val="000000" w:themeColor="text1"/>
        </w:rPr>
        <w:t>其他说明</w:t>
      </w:r>
    </w:p>
    <w:sdt>
      <w:sdtPr>
        <w:rPr>
          <w:color w:val="000000" w:themeColor="text1"/>
        </w:rPr>
        <w:alias w:val="是否适用：在建工程的说明[双击切换]"/>
        <w:tag w:val="_GBC_c0ffdfbb304348758da855627ba6d858"/>
        <w:id w:val="-160733439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43"/>
        <w:rPr>
          <w:rFonts w:ascii="宋体" w:hAnsi="宋体"/>
          <w:color w:val="000000" w:themeColor="text1"/>
        </w:rPr>
      </w:pPr>
      <w:bookmarkStart w:id="277" w:name="_Hlk11683481"/>
      <w:r>
        <w:rPr>
          <w:rFonts w:ascii="宋体" w:hAnsi="宋体" w:hint="eastAsia"/>
          <w:color w:val="000000" w:themeColor="text1"/>
        </w:rPr>
        <w:lastRenderedPageBreak/>
        <w:t>工程物资</w:t>
      </w:r>
    </w:p>
    <w:sdt>
      <w:sdtPr>
        <w:rPr>
          <w:color w:val="000000" w:themeColor="text1"/>
        </w:rPr>
        <w:alias w:val="是否适用：工程物资[双击切换]"/>
        <w:tag w:val="_GBC_0d711628566c4b08b883151766986b20"/>
        <w:id w:val="-126098790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77"/>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生产性生物资产</w:t>
      </w:r>
    </w:p>
    <w:p w:rsidR="000C5659" w:rsidRDefault="000E33C4" w:rsidP="000743DD">
      <w:pPr>
        <w:pStyle w:val="43"/>
        <w:numPr>
          <w:ilvl w:val="0"/>
          <w:numId w:val="69"/>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采用成本计量模式的生产性生物资产</w:t>
      </w:r>
    </w:p>
    <w:sdt>
      <w:sdtPr>
        <w:rPr>
          <w:rFonts w:hint="eastAsia"/>
          <w:color w:val="000000" w:themeColor="text1"/>
        </w:rPr>
        <w:alias w:val="是否适用：财务附注：以成本计量的生产性生物资产[双击切换]"/>
        <w:tag w:val="_GBC_fca5101d9b46492484acd605f0ade969"/>
        <w:id w:val="-1776933497"/>
        <w:placeholder>
          <w:docPart w:val="GBC22222222222222222222222222222"/>
        </w:placeholder>
      </w:sdtPr>
      <w:sdtEndPr/>
      <w:sdtContent>
        <w:p w:rsidR="000C5659" w:rsidRDefault="000E33C4">
          <w:pPr>
            <w:ind w:rightChars="100" w:right="210"/>
            <w:rPr>
              <w:color w:val="000000" w:themeColor="text1"/>
            </w:rPr>
          </w:pPr>
          <w:r>
            <w:rPr>
              <w:color w:val="000000" w:themeColor="text1"/>
            </w:rPr>
            <w:fldChar w:fldCharType="begin"/>
          </w:r>
          <w:r>
            <w:rPr>
              <w:rFonts w:hint="eastAsia"/>
              <w:color w:val="000000" w:themeColor="text1"/>
            </w:rPr>
            <w:instrText>MACROBUTTON  SnrToggleCheckbox □适用</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Chars="100" w:right="210"/>
        <w:rPr>
          <w:color w:val="000000" w:themeColor="text1"/>
        </w:rPr>
      </w:pPr>
    </w:p>
    <w:p w:rsidR="000C5659" w:rsidRDefault="000E33C4" w:rsidP="000743DD">
      <w:pPr>
        <w:pStyle w:val="43"/>
        <w:numPr>
          <w:ilvl w:val="0"/>
          <w:numId w:val="69"/>
        </w:numPr>
        <w:tabs>
          <w:tab w:val="left" w:pos="602"/>
          <w:tab w:val="left" w:pos="798"/>
        </w:tabs>
        <w:rPr>
          <w:rFonts w:ascii="宋体" w:hAnsi="宋体"/>
          <w:color w:val="000000" w:themeColor="text1"/>
          <w:kern w:val="0"/>
          <w:szCs w:val="21"/>
        </w:rPr>
      </w:pPr>
      <w:bookmarkStart w:id="278" w:name="_Hlk153461442"/>
      <w:bookmarkStart w:id="279" w:name="_Hlk167958925"/>
      <w:r>
        <w:rPr>
          <w:rFonts w:ascii="宋体" w:hAnsi="宋体" w:hint="eastAsia"/>
          <w:color w:val="000000" w:themeColor="text1"/>
          <w:kern w:val="0"/>
          <w:szCs w:val="21"/>
        </w:rPr>
        <w:t>采用成本计量模式的生产性生物资产的减值测试情况</w:t>
      </w:r>
    </w:p>
    <w:sdt>
      <w:sdtPr>
        <w:rPr>
          <w:color w:val="000000" w:themeColor="text1"/>
        </w:rPr>
        <w:alias w:val="是否适用：减值测试情况[双击切换]"/>
        <w:tag w:val="_GBC_9e260b0f45a84f50898aaf872db0ca84"/>
        <w:id w:val="-9856340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bookmarkEnd w:id="278"/>
    <w:bookmarkEnd w:id="279"/>
    <w:p w:rsidR="000C5659" w:rsidRDefault="000E33C4" w:rsidP="000743DD">
      <w:pPr>
        <w:pStyle w:val="43"/>
        <w:numPr>
          <w:ilvl w:val="0"/>
          <w:numId w:val="69"/>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采用公允价值计量模式的生产性生物资产</w:t>
      </w:r>
    </w:p>
    <w:sdt>
      <w:sdtPr>
        <w:rPr>
          <w:color w:val="000000" w:themeColor="text1"/>
        </w:rPr>
        <w:alias w:val="是否适用：财务附注：以公允价值计量的生产性生物资产[双击切换]"/>
        <w:tag w:val="_GBC_3a67921e606f4abca6478a1ffb759394"/>
        <w:id w:val="-210409839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生产性生物资产的说明[双击切换]"/>
        <w:tag w:val="_GBC_48247874e2c54937aabce9db1308bea7"/>
        <w:id w:val="-338774235"/>
        <w:placeholder>
          <w:docPart w:val="GBC22222222222222222222222222222"/>
        </w:placeholder>
      </w:sdtPr>
      <w:sdtEndPr/>
      <w:sdtContent>
        <w:p w:rsidR="000C5659" w:rsidRDefault="000E33C4">
          <w:pPr>
            <w:autoSpaceDE w:val="0"/>
            <w:autoSpaceDN w:val="0"/>
            <w:adjustRightInd w:val="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油气资产</w:t>
      </w:r>
    </w:p>
    <w:p w:rsidR="000C5659" w:rsidRDefault="000E33C4" w:rsidP="000743DD">
      <w:pPr>
        <w:pStyle w:val="43"/>
        <w:numPr>
          <w:ilvl w:val="0"/>
          <w:numId w:val="70"/>
        </w:numPr>
        <w:rPr>
          <w:color w:val="000000" w:themeColor="text1"/>
        </w:rPr>
      </w:pPr>
      <w:r>
        <w:rPr>
          <w:rFonts w:hint="eastAsia"/>
          <w:color w:val="000000" w:themeColor="text1"/>
        </w:rPr>
        <w:t>油气资产情况</w:t>
      </w:r>
    </w:p>
    <w:sdt>
      <w:sdtPr>
        <w:rPr>
          <w:color w:val="000000" w:themeColor="text1"/>
        </w:rPr>
        <w:alias w:val="是否适用：油气资产[双击切换]"/>
        <w:tag w:val="_GBC_7dce41817eb749dba0d132424020d250"/>
        <w:id w:val="1597133905"/>
        <w:placeholder>
          <w:docPart w:val="GBC22222222222222222222222222222"/>
        </w:placeholder>
      </w:sdtPr>
      <w:sdtEndPr/>
      <w:sdtContent>
        <w:p w:rsidR="000C5659" w:rsidRDefault="000E33C4">
          <w:pPr>
            <w:autoSpaceDE w:val="0"/>
            <w:autoSpaceDN w:val="0"/>
            <w:adjustRightInd w:val="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autoSpaceDE w:val="0"/>
        <w:autoSpaceDN w:val="0"/>
        <w:adjustRightInd w:val="0"/>
        <w:rPr>
          <w:color w:val="000000" w:themeColor="text1"/>
        </w:rPr>
      </w:pPr>
    </w:p>
    <w:p w:rsidR="000C5659" w:rsidRDefault="000E33C4" w:rsidP="000743DD">
      <w:pPr>
        <w:pStyle w:val="43"/>
        <w:numPr>
          <w:ilvl w:val="0"/>
          <w:numId w:val="70"/>
        </w:numPr>
        <w:rPr>
          <w:color w:val="000000" w:themeColor="text1"/>
        </w:rPr>
      </w:pPr>
      <w:bookmarkStart w:id="280" w:name="_Hlk153461604"/>
      <w:bookmarkStart w:id="281" w:name="_Hlk167959265"/>
      <w:r>
        <w:rPr>
          <w:rFonts w:hint="eastAsia"/>
          <w:color w:val="000000" w:themeColor="text1"/>
        </w:rPr>
        <w:t>油气资产的减值测试情况</w:t>
      </w:r>
    </w:p>
    <w:sdt>
      <w:sdtPr>
        <w:rPr>
          <w:color w:val="000000" w:themeColor="text1"/>
        </w:rPr>
        <w:alias w:val="是否适用：减值测试情况[双击切换]"/>
        <w:tag w:val="_GBC_3d3afd59d9f741639537a668ab2d0ccf"/>
        <w:id w:val="13870245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autoSpaceDE w:val="0"/>
        <w:autoSpaceDN w:val="0"/>
        <w:adjustRightInd w:val="0"/>
        <w:rPr>
          <w:color w:val="000000" w:themeColor="text1"/>
        </w:rPr>
      </w:pPr>
      <w:bookmarkStart w:id="282" w:name="_Hlk167959495"/>
      <w:bookmarkEnd w:id="280"/>
      <w:bookmarkEnd w:id="281"/>
      <w:r>
        <w:rPr>
          <w:rFonts w:hint="eastAsia"/>
          <w:color w:val="000000" w:themeColor="text1"/>
        </w:rPr>
        <w:t>其他说明：</w:t>
      </w:r>
    </w:p>
    <w:p w:rsidR="000C5659" w:rsidRDefault="000E33C4">
      <w:pPr>
        <w:autoSpaceDE w:val="0"/>
        <w:autoSpaceDN w:val="0"/>
        <w:adjustRightInd w:val="0"/>
        <w:rPr>
          <w:color w:val="000000" w:themeColor="text1"/>
        </w:rPr>
      </w:pPr>
      <w:r>
        <w:rPr>
          <w:rFonts w:hint="eastAsia"/>
          <w:color w:val="000000" w:themeColor="text1"/>
        </w:rPr>
        <w:t>无</w:t>
      </w:r>
    </w:p>
    <w:p w:rsidR="000C5659" w:rsidRDefault="000C5659">
      <w:pPr>
        <w:snapToGrid w:val="0"/>
        <w:spacing w:line="240" w:lineRule="atLeast"/>
        <w:rPr>
          <w:color w:val="000000" w:themeColor="text1"/>
        </w:rPr>
      </w:pPr>
    </w:p>
    <w:bookmarkEnd w:id="282" w:displacedByCustomXml="next"/>
    <w:sdt>
      <w:sdtPr>
        <w:rPr>
          <w:rFonts w:ascii="宋体" w:hAnsi="宋体" w:cs="宋体" w:hint="eastAsia"/>
          <w:b w:val="0"/>
          <w:bCs/>
          <w:color w:val="000000" w:themeColor="text1"/>
          <w:kern w:val="0"/>
          <w:szCs w:val="21"/>
        </w:rPr>
        <w:alias w:val="模块:使用权资产"/>
        <w:tag w:val="_SEC_42126bf96c7241e38ff33aae0d98dae2"/>
        <w:id w:val="1910193879"/>
        <w:placeholder>
          <w:docPart w:val="GBC22222222222222222222222222222"/>
        </w:placeholder>
      </w:sdtPr>
      <w:sdtEndPr/>
      <w:sdtContent>
        <w:p w:rsidR="000C5659" w:rsidRDefault="000E33C4" w:rsidP="000743DD">
          <w:pPr>
            <w:pStyle w:val="35"/>
            <w:numPr>
              <w:ilvl w:val="0"/>
              <w:numId w:val="50"/>
            </w:numPr>
            <w:rPr>
              <w:color w:val="000000" w:themeColor="text1"/>
              <w:szCs w:val="21"/>
            </w:rPr>
          </w:pPr>
          <w:r>
            <w:rPr>
              <w:color w:val="000000" w:themeColor="text1"/>
              <w:szCs w:val="21"/>
            </w:rPr>
            <w:t>使用权资产</w:t>
          </w:r>
        </w:p>
        <w:p w:rsidR="000C5659" w:rsidRDefault="000E33C4" w:rsidP="000743DD">
          <w:pPr>
            <w:pStyle w:val="43"/>
            <w:numPr>
              <w:ilvl w:val="0"/>
              <w:numId w:val="71"/>
            </w:numPr>
            <w:rPr>
              <w:color w:val="000000" w:themeColor="text1"/>
            </w:rPr>
          </w:pPr>
          <w:r>
            <w:rPr>
              <w:rFonts w:hint="eastAsia"/>
              <w:color w:val="000000" w:themeColor="text1"/>
            </w:rPr>
            <w:t>使用权资产情况</w:t>
          </w:r>
        </w:p>
        <w:sdt>
          <w:sdtPr>
            <w:rPr>
              <w:color w:val="000000" w:themeColor="text1"/>
            </w:rPr>
            <w:alias w:val="是否适用：使用权资产[双击切换]"/>
            <w:tag w:val="_GBC_3ac132175b304712af4889ae3914ef7d"/>
            <w:id w:val="930008324"/>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autoSpaceDE w:val="0"/>
            <w:autoSpaceDN w:val="0"/>
            <w:adjustRightInd w:val="0"/>
            <w:jc w:val="right"/>
            <w:rPr>
              <w:color w:val="000000" w:themeColor="text1"/>
            </w:rPr>
          </w:pPr>
          <w:r>
            <w:rPr>
              <w:rFonts w:hint="eastAsia"/>
              <w:color w:val="000000" w:themeColor="text1"/>
            </w:rPr>
            <w:t>单位：</w:t>
          </w:r>
          <w:sdt>
            <w:sdtPr>
              <w:rPr>
                <w:rFonts w:hint="eastAsia"/>
                <w:color w:val="000000" w:themeColor="text1"/>
              </w:rPr>
              <w:alias w:val="单位：使用权资产"/>
              <w:tag w:val="_GBC_126de13c7c92490d95bdebd7efe2d59b"/>
              <w:id w:val="24755331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使用权资产"/>
              <w:tag w:val="_GBC_bb9e8b7096ab49fc95311a6c81431e95"/>
              <w:id w:val="15153443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54"/>
            <w:gridCol w:w="2855"/>
          </w:tblGrid>
          <w:tr w:rsidR="000C5659">
            <w:trPr>
              <w:trHeight w:val="284"/>
            </w:trPr>
            <w:sdt>
              <w:sdtPr>
                <w:rPr>
                  <w:color w:val="000000" w:themeColor="text1"/>
                </w:rPr>
                <w:tag w:val="_PLD_e7cc7a86c52f4dc596615cce534e6d6a"/>
                <w:id w:val="-775865372"/>
              </w:sdtPr>
              <w:sdtEndPr/>
              <w:sdtContent>
                <w:tc>
                  <w:tcPr>
                    <w:tcW w:w="1878" w:type="pct"/>
                    <w:shd w:val="clear" w:color="auto" w:fill="auto"/>
                    <w:vAlign w:val="center"/>
                  </w:tcPr>
                  <w:p w:rsidR="000C5659" w:rsidRDefault="000E33C4">
                    <w:pPr>
                      <w:spacing w:line="240" w:lineRule="atLeast"/>
                      <w:jc w:val="center"/>
                      <w:rPr>
                        <w:color w:val="000000" w:themeColor="text1"/>
                      </w:rPr>
                    </w:pPr>
                    <w:r>
                      <w:rPr>
                        <w:rFonts w:hint="eastAsia"/>
                        <w:color w:val="000000" w:themeColor="text1"/>
                      </w:rPr>
                      <w:t>项目</w:t>
                    </w:r>
                  </w:p>
                </w:tc>
              </w:sdtContent>
            </w:sdt>
            <w:sdt>
              <w:sdtPr>
                <w:rPr>
                  <w:color w:val="000000" w:themeColor="text1"/>
                </w:rPr>
                <w:alias w:val="使用权资产明细-项目"/>
                <w:tag w:val="_GBC_ea9ffc7b81304e04ad88fe7fcccf7ec1"/>
                <w:id w:val="-447243998"/>
              </w:sdtPr>
              <w:sdtEndPr/>
              <w:sdtContent>
                <w:tc>
                  <w:tcPr>
                    <w:tcW w:w="1504" w:type="pct"/>
                    <w:shd w:val="clear" w:color="auto" w:fill="auto"/>
                    <w:vAlign w:val="center"/>
                  </w:tcPr>
                  <w:p w:rsidR="000C5659" w:rsidRDefault="000E33C4">
                    <w:pPr>
                      <w:spacing w:line="240" w:lineRule="atLeast"/>
                      <w:jc w:val="center"/>
                      <w:rPr>
                        <w:color w:val="000000" w:themeColor="text1"/>
                      </w:rPr>
                    </w:pPr>
                    <w:r>
                      <w:rPr>
                        <w:rFonts w:hint="eastAsia"/>
                        <w:color w:val="000000" w:themeColor="text1"/>
                      </w:rPr>
                      <w:t>房屋建筑物</w:t>
                    </w:r>
                  </w:p>
                </w:tc>
              </w:sdtContent>
            </w:sdt>
            <w:sdt>
              <w:sdtPr>
                <w:rPr>
                  <w:color w:val="000000" w:themeColor="text1"/>
                </w:rPr>
                <w:tag w:val="_PLD_8404013d36434d0f94f9d2e0e06379db"/>
                <w:id w:val="471332137"/>
              </w:sdtPr>
              <w:sdtEndPr/>
              <w:sdtContent>
                <w:tc>
                  <w:tcPr>
                    <w:tcW w:w="1618" w:type="pct"/>
                    <w:shd w:val="clear" w:color="auto" w:fill="auto"/>
                    <w:vAlign w:val="center"/>
                  </w:tcPr>
                  <w:p w:rsidR="000C5659" w:rsidRDefault="000E33C4">
                    <w:pPr>
                      <w:spacing w:line="240" w:lineRule="atLeast"/>
                      <w:jc w:val="center"/>
                      <w:rPr>
                        <w:color w:val="000000" w:themeColor="text1"/>
                      </w:rPr>
                    </w:pPr>
                    <w:r>
                      <w:rPr>
                        <w:color w:val="000000" w:themeColor="text1"/>
                      </w:rPr>
                      <w:t>合计</w:t>
                    </w:r>
                  </w:p>
                </w:tc>
              </w:sdtContent>
            </w:sdt>
          </w:tr>
          <w:tr w:rsidR="000C5659">
            <w:trPr>
              <w:trHeight w:val="284"/>
            </w:trPr>
            <w:sdt>
              <w:sdtPr>
                <w:rPr>
                  <w:color w:val="000000" w:themeColor="text1"/>
                </w:rPr>
                <w:tag w:val="_PLD_8a1172a4974b4db489d9ace1c9b06ff9"/>
                <w:id w:val="-2076958595"/>
              </w:sdtPr>
              <w:sdtEndPr/>
              <w:sdtContent>
                <w:tc>
                  <w:tcPr>
                    <w:tcW w:w="5000" w:type="pct"/>
                    <w:gridSpan w:val="3"/>
                    <w:shd w:val="clear" w:color="auto" w:fill="auto"/>
                    <w:vAlign w:val="center"/>
                  </w:tcPr>
                  <w:p w:rsidR="000C5659" w:rsidRDefault="000E33C4">
                    <w:pPr>
                      <w:spacing w:line="240" w:lineRule="atLeast"/>
                      <w:rPr>
                        <w:color w:val="000000" w:themeColor="text1"/>
                      </w:rPr>
                    </w:pPr>
                    <w:r>
                      <w:rPr>
                        <w:color w:val="000000" w:themeColor="text1"/>
                      </w:rPr>
                      <w:t>一、</w:t>
                    </w:r>
                    <w:r>
                      <w:rPr>
                        <w:rFonts w:hint="eastAsia"/>
                        <w:color w:val="000000" w:themeColor="text1"/>
                      </w:rPr>
                      <w:t>账面</w:t>
                    </w:r>
                    <w:r>
                      <w:rPr>
                        <w:color w:val="000000" w:themeColor="text1"/>
                      </w:rPr>
                      <w:t>原</w:t>
                    </w:r>
                    <w:r>
                      <w:rPr>
                        <w:rFonts w:hint="eastAsia"/>
                        <w:color w:val="000000" w:themeColor="text1"/>
                      </w:rPr>
                      <w:t>值</w:t>
                    </w:r>
                  </w:p>
                </w:tc>
              </w:sdtContent>
            </w:sdt>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color w:val="000000" w:themeColor="text1"/>
                  </w:rPr>
                  <w:t>1.</w:t>
                </w:r>
                <w:r>
                  <w:rPr>
                    <w:rFonts w:hint="eastAsia"/>
                    <w:color w:val="000000" w:themeColor="text1"/>
                  </w:rPr>
                  <w:t>期</w:t>
                </w:r>
                <w:r>
                  <w:rPr>
                    <w:color w:val="000000" w:themeColor="text1"/>
                  </w:rPr>
                  <w:t>初余额</w:t>
                </w:r>
              </w:p>
            </w:tc>
            <w:tc>
              <w:tcPr>
                <w:tcW w:w="1504" w:type="pct"/>
                <w:shd w:val="clear" w:color="auto" w:fill="auto"/>
              </w:tcPr>
              <w:p w:rsidR="000C5659" w:rsidRDefault="000E33C4">
                <w:pPr>
                  <w:spacing w:line="240" w:lineRule="atLeast"/>
                  <w:ind w:firstLineChars="200" w:firstLine="420"/>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color w:val="000000" w:themeColor="text1"/>
                  </w:rPr>
                  <w:t>2.本期增加</w:t>
                </w:r>
                <w:r>
                  <w:rPr>
                    <w:rFonts w:hint="eastAsia"/>
                    <w:color w:val="000000" w:themeColor="text1"/>
                  </w:rPr>
                  <w:t>金额</w:t>
                </w:r>
              </w:p>
            </w:tc>
            <w:tc>
              <w:tcPr>
                <w:tcW w:w="1504" w:type="pct"/>
                <w:shd w:val="clear" w:color="auto" w:fill="auto"/>
              </w:tcPr>
              <w:p w:rsidR="000C5659" w:rsidRDefault="000C5659">
                <w:pPr>
                  <w:spacing w:line="240" w:lineRule="atLeast"/>
                  <w:jc w:val="right"/>
                  <w:rPr>
                    <w:color w:val="000000" w:themeColor="text1"/>
                  </w:rPr>
                </w:pPr>
              </w:p>
            </w:tc>
            <w:tc>
              <w:tcPr>
                <w:tcW w:w="1618"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r>
          <w:tr w:rsidR="000C5659">
            <w:trPr>
              <w:trHeight w:val="284"/>
            </w:trPr>
            <w:tc>
              <w:tcPr>
                <w:tcW w:w="1878" w:type="pct"/>
                <w:shd w:val="clear" w:color="auto" w:fill="auto"/>
              </w:tcPr>
              <w:p w:rsidR="000C5659" w:rsidRDefault="000E33C4">
                <w:pPr>
                  <w:spacing w:line="240" w:lineRule="atLeast"/>
                  <w:ind w:firstLineChars="200" w:firstLine="420"/>
                </w:pPr>
                <w:r>
                  <w:rPr>
                    <w:rStyle w:val="Style194"/>
                    <w:rFonts w:hint="eastAsia"/>
                  </w:rPr>
                  <w:t>3.企业合并增加</w:t>
                </w:r>
              </w:p>
            </w:tc>
            <w:tc>
              <w:tcPr>
                <w:tcW w:w="1504" w:type="pct"/>
                <w:shd w:val="clear" w:color="auto" w:fill="auto"/>
              </w:tcPr>
              <w:p w:rsidR="000C5659" w:rsidRDefault="000E33C4">
                <w:pPr>
                  <w:spacing w:line="240" w:lineRule="atLeast"/>
                  <w:jc w:val="right"/>
                </w:pPr>
                <w:r>
                  <w:rPr>
                    <w:rStyle w:val="Style194"/>
                    <w:rFonts w:hint="eastAsia"/>
                    <w:color w:val="000000" w:themeColor="text1"/>
                  </w:rPr>
                  <w:t>5,009,355.42</w:t>
                </w:r>
                <w:r>
                  <w:rPr>
                    <w:rStyle w:val="Style194"/>
                    <w:rFonts w:hint="eastAsia"/>
                  </w:rPr>
                  <w:t xml:space="preserve">　</w:t>
                </w:r>
              </w:p>
            </w:tc>
            <w:tc>
              <w:tcPr>
                <w:tcW w:w="1618" w:type="pct"/>
                <w:shd w:val="clear" w:color="auto" w:fill="auto"/>
              </w:tcPr>
              <w:p w:rsidR="000C5659" w:rsidRDefault="000E33C4">
                <w:pPr>
                  <w:spacing w:line="240" w:lineRule="atLeast"/>
                  <w:jc w:val="right"/>
                </w:pPr>
                <w:r>
                  <w:rPr>
                    <w:rStyle w:val="Style194"/>
                    <w:rFonts w:hint="eastAsia"/>
                  </w:rPr>
                  <w:t>5,009,355.42</w:t>
                </w: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4</w:t>
                </w:r>
                <w:r>
                  <w:rPr>
                    <w:color w:val="000000" w:themeColor="text1"/>
                  </w:rPr>
                  <w:t>.本期减少</w:t>
                </w:r>
                <w:r>
                  <w:rPr>
                    <w:rFonts w:hint="eastAsia"/>
                    <w:color w:val="000000" w:themeColor="text1"/>
                  </w:rPr>
                  <w:t>金额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5</w:t>
                </w:r>
                <w:r>
                  <w:rPr>
                    <w:color w:val="000000" w:themeColor="text1"/>
                  </w:rPr>
                  <w:t>.期末余额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5,009,355.42　</w:t>
                </w:r>
              </w:p>
            </w:tc>
            <w:tc>
              <w:tcPr>
                <w:tcW w:w="1618"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5,009,355.42</w:t>
                </w:r>
              </w:p>
            </w:tc>
          </w:tr>
          <w:tr w:rsidR="000C5659">
            <w:trPr>
              <w:trHeight w:val="284"/>
            </w:trPr>
            <w:sdt>
              <w:sdtPr>
                <w:rPr>
                  <w:color w:val="000000" w:themeColor="text1"/>
                </w:rPr>
                <w:tag w:val="_PLD_c5fd254e7ed54ab8b2346f3d57a1cc54"/>
                <w:id w:val="-1467815775"/>
              </w:sdtPr>
              <w:sdtEndPr/>
              <w:sdtContent>
                <w:tc>
                  <w:tcPr>
                    <w:tcW w:w="5000" w:type="pct"/>
                    <w:gridSpan w:val="3"/>
                    <w:shd w:val="clear" w:color="auto" w:fill="auto"/>
                    <w:vAlign w:val="center"/>
                  </w:tcPr>
                  <w:p w:rsidR="000C5659" w:rsidRDefault="000E33C4">
                    <w:pPr>
                      <w:spacing w:line="240" w:lineRule="atLeast"/>
                      <w:rPr>
                        <w:color w:val="000000" w:themeColor="text1"/>
                      </w:rPr>
                    </w:pPr>
                    <w:r>
                      <w:rPr>
                        <w:color w:val="000000" w:themeColor="text1"/>
                      </w:rPr>
                      <w:t>二、累计折旧</w:t>
                    </w:r>
                  </w:p>
                </w:tc>
              </w:sdtContent>
            </w:sdt>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1.期</w:t>
                </w:r>
                <w:r>
                  <w:rPr>
                    <w:color w:val="000000" w:themeColor="text1"/>
                  </w:rPr>
                  <w:t>初余额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2.合并进增加</w:t>
                </w:r>
              </w:p>
            </w:tc>
            <w:tc>
              <w:tcPr>
                <w:tcW w:w="1504" w:type="pct"/>
                <w:shd w:val="clear" w:color="auto" w:fill="auto"/>
              </w:tcPr>
              <w:p w:rsidR="000C5659" w:rsidRDefault="000E33C4">
                <w:pPr>
                  <w:spacing w:line="240" w:lineRule="atLeast"/>
                  <w:jc w:val="right"/>
                  <w:rPr>
                    <w:rStyle w:val="Style194"/>
                    <w:color w:val="000000" w:themeColor="text1"/>
                  </w:rPr>
                </w:pPr>
                <w:r>
                  <w:rPr>
                    <w:rStyle w:val="Style194"/>
                    <w:rFonts w:hint="eastAsia"/>
                    <w:color w:val="000000" w:themeColor="text1"/>
                  </w:rPr>
                  <w:t>870,785.75</w:t>
                </w:r>
              </w:p>
            </w:tc>
            <w:tc>
              <w:tcPr>
                <w:tcW w:w="1618" w:type="pct"/>
                <w:shd w:val="clear" w:color="auto" w:fill="auto"/>
              </w:tcPr>
              <w:p w:rsidR="000C5659" w:rsidRDefault="000E33C4">
                <w:pPr>
                  <w:spacing w:line="240" w:lineRule="atLeast"/>
                  <w:jc w:val="right"/>
                  <w:rPr>
                    <w:rStyle w:val="Style194"/>
                    <w:color w:val="000000" w:themeColor="text1"/>
                  </w:rPr>
                </w:pPr>
                <w:r>
                  <w:t>870,785.75</w:t>
                </w: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color w:val="000000" w:themeColor="text1"/>
                  </w:rPr>
                  <w:t>2.本期增加</w:t>
                </w:r>
                <w:r>
                  <w:rPr>
                    <w:rFonts w:hint="eastAsia"/>
                    <w:color w:val="000000" w:themeColor="text1"/>
                  </w:rPr>
                  <w:t>金额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300" w:firstLine="630"/>
                  <w:rPr>
                    <w:color w:val="000000" w:themeColor="text1"/>
                  </w:rPr>
                </w:pPr>
                <w:r>
                  <w:rPr>
                    <w:color w:val="000000" w:themeColor="text1"/>
                  </w:rPr>
                  <w:t>(1)计提</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413,160.33</w:t>
                </w:r>
              </w:p>
            </w:tc>
            <w:tc>
              <w:tcPr>
                <w:tcW w:w="1618"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413,160.33</w:t>
                </w: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300" w:firstLine="630"/>
                  <w:rPr>
                    <w:color w:val="000000" w:themeColor="text1"/>
                  </w:rPr>
                </w:pPr>
                <w:r>
                  <w:rPr>
                    <w:color w:val="000000" w:themeColor="text1"/>
                  </w:rPr>
                  <w:t>(1)</w:t>
                </w:r>
                <w:r>
                  <w:rPr>
                    <w:rFonts w:hint="eastAsia"/>
                    <w:color w:val="000000" w:themeColor="text1"/>
                  </w:rPr>
                  <w:t>处置</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4.</w:t>
                </w:r>
                <w:r>
                  <w:rPr>
                    <w:color w:val="000000" w:themeColor="text1"/>
                  </w:rPr>
                  <w:t>期末余额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1,283,946.08</w:t>
                </w:r>
              </w:p>
            </w:tc>
            <w:tc>
              <w:tcPr>
                <w:tcW w:w="1618"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1,283,946.08</w:t>
                </w:r>
              </w:p>
            </w:tc>
          </w:tr>
          <w:tr w:rsidR="000C5659">
            <w:trPr>
              <w:trHeight w:val="284"/>
            </w:trPr>
            <w:sdt>
              <w:sdtPr>
                <w:rPr>
                  <w:color w:val="000000" w:themeColor="text1"/>
                </w:rPr>
                <w:tag w:val="_PLD_977579b288954e92aacbdc72b4e58579"/>
                <w:id w:val="-724839360"/>
              </w:sdtPr>
              <w:sdtEndPr/>
              <w:sdtContent>
                <w:tc>
                  <w:tcPr>
                    <w:tcW w:w="5000" w:type="pct"/>
                    <w:gridSpan w:val="3"/>
                    <w:shd w:val="clear" w:color="auto" w:fill="auto"/>
                    <w:vAlign w:val="center"/>
                  </w:tcPr>
                  <w:p w:rsidR="000C5659" w:rsidRDefault="000E33C4">
                    <w:pPr>
                      <w:spacing w:line="240" w:lineRule="atLeast"/>
                      <w:rPr>
                        <w:color w:val="000000" w:themeColor="text1"/>
                      </w:rPr>
                    </w:pPr>
                    <w:r>
                      <w:rPr>
                        <w:color w:val="000000" w:themeColor="text1"/>
                      </w:rPr>
                      <w:t>三、减值准备</w:t>
                    </w:r>
                  </w:p>
                </w:tc>
              </w:sdtContent>
            </w:sdt>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lastRenderedPageBreak/>
                  <w:t>1.期</w:t>
                </w:r>
                <w:r>
                  <w:rPr>
                    <w:color w:val="000000" w:themeColor="text1"/>
                  </w:rPr>
                  <w:t>初余额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color w:val="000000" w:themeColor="text1"/>
                  </w:rPr>
                  <w:t>2.本期增加</w:t>
                </w:r>
                <w:r>
                  <w:rPr>
                    <w:rFonts w:hint="eastAsia"/>
                    <w:color w:val="000000" w:themeColor="text1"/>
                  </w:rPr>
                  <w:t>金额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300" w:firstLine="630"/>
                  <w:rPr>
                    <w:color w:val="000000" w:themeColor="text1"/>
                  </w:rPr>
                </w:pPr>
                <w:r>
                  <w:rPr>
                    <w:color w:val="000000" w:themeColor="text1"/>
                  </w:rPr>
                  <w:t>(1)计提</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300" w:firstLine="630"/>
                  <w:rPr>
                    <w:color w:val="000000" w:themeColor="text1"/>
                  </w:rPr>
                </w:pPr>
                <w:r>
                  <w:rPr>
                    <w:color w:val="000000" w:themeColor="text1"/>
                  </w:rPr>
                  <w:t>(1)</w:t>
                </w:r>
                <w:r>
                  <w:rPr>
                    <w:rFonts w:hint="eastAsia"/>
                    <w:color w:val="000000" w:themeColor="text1"/>
                  </w:rPr>
                  <w:t>处置</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tc>
              <w:tcPr>
                <w:tcW w:w="1878" w:type="pct"/>
                <w:shd w:val="clear" w:color="auto" w:fill="auto"/>
                <w:vAlign w:val="center"/>
              </w:tcPr>
              <w:p w:rsidR="000C5659" w:rsidRDefault="000E33C4">
                <w:pPr>
                  <w:spacing w:line="240" w:lineRule="atLeast"/>
                  <w:ind w:firstLineChars="200" w:firstLine="420"/>
                  <w:rPr>
                    <w:color w:val="000000" w:themeColor="text1"/>
                  </w:rPr>
                </w:pPr>
                <w:r>
                  <w:rPr>
                    <w:rFonts w:hint="eastAsia"/>
                    <w:color w:val="000000" w:themeColor="text1"/>
                  </w:rPr>
                  <w:t>4.</w:t>
                </w:r>
                <w:r>
                  <w:rPr>
                    <w:color w:val="000000" w:themeColor="text1"/>
                  </w:rPr>
                  <w:t>期末余额</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C5659">
                <w:pPr>
                  <w:spacing w:line="240" w:lineRule="atLeast"/>
                  <w:jc w:val="right"/>
                  <w:rPr>
                    <w:color w:val="000000" w:themeColor="text1"/>
                  </w:rPr>
                </w:pPr>
              </w:p>
            </w:tc>
          </w:tr>
          <w:tr w:rsidR="000C5659">
            <w:trPr>
              <w:trHeight w:val="284"/>
            </w:trPr>
            <w:sdt>
              <w:sdtPr>
                <w:rPr>
                  <w:color w:val="000000" w:themeColor="text1"/>
                </w:rPr>
                <w:tag w:val="_PLD_a609076f16da4fedb37d9fc1d72dfd8f"/>
                <w:id w:val="-153916917"/>
              </w:sdtPr>
              <w:sdtEndPr/>
              <w:sdtContent>
                <w:tc>
                  <w:tcPr>
                    <w:tcW w:w="5000" w:type="pct"/>
                    <w:gridSpan w:val="3"/>
                    <w:shd w:val="clear" w:color="auto" w:fill="auto"/>
                    <w:vAlign w:val="center"/>
                  </w:tcPr>
                  <w:p w:rsidR="000C5659" w:rsidRDefault="000E33C4">
                    <w:pPr>
                      <w:spacing w:line="240" w:lineRule="atLeast"/>
                      <w:rPr>
                        <w:color w:val="000000" w:themeColor="text1"/>
                      </w:rPr>
                    </w:pPr>
                    <w:r>
                      <w:rPr>
                        <w:color w:val="000000" w:themeColor="text1"/>
                      </w:rPr>
                      <w:t>四、账面价值</w:t>
                    </w:r>
                  </w:p>
                </w:tc>
              </w:sdtContent>
            </w:sdt>
          </w:tr>
          <w:tr w:rsidR="000C5659">
            <w:trPr>
              <w:trHeight w:val="284"/>
            </w:trPr>
            <w:tc>
              <w:tcPr>
                <w:tcW w:w="1878" w:type="pct"/>
                <w:shd w:val="clear" w:color="auto" w:fill="auto"/>
                <w:vAlign w:val="center"/>
              </w:tcPr>
              <w:p w:rsidR="000C5659" w:rsidRDefault="000E33C4">
                <w:pPr>
                  <w:spacing w:line="240" w:lineRule="atLeast"/>
                  <w:rPr>
                    <w:color w:val="000000" w:themeColor="text1"/>
                  </w:rPr>
                </w:pPr>
                <w:r>
                  <w:rPr>
                    <w:color w:val="000000" w:themeColor="text1"/>
                  </w:rPr>
                  <w:t xml:space="preserve">    1.期末账面价值</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3,725,409.34　</w:t>
                </w:r>
              </w:p>
            </w:tc>
            <w:tc>
              <w:tcPr>
                <w:tcW w:w="1618"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3,725,409.34</w:t>
                </w:r>
              </w:p>
            </w:tc>
          </w:tr>
          <w:tr w:rsidR="000C5659">
            <w:trPr>
              <w:trHeight w:val="284"/>
            </w:trPr>
            <w:tc>
              <w:tcPr>
                <w:tcW w:w="1878" w:type="pct"/>
                <w:shd w:val="clear" w:color="auto" w:fill="auto"/>
                <w:vAlign w:val="center"/>
              </w:tcPr>
              <w:p w:rsidR="000C5659" w:rsidRDefault="000E33C4">
                <w:pPr>
                  <w:spacing w:line="240" w:lineRule="atLeast"/>
                  <w:rPr>
                    <w:color w:val="000000" w:themeColor="text1"/>
                  </w:rPr>
                </w:pPr>
                <w:r>
                  <w:rPr>
                    <w:color w:val="000000" w:themeColor="text1"/>
                  </w:rPr>
                  <w:t xml:space="preserve">    2.期初账面价值</w:t>
                </w:r>
              </w:p>
            </w:tc>
            <w:tc>
              <w:tcPr>
                <w:tcW w:w="1504"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c>
              <w:tcPr>
                <w:tcW w:w="1618" w:type="pct"/>
                <w:shd w:val="clear" w:color="auto" w:fill="auto"/>
              </w:tcPr>
              <w:p w:rsidR="000C5659" w:rsidRDefault="000E33C4">
                <w:pPr>
                  <w:spacing w:line="240" w:lineRule="atLeast"/>
                  <w:jc w:val="right"/>
                  <w:rPr>
                    <w:color w:val="000000" w:themeColor="text1"/>
                  </w:rPr>
                </w:pPr>
                <w:r>
                  <w:rPr>
                    <w:rStyle w:val="Style194"/>
                    <w:rFonts w:hint="eastAsia"/>
                    <w:color w:val="000000" w:themeColor="text1"/>
                  </w:rPr>
                  <w:t xml:space="preserve">　</w:t>
                </w:r>
              </w:p>
            </w:tc>
          </w:tr>
        </w:tbl>
        <w:p w:rsidR="000C5659" w:rsidRDefault="000C5659">
          <w:pPr>
            <w:pStyle w:val="Style325"/>
          </w:pPr>
        </w:p>
        <w:p w:rsidR="000C5659" w:rsidRDefault="000C5659">
          <w:pPr>
            <w:pStyle w:val="Style325"/>
          </w:pPr>
        </w:p>
        <w:p w:rsidR="000C5659" w:rsidRDefault="00220B84">
          <w:pPr>
            <w:autoSpaceDE w:val="0"/>
            <w:autoSpaceDN w:val="0"/>
            <w:adjustRightInd w:val="0"/>
            <w:rPr>
              <w:color w:val="000000" w:themeColor="text1"/>
            </w:rPr>
          </w:pPr>
        </w:p>
      </w:sdtContent>
    </w:sdt>
    <w:p w:rsidR="000C5659" w:rsidRDefault="000E33C4" w:rsidP="000743DD">
      <w:pPr>
        <w:pStyle w:val="43"/>
        <w:numPr>
          <w:ilvl w:val="0"/>
          <w:numId w:val="71"/>
        </w:numPr>
        <w:rPr>
          <w:color w:val="000000" w:themeColor="text1"/>
        </w:rPr>
      </w:pPr>
      <w:bookmarkStart w:id="283" w:name="_Hlk153461708"/>
      <w:bookmarkStart w:id="284" w:name="_Hlk167959535"/>
      <w:r>
        <w:rPr>
          <w:rFonts w:hint="eastAsia"/>
          <w:color w:val="000000" w:themeColor="text1"/>
        </w:rPr>
        <w:t>使用权资产的减值测试情况</w:t>
      </w:r>
    </w:p>
    <w:sdt>
      <w:sdtPr>
        <w:rPr>
          <w:color w:val="000000" w:themeColor="text1"/>
        </w:rPr>
        <w:alias w:val="是否适用：减值测试情况[双击切换]"/>
        <w:tag w:val="_GBC_d79f93753a2c43fc80991be4c588d144"/>
        <w:id w:val="28077300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autoSpaceDE w:val="0"/>
        <w:autoSpaceDN w:val="0"/>
        <w:adjustRightInd w:val="0"/>
        <w:rPr>
          <w:color w:val="000000" w:themeColor="text1"/>
        </w:rPr>
      </w:pPr>
      <w:bookmarkStart w:id="285" w:name="_Hlk167959640"/>
      <w:bookmarkEnd w:id="283"/>
      <w:bookmarkEnd w:id="284"/>
      <w:r>
        <w:rPr>
          <w:rFonts w:hint="eastAsia"/>
          <w:color w:val="000000" w:themeColor="text1"/>
        </w:rPr>
        <w:t>其他说明：</w:t>
      </w:r>
    </w:p>
    <w:p w:rsidR="000C5659" w:rsidRDefault="00220B84">
      <w:pPr>
        <w:rPr>
          <w:color w:val="000000" w:themeColor="text1"/>
        </w:rPr>
      </w:pPr>
      <w:sdt>
        <w:sdtPr>
          <w:rPr>
            <w:color w:val="000000" w:themeColor="text1"/>
          </w:rPr>
          <w:alias w:val="使用权资产其他说明"/>
          <w:tag w:val="_GBC_30439a7674b44ef39168f8672c6df2c9"/>
          <w:id w:val="-1096638482"/>
          <w:placeholder>
            <w:docPart w:val="GBC22222222222222222222222222222"/>
          </w:placeholder>
        </w:sdtPr>
        <w:sdtEndPr/>
        <w:sdtContent>
          <w:r w:rsidR="000E33C4">
            <w:rPr>
              <w:rFonts w:hint="eastAsia"/>
              <w:color w:val="000000" w:themeColor="text1"/>
            </w:rPr>
            <w:t>无</w:t>
          </w:r>
        </w:sdtContent>
      </w:sdt>
    </w:p>
    <w:p w:rsidR="00BB75E8" w:rsidRDefault="00BB75E8">
      <w:pPr>
        <w:rPr>
          <w:color w:val="000000" w:themeColor="text1"/>
        </w:rPr>
        <w:sectPr w:rsidR="00BB75E8">
          <w:pgSz w:w="11906" w:h="16838"/>
          <w:pgMar w:top="1525" w:right="1276" w:bottom="1440" w:left="1797" w:header="856" w:footer="992" w:gutter="0"/>
          <w:cols w:space="425"/>
          <w:docGrid w:linePitch="312"/>
        </w:sectPr>
      </w:pPr>
    </w:p>
    <w:p w:rsidR="00BC4888" w:rsidRDefault="00BC4888">
      <w:pPr>
        <w:rPr>
          <w:color w:val="000000" w:themeColor="text1"/>
        </w:rPr>
        <w:sectPr w:rsidR="00BC4888" w:rsidSect="00BB75E8">
          <w:type w:val="continuous"/>
          <w:pgSz w:w="11906" w:h="16838"/>
          <w:pgMar w:top="1525" w:right="1276" w:bottom="1440" w:left="1797" w:header="856" w:footer="992" w:gutter="0"/>
          <w:cols w:space="425"/>
          <w:docGrid w:linePitch="312"/>
        </w:sectPr>
      </w:pPr>
    </w:p>
    <w:bookmarkEnd w:id="285"/>
    <w:p w:rsidR="000C5659" w:rsidRDefault="000E33C4" w:rsidP="000743DD">
      <w:pPr>
        <w:pStyle w:val="35"/>
        <w:numPr>
          <w:ilvl w:val="0"/>
          <w:numId w:val="50"/>
        </w:numPr>
        <w:rPr>
          <w:color w:val="000000" w:themeColor="text1"/>
          <w:szCs w:val="21"/>
        </w:rPr>
      </w:pPr>
      <w:r>
        <w:rPr>
          <w:color w:val="000000" w:themeColor="text1"/>
          <w:szCs w:val="21"/>
        </w:rPr>
        <w:lastRenderedPageBreak/>
        <w:t>无形资产</w:t>
      </w:r>
    </w:p>
    <w:p w:rsidR="000C5659" w:rsidRDefault="000E33C4" w:rsidP="000743DD">
      <w:pPr>
        <w:pStyle w:val="43"/>
        <w:numPr>
          <w:ilvl w:val="0"/>
          <w:numId w:val="72"/>
        </w:numPr>
        <w:tabs>
          <w:tab w:val="left" w:pos="602"/>
        </w:tabs>
        <w:rPr>
          <w:rFonts w:ascii="宋体" w:hAnsi="宋体"/>
          <w:color w:val="000000" w:themeColor="text1"/>
          <w:szCs w:val="21"/>
        </w:rPr>
      </w:pPr>
      <w:r>
        <w:rPr>
          <w:rFonts w:ascii="宋体" w:hAnsi="宋体" w:hint="eastAsia"/>
          <w:color w:val="000000" w:themeColor="text1"/>
          <w:szCs w:val="21"/>
        </w:rPr>
        <w:t>无形资产情况</w:t>
      </w:r>
    </w:p>
    <w:p w:rsidR="000C5659" w:rsidRDefault="00220B84">
      <w:pPr>
        <w:rPr>
          <w:color w:val="000000" w:themeColor="text1"/>
        </w:rPr>
      </w:pPr>
      <w:sdt>
        <w:sdtPr>
          <w:rPr>
            <w:rFonts w:hint="eastAsia"/>
            <w:color w:val="000000" w:themeColor="text1"/>
          </w:rPr>
          <w:alias w:val="是否适用：无形资产情况[双击切换]"/>
          <w:tag w:val="_GBC_0882d05501f84259b91efc5f2eae98cf"/>
          <w:id w:val="-760834297"/>
          <w:lock w:val="contentLocked"/>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E33C4">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无形资产情况"/>
          <w:tag w:val="_GBC_e04514c8858e489490302ba7c2e1448a"/>
          <w:id w:val="8968582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无形资产情况"/>
          <w:tag w:val="_GBC_5ac7324577934f838e3655199c980c1c"/>
          <w:id w:val="14950775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419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697"/>
        <w:gridCol w:w="1701"/>
        <w:gridCol w:w="1418"/>
        <w:gridCol w:w="1420"/>
        <w:gridCol w:w="1701"/>
        <w:gridCol w:w="1699"/>
      </w:tblGrid>
      <w:tr w:rsidR="00BB75E8" w:rsidTr="00BB75E8">
        <w:trPr>
          <w:trHeight w:val="284"/>
          <w:jc w:val="center"/>
        </w:trPr>
        <w:sdt>
          <w:sdtPr>
            <w:rPr>
              <w:color w:val="000000" w:themeColor="text1"/>
            </w:rPr>
            <w:tag w:val="_PLD_16e062da10ef4301a1526b8633f88a31"/>
            <w:id w:val="-704245871"/>
          </w:sdtPr>
          <w:sdtEndPr/>
          <w:sdtContent>
            <w:tc>
              <w:tcPr>
                <w:tcW w:w="854"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8b465b50cb10415c8931fdb66ee29ca3"/>
            <w:id w:val="-2138016327"/>
          </w:sdtPr>
          <w:sdtEndPr/>
          <w:sdtContent>
            <w:tc>
              <w:tcPr>
                <w:tcW w:w="730" w:type="pct"/>
                <w:shd w:val="clear" w:color="auto" w:fill="auto"/>
                <w:vAlign w:val="center"/>
              </w:tcPr>
              <w:p w:rsidR="000C5659" w:rsidRDefault="000E33C4">
                <w:pPr>
                  <w:jc w:val="center"/>
                  <w:rPr>
                    <w:color w:val="000000" w:themeColor="text1"/>
                  </w:rPr>
                </w:pPr>
                <w:r>
                  <w:rPr>
                    <w:rFonts w:hint="eastAsia"/>
                    <w:color w:val="000000" w:themeColor="text1"/>
                  </w:rPr>
                  <w:t>土地使用权</w:t>
                </w:r>
              </w:p>
            </w:tc>
          </w:sdtContent>
        </w:sdt>
        <w:sdt>
          <w:sdtPr>
            <w:rPr>
              <w:color w:val="000000" w:themeColor="text1"/>
            </w:rPr>
            <w:tag w:val="_PLD_55a0c34977f7438f8a4e60b2ec43e654"/>
            <w:id w:val="-1820178048"/>
          </w:sdtPr>
          <w:sdtEndPr/>
          <w:sdtContent>
            <w:tc>
              <w:tcPr>
                <w:tcW w:w="732" w:type="pct"/>
                <w:shd w:val="clear" w:color="auto" w:fill="auto"/>
                <w:vAlign w:val="center"/>
              </w:tcPr>
              <w:p w:rsidR="000C5659" w:rsidRDefault="000E33C4">
                <w:pPr>
                  <w:jc w:val="center"/>
                  <w:rPr>
                    <w:color w:val="000000" w:themeColor="text1"/>
                  </w:rPr>
                </w:pPr>
                <w:r>
                  <w:rPr>
                    <w:rFonts w:hint="eastAsia"/>
                    <w:color w:val="000000" w:themeColor="text1"/>
                  </w:rPr>
                  <w:t>专利权</w:t>
                </w:r>
              </w:p>
            </w:tc>
          </w:sdtContent>
        </w:sdt>
        <w:sdt>
          <w:sdtPr>
            <w:rPr>
              <w:color w:val="000000" w:themeColor="text1"/>
            </w:rPr>
            <w:tag w:val="_PLD_624f8e9465f646f5a305cf5fc59a830c"/>
            <w:id w:val="312606542"/>
          </w:sdtPr>
          <w:sdtEndPr/>
          <w:sdtContent>
            <w:tc>
              <w:tcPr>
                <w:tcW w:w="610" w:type="pct"/>
                <w:shd w:val="clear" w:color="auto" w:fill="auto"/>
                <w:vAlign w:val="center"/>
              </w:tcPr>
              <w:p w:rsidR="000C5659" w:rsidRDefault="000E33C4">
                <w:pPr>
                  <w:jc w:val="center"/>
                  <w:rPr>
                    <w:color w:val="000000" w:themeColor="text1"/>
                  </w:rPr>
                </w:pPr>
                <w:r>
                  <w:rPr>
                    <w:rFonts w:hint="eastAsia"/>
                    <w:color w:val="000000" w:themeColor="text1"/>
                  </w:rPr>
                  <w:t>非专利技术</w:t>
                </w:r>
              </w:p>
            </w:tc>
          </w:sdtContent>
        </w:sdt>
        <w:tc>
          <w:tcPr>
            <w:tcW w:w="611" w:type="pct"/>
            <w:shd w:val="clear" w:color="auto" w:fill="auto"/>
            <w:vAlign w:val="center"/>
          </w:tcPr>
          <w:p w:rsidR="000C5659" w:rsidRDefault="000E33C4">
            <w:pPr>
              <w:jc w:val="center"/>
              <w:rPr>
                <w:color w:val="000000" w:themeColor="text1"/>
              </w:rPr>
            </w:pPr>
            <w:r>
              <w:rPr>
                <w:rFonts w:hint="eastAsia"/>
                <w:color w:val="000000" w:themeColor="text1"/>
              </w:rPr>
              <w:t>商标</w:t>
            </w:r>
          </w:p>
        </w:tc>
        <w:sdt>
          <w:sdtPr>
            <w:rPr>
              <w:color w:val="000000" w:themeColor="text1"/>
            </w:rPr>
            <w:alias w:val="无形资产明细－项目"/>
            <w:tag w:val="_GBC_ee2531f58c0a420e83919cd1efe46139"/>
            <w:id w:val="-1207254379"/>
          </w:sdtPr>
          <w:sdtEndPr>
            <w:rPr>
              <w:rFonts w:hint="eastAsia"/>
            </w:rPr>
          </w:sdtEndPr>
          <w:sdtContent>
            <w:tc>
              <w:tcPr>
                <w:tcW w:w="732" w:type="pct"/>
                <w:shd w:val="clear" w:color="auto" w:fill="auto"/>
                <w:vAlign w:val="center"/>
              </w:tcPr>
              <w:p w:rsidR="000C5659" w:rsidRDefault="000E33C4">
                <w:pPr>
                  <w:jc w:val="center"/>
                  <w:rPr>
                    <w:color w:val="000000" w:themeColor="text1"/>
                  </w:rPr>
                </w:pPr>
                <w:r>
                  <w:rPr>
                    <w:rFonts w:hint="eastAsia"/>
                    <w:color w:val="000000" w:themeColor="text1"/>
                  </w:rPr>
                  <w:t>软件</w:t>
                </w:r>
              </w:p>
            </w:tc>
          </w:sdtContent>
        </w:sdt>
        <w:sdt>
          <w:sdtPr>
            <w:rPr>
              <w:color w:val="000000" w:themeColor="text1"/>
            </w:rPr>
            <w:tag w:val="_PLD_57620ddc57e34012a99d49f2280a99e2"/>
            <w:id w:val="1180710726"/>
          </w:sdtPr>
          <w:sdtEndPr/>
          <w:sdtContent>
            <w:tc>
              <w:tcPr>
                <w:tcW w:w="731" w:type="pct"/>
                <w:shd w:val="clear" w:color="auto" w:fill="auto"/>
                <w:vAlign w:val="center"/>
              </w:tcPr>
              <w:p w:rsidR="000C5659" w:rsidRDefault="000E33C4">
                <w:pPr>
                  <w:jc w:val="center"/>
                  <w:rPr>
                    <w:color w:val="000000" w:themeColor="text1"/>
                  </w:rPr>
                </w:pPr>
                <w:r>
                  <w:rPr>
                    <w:color w:val="000000" w:themeColor="text1"/>
                  </w:rPr>
                  <w:t>合计</w:t>
                </w:r>
              </w:p>
            </w:tc>
          </w:sdtContent>
        </w:sdt>
      </w:tr>
      <w:tr w:rsidR="00A23268" w:rsidTr="00A23268">
        <w:trPr>
          <w:trHeight w:val="284"/>
          <w:jc w:val="center"/>
        </w:trPr>
        <w:tc>
          <w:tcPr>
            <w:tcW w:w="5000" w:type="pct"/>
            <w:gridSpan w:val="7"/>
            <w:shd w:val="clear" w:color="auto" w:fill="auto"/>
            <w:vAlign w:val="center"/>
          </w:tcPr>
          <w:p w:rsidR="00A23268" w:rsidRDefault="00A23268">
            <w:pPr>
              <w:rPr>
                <w:color w:val="000000" w:themeColor="text1"/>
              </w:rPr>
            </w:pPr>
            <w:r>
              <w:rPr>
                <w:color w:val="000000" w:themeColor="text1"/>
              </w:rPr>
              <w:t>一、</w:t>
            </w:r>
            <w:r>
              <w:rPr>
                <w:rFonts w:hint="eastAsia"/>
                <w:color w:val="000000" w:themeColor="text1"/>
              </w:rPr>
              <w:t>账面原值</w:t>
            </w:r>
          </w:p>
        </w:tc>
      </w:tr>
      <w:tr w:rsidR="00BB75E8" w:rsidTr="00BB75E8">
        <w:trPr>
          <w:trHeight w:val="284"/>
          <w:jc w:val="center"/>
        </w:trPr>
        <w:tc>
          <w:tcPr>
            <w:tcW w:w="854" w:type="pct"/>
            <w:shd w:val="clear" w:color="auto" w:fill="auto"/>
            <w:vAlign w:val="center"/>
          </w:tcPr>
          <w:p w:rsidR="000C5659" w:rsidRDefault="000E33C4">
            <w:pPr>
              <w:rPr>
                <w:color w:val="000000" w:themeColor="text1"/>
              </w:rPr>
            </w:pPr>
            <w:r>
              <w:rPr>
                <w:color w:val="000000" w:themeColor="text1"/>
              </w:rPr>
              <w:t xml:space="preserve">    1.</w:t>
            </w:r>
            <w:r>
              <w:rPr>
                <w:rFonts w:hint="eastAsia"/>
                <w:color w:val="000000" w:themeColor="text1"/>
              </w:rPr>
              <w:t>期</w:t>
            </w:r>
            <w:r>
              <w:rPr>
                <w:color w:val="000000" w:themeColor="text1"/>
              </w:rPr>
              <w:t>初余额</w:t>
            </w:r>
          </w:p>
        </w:tc>
        <w:tc>
          <w:tcPr>
            <w:tcW w:w="73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32,444,513.63</w:t>
            </w: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23,734,867.08</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56,179,380.71</w:t>
            </w: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color w:val="000000" w:themeColor="text1"/>
              </w:rPr>
              <w:t>2.本期增加</w:t>
            </w:r>
            <w:r>
              <w:rPr>
                <w:rFonts w:hint="eastAsia"/>
                <w:color w:val="000000" w:themeColor="text1"/>
              </w:rPr>
              <w:t>金额</w:t>
            </w:r>
          </w:p>
        </w:tc>
        <w:tc>
          <w:tcPr>
            <w:tcW w:w="73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4,606,193.59</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12,628,292.12</w:t>
            </w:r>
          </w:p>
        </w:tc>
        <w:tc>
          <w:tcPr>
            <w:tcW w:w="61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360,000.00</w:t>
            </w:r>
          </w:p>
        </w:tc>
        <w:tc>
          <w:tcPr>
            <w:tcW w:w="61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194,750.00</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251,123.48</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18,040,359.19</w:t>
            </w:r>
          </w:p>
        </w:tc>
      </w:tr>
      <w:tr w:rsidR="00BB75E8" w:rsidTr="00BB75E8">
        <w:trPr>
          <w:trHeight w:val="284"/>
          <w:jc w:val="center"/>
        </w:trPr>
        <w:tc>
          <w:tcPr>
            <w:tcW w:w="854" w:type="pct"/>
            <w:shd w:val="clear" w:color="auto" w:fill="auto"/>
            <w:vAlign w:val="center"/>
          </w:tcPr>
          <w:p w:rsidR="000C5659" w:rsidRDefault="000E33C4">
            <w:pPr>
              <w:ind w:firstLineChars="300" w:firstLine="630"/>
              <w:rPr>
                <w:color w:val="000000" w:themeColor="text1"/>
              </w:rPr>
            </w:pPr>
            <w:r>
              <w:rPr>
                <w:color w:val="000000" w:themeColor="text1"/>
              </w:rPr>
              <w:t>(1)</w:t>
            </w:r>
            <w:r>
              <w:rPr>
                <w:rFonts w:hint="eastAsia"/>
                <w:color w:val="000000" w:themeColor="text1"/>
              </w:rPr>
              <w:t>购置</w:t>
            </w:r>
          </w:p>
        </w:tc>
        <w:tc>
          <w:tcPr>
            <w:tcW w:w="73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55,445.55</w:t>
            </w: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114,668.56</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170,114.11</w:t>
            </w:r>
          </w:p>
        </w:tc>
      </w:tr>
      <w:tr w:rsidR="00BB75E8" w:rsidTr="00BB75E8">
        <w:trPr>
          <w:trHeight w:val="284"/>
          <w:jc w:val="center"/>
        </w:trPr>
        <w:tc>
          <w:tcPr>
            <w:tcW w:w="854" w:type="pct"/>
            <w:shd w:val="clear" w:color="auto" w:fill="auto"/>
            <w:vAlign w:val="center"/>
          </w:tcPr>
          <w:p w:rsidR="000C5659" w:rsidRDefault="000E33C4">
            <w:pPr>
              <w:ind w:firstLineChars="300" w:firstLine="630"/>
              <w:rPr>
                <w:color w:val="000000" w:themeColor="text1"/>
              </w:rPr>
            </w:pPr>
            <w:r>
              <w:rPr>
                <w:rFonts w:hint="eastAsia"/>
                <w:color w:val="000000" w:themeColor="text1"/>
              </w:rPr>
              <w:t>(</w:t>
            </w:r>
            <w:r>
              <w:rPr>
                <w:color w:val="000000" w:themeColor="text1"/>
              </w:rPr>
              <w:t>2)</w:t>
            </w:r>
            <w:r>
              <w:rPr>
                <w:rFonts w:hint="eastAsia"/>
                <w:color w:val="000000" w:themeColor="text1"/>
              </w:rPr>
              <w:t>内部研发</w:t>
            </w:r>
          </w:p>
        </w:tc>
        <w:tc>
          <w:tcPr>
            <w:tcW w:w="73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1" w:type="pct"/>
            <w:shd w:val="clear" w:color="auto" w:fill="auto"/>
            <w:vAlign w:val="center"/>
          </w:tcPr>
          <w:p w:rsidR="000C5659" w:rsidRDefault="000C5659" w:rsidP="00BC4888">
            <w:pPr>
              <w:jc w:val="right"/>
              <w:rPr>
                <w:rFonts w:asciiTheme="minorEastAsia" w:eastAsiaTheme="minorEastAsia" w:hAnsiTheme="minorEastAsia" w:cstheme="minorEastAsia"/>
              </w:rPr>
            </w:pPr>
          </w:p>
        </w:tc>
      </w:tr>
      <w:tr w:rsidR="00BB75E8" w:rsidTr="00BB75E8">
        <w:trPr>
          <w:trHeight w:val="284"/>
          <w:jc w:val="center"/>
        </w:trPr>
        <w:tc>
          <w:tcPr>
            <w:tcW w:w="854" w:type="pct"/>
            <w:shd w:val="clear" w:color="auto" w:fill="auto"/>
            <w:vAlign w:val="center"/>
          </w:tcPr>
          <w:p w:rsidR="000C5659" w:rsidRDefault="000E33C4">
            <w:pPr>
              <w:ind w:firstLineChars="300" w:firstLine="630"/>
              <w:rPr>
                <w:color w:val="000000" w:themeColor="text1"/>
              </w:rPr>
            </w:pPr>
            <w:r>
              <w:rPr>
                <w:rFonts w:hint="eastAsia"/>
                <w:color w:val="000000" w:themeColor="text1"/>
              </w:rPr>
              <w:t>(</w:t>
            </w:r>
            <w:r>
              <w:rPr>
                <w:color w:val="000000" w:themeColor="text1"/>
              </w:rPr>
              <w:t>3</w:t>
            </w:r>
            <w:r>
              <w:rPr>
                <w:rFonts w:hint="eastAsia"/>
                <w:color w:val="000000" w:themeColor="text1"/>
              </w:rPr>
              <w:t>)企</w:t>
            </w:r>
            <w:r>
              <w:rPr>
                <w:color w:val="000000" w:themeColor="text1"/>
              </w:rPr>
              <w:t>业合并增加</w:t>
            </w:r>
          </w:p>
        </w:tc>
        <w:tc>
          <w:tcPr>
            <w:tcW w:w="73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4,606,193.59</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12,572,846.57</w:t>
            </w:r>
          </w:p>
        </w:tc>
        <w:tc>
          <w:tcPr>
            <w:tcW w:w="61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360,000.00</w:t>
            </w:r>
          </w:p>
        </w:tc>
        <w:tc>
          <w:tcPr>
            <w:tcW w:w="61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194,750.00</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136,454.92</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17,870,245.08</w:t>
            </w:r>
          </w:p>
        </w:tc>
      </w:tr>
      <w:tr w:rsidR="00BB75E8" w:rsidTr="00BB75E8">
        <w:trPr>
          <w:trHeight w:val="284"/>
          <w:jc w:val="center"/>
        </w:trPr>
        <w:tc>
          <w:tcPr>
            <w:tcW w:w="854" w:type="pct"/>
            <w:shd w:val="clear" w:color="auto" w:fill="auto"/>
            <w:vAlign w:val="center"/>
          </w:tcPr>
          <w:p w:rsidR="000C5659" w:rsidRDefault="000E33C4">
            <w:pPr>
              <w:rPr>
                <w:color w:val="000000" w:themeColor="text1"/>
              </w:rPr>
            </w:pPr>
            <w:r>
              <w:rPr>
                <w:color w:val="000000" w:themeColor="text1"/>
              </w:rPr>
              <w:t xml:space="preserve">    3.本期减少</w:t>
            </w:r>
            <w:r>
              <w:rPr>
                <w:rFonts w:hint="eastAsia"/>
                <w:color w:val="000000" w:themeColor="text1"/>
              </w:rPr>
              <w:t>金额</w:t>
            </w:r>
          </w:p>
        </w:tc>
        <w:tc>
          <w:tcPr>
            <w:tcW w:w="73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1" w:type="pct"/>
            <w:shd w:val="clear" w:color="auto" w:fill="auto"/>
            <w:vAlign w:val="center"/>
          </w:tcPr>
          <w:p w:rsidR="000C5659" w:rsidRDefault="000C5659" w:rsidP="00BC4888">
            <w:pPr>
              <w:jc w:val="right"/>
              <w:rPr>
                <w:rFonts w:asciiTheme="minorEastAsia" w:eastAsiaTheme="minorEastAsia" w:hAnsiTheme="minorEastAsia" w:cstheme="minorEastAsia"/>
              </w:rPr>
            </w:pPr>
          </w:p>
        </w:tc>
      </w:tr>
      <w:tr w:rsidR="00BB75E8" w:rsidTr="00BB75E8">
        <w:trPr>
          <w:trHeight w:val="334"/>
          <w:jc w:val="center"/>
        </w:trPr>
        <w:tc>
          <w:tcPr>
            <w:tcW w:w="854" w:type="pct"/>
            <w:shd w:val="clear" w:color="auto" w:fill="auto"/>
            <w:vAlign w:val="center"/>
          </w:tcPr>
          <w:p w:rsidR="000C5659" w:rsidRDefault="000E33C4">
            <w:pPr>
              <w:ind w:firstLineChars="300" w:firstLine="630"/>
              <w:rPr>
                <w:color w:val="000000" w:themeColor="text1"/>
              </w:rPr>
            </w:pPr>
            <w:r>
              <w:rPr>
                <w:color w:val="000000" w:themeColor="text1"/>
              </w:rPr>
              <w:t>(</w:t>
            </w:r>
            <w:r>
              <w:rPr>
                <w:rFonts w:hint="eastAsia"/>
                <w:color w:val="000000" w:themeColor="text1"/>
              </w:rPr>
              <w:t>1</w:t>
            </w:r>
            <w:r>
              <w:rPr>
                <w:color w:val="000000" w:themeColor="text1"/>
              </w:rPr>
              <w:t>)</w:t>
            </w:r>
            <w:r>
              <w:rPr>
                <w:rFonts w:hint="eastAsia"/>
                <w:color w:val="000000" w:themeColor="text1"/>
              </w:rPr>
              <w:t>处置</w:t>
            </w:r>
          </w:p>
        </w:tc>
        <w:tc>
          <w:tcPr>
            <w:tcW w:w="73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1" w:type="pct"/>
            <w:shd w:val="clear" w:color="auto" w:fill="auto"/>
            <w:vAlign w:val="center"/>
          </w:tcPr>
          <w:p w:rsidR="000C5659" w:rsidRDefault="000C5659" w:rsidP="00BC4888">
            <w:pPr>
              <w:jc w:val="right"/>
              <w:rPr>
                <w:rFonts w:asciiTheme="minorEastAsia" w:eastAsiaTheme="minorEastAsia" w:hAnsiTheme="minorEastAsia" w:cstheme="minorEastAsia"/>
              </w:rPr>
            </w:pPr>
          </w:p>
        </w:tc>
      </w:tr>
      <w:tr w:rsidR="00BB75E8" w:rsidTr="00BB75E8">
        <w:trPr>
          <w:trHeight w:val="284"/>
          <w:jc w:val="center"/>
        </w:trPr>
        <w:tc>
          <w:tcPr>
            <w:tcW w:w="854" w:type="pct"/>
            <w:shd w:val="clear" w:color="auto" w:fill="auto"/>
            <w:vAlign w:val="center"/>
          </w:tcPr>
          <w:p w:rsidR="000C5659" w:rsidRDefault="000E33C4">
            <w:pPr>
              <w:rPr>
                <w:color w:val="000000" w:themeColor="text1"/>
              </w:rPr>
            </w:pPr>
            <w:r>
              <w:rPr>
                <w:color w:val="000000" w:themeColor="text1"/>
              </w:rPr>
              <w:t xml:space="preserve">   4.期末余额</w:t>
            </w:r>
          </w:p>
        </w:tc>
        <w:tc>
          <w:tcPr>
            <w:tcW w:w="73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37,050,707.22</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12,628,292.12</w:t>
            </w:r>
          </w:p>
        </w:tc>
        <w:tc>
          <w:tcPr>
            <w:tcW w:w="61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360,000.00</w:t>
            </w:r>
          </w:p>
        </w:tc>
        <w:tc>
          <w:tcPr>
            <w:tcW w:w="61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194,750.00</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23,985,990.56</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74,219,739.90</w:t>
            </w:r>
          </w:p>
        </w:tc>
      </w:tr>
      <w:tr w:rsidR="00A23268" w:rsidTr="00A23268">
        <w:trPr>
          <w:trHeight w:val="284"/>
          <w:jc w:val="center"/>
        </w:trPr>
        <w:tc>
          <w:tcPr>
            <w:tcW w:w="5000" w:type="pct"/>
            <w:gridSpan w:val="7"/>
            <w:shd w:val="clear" w:color="auto" w:fill="auto"/>
            <w:vAlign w:val="center"/>
          </w:tcPr>
          <w:p w:rsidR="00A23268" w:rsidRDefault="00A23268">
            <w:pPr>
              <w:rPr>
                <w:color w:val="000000" w:themeColor="text1"/>
              </w:rPr>
            </w:pPr>
            <w:r>
              <w:rPr>
                <w:color w:val="000000" w:themeColor="text1"/>
              </w:rPr>
              <w:t>二、累计</w:t>
            </w:r>
            <w:r>
              <w:rPr>
                <w:rFonts w:hint="eastAsia"/>
                <w:color w:val="000000" w:themeColor="text1"/>
              </w:rPr>
              <w:t>摊销</w:t>
            </w: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rFonts w:hint="eastAsia"/>
                <w:color w:val="000000" w:themeColor="text1"/>
              </w:rPr>
              <w:t>1.期</w:t>
            </w:r>
            <w:r>
              <w:rPr>
                <w:color w:val="000000" w:themeColor="text1"/>
              </w:rPr>
              <w:t>初余额</w:t>
            </w:r>
          </w:p>
        </w:tc>
        <w:tc>
          <w:tcPr>
            <w:tcW w:w="730"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rPr>
            </w:pPr>
            <w:r>
              <w:rPr>
                <w:rFonts w:hint="eastAsia"/>
                <w:color w:val="000000"/>
                <w:lang w:bidi="ar"/>
              </w:rPr>
              <w:t>6,660,269.68</w:t>
            </w: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rPr>
            </w:pPr>
            <w:r>
              <w:rPr>
                <w:rFonts w:hint="eastAsia"/>
                <w:color w:val="000000"/>
                <w:lang w:bidi="ar"/>
              </w:rPr>
              <w:t>20,835,520.72</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27,495,790.40</w:t>
            </w: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color w:val="000000" w:themeColor="text1"/>
              </w:rPr>
              <w:t>2.本期增加</w:t>
            </w:r>
            <w:r>
              <w:rPr>
                <w:rFonts w:hint="eastAsia"/>
                <w:color w:val="000000" w:themeColor="text1"/>
              </w:rPr>
              <w:t>金额</w:t>
            </w:r>
          </w:p>
        </w:tc>
        <w:tc>
          <w:tcPr>
            <w:tcW w:w="73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698,749.85</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586,331.49</w:t>
            </w:r>
          </w:p>
        </w:tc>
        <w:tc>
          <w:tcPr>
            <w:tcW w:w="61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360,000.00</w:t>
            </w:r>
          </w:p>
        </w:tc>
        <w:tc>
          <w:tcPr>
            <w:tcW w:w="61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4,868.75</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1,257,658.67</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2,907,608.76</w:t>
            </w:r>
          </w:p>
        </w:tc>
      </w:tr>
      <w:tr w:rsidR="00BB75E8" w:rsidTr="00BB75E8">
        <w:trPr>
          <w:trHeight w:val="284"/>
          <w:jc w:val="center"/>
        </w:trPr>
        <w:tc>
          <w:tcPr>
            <w:tcW w:w="854" w:type="pct"/>
            <w:shd w:val="clear" w:color="auto" w:fill="auto"/>
            <w:vAlign w:val="center"/>
          </w:tcPr>
          <w:p w:rsidR="000C5659" w:rsidRDefault="000E33C4">
            <w:pPr>
              <w:ind w:firstLineChars="300" w:firstLine="630"/>
              <w:rPr>
                <w:color w:val="000000" w:themeColor="text1"/>
              </w:rPr>
            </w:pPr>
            <w:r>
              <w:rPr>
                <w:rFonts w:hint="eastAsia"/>
                <w:color w:val="000000" w:themeColor="text1"/>
              </w:rPr>
              <w:t>（1）</w:t>
            </w:r>
            <w:r>
              <w:rPr>
                <w:color w:val="000000" w:themeColor="text1"/>
              </w:rPr>
              <w:t>计提</w:t>
            </w:r>
          </w:p>
        </w:tc>
        <w:tc>
          <w:tcPr>
            <w:tcW w:w="73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343,556.26</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513,484.92</w:t>
            </w:r>
          </w:p>
        </w:tc>
        <w:tc>
          <w:tcPr>
            <w:tcW w:w="61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18,947.52</w:t>
            </w:r>
          </w:p>
        </w:tc>
        <w:tc>
          <w:tcPr>
            <w:tcW w:w="61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4,868.75</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1,232,603.75</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2,113,461.20</w:t>
            </w:r>
          </w:p>
        </w:tc>
      </w:tr>
      <w:tr w:rsidR="00BB75E8" w:rsidTr="00BB75E8">
        <w:trPr>
          <w:trHeight w:val="284"/>
          <w:jc w:val="center"/>
        </w:trPr>
        <w:tc>
          <w:tcPr>
            <w:tcW w:w="854" w:type="pct"/>
            <w:shd w:val="clear" w:color="auto" w:fill="auto"/>
            <w:vAlign w:val="center"/>
          </w:tcPr>
          <w:p w:rsidR="000C5659" w:rsidRDefault="000E33C4">
            <w:pPr>
              <w:ind w:firstLineChars="300" w:firstLine="630"/>
            </w:pPr>
            <w:r>
              <w:rPr>
                <w:rFonts w:hint="eastAsia"/>
              </w:rPr>
              <w:t xml:space="preserve">　</w:t>
            </w:r>
            <w:r>
              <w:rPr>
                <w:rFonts w:hint="eastAsia"/>
                <w:color w:val="000000" w:themeColor="text1"/>
              </w:rPr>
              <w:t>(2)企</w:t>
            </w:r>
            <w:r>
              <w:rPr>
                <w:color w:val="000000" w:themeColor="text1"/>
              </w:rPr>
              <w:t>业合并增加</w:t>
            </w:r>
          </w:p>
        </w:tc>
        <w:tc>
          <w:tcPr>
            <w:tcW w:w="73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355,193.59</w:t>
            </w: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72,846.57</w:t>
            </w:r>
          </w:p>
        </w:tc>
        <w:tc>
          <w:tcPr>
            <w:tcW w:w="610"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341,052.48</w:t>
            </w: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25,054.92</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794,147.56</w:t>
            </w: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tc>
          <w:tcPr>
            <w:tcW w:w="73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1" w:type="pct"/>
            <w:shd w:val="clear" w:color="auto" w:fill="auto"/>
            <w:vAlign w:val="center"/>
          </w:tcPr>
          <w:p w:rsidR="000C5659" w:rsidRDefault="000C5659" w:rsidP="00BC4888">
            <w:pPr>
              <w:jc w:val="right"/>
              <w:rPr>
                <w:rFonts w:asciiTheme="minorEastAsia" w:eastAsiaTheme="minorEastAsia" w:hAnsiTheme="minorEastAsia" w:cstheme="minorEastAsia"/>
              </w:rPr>
            </w:pPr>
          </w:p>
        </w:tc>
      </w:tr>
      <w:tr w:rsidR="00BB75E8" w:rsidTr="00BB75E8">
        <w:trPr>
          <w:trHeight w:val="284"/>
          <w:jc w:val="center"/>
        </w:trPr>
        <w:tc>
          <w:tcPr>
            <w:tcW w:w="854" w:type="pct"/>
            <w:shd w:val="clear" w:color="auto" w:fill="auto"/>
            <w:vAlign w:val="center"/>
          </w:tcPr>
          <w:p w:rsidR="000C5659" w:rsidRDefault="000E33C4">
            <w:pPr>
              <w:ind w:firstLineChars="300" w:firstLine="630"/>
              <w:rPr>
                <w:color w:val="000000" w:themeColor="text1"/>
              </w:rPr>
            </w:pPr>
            <w:r>
              <w:rPr>
                <w:color w:val="000000" w:themeColor="text1"/>
              </w:rPr>
              <w:t xml:space="preserve"> (</w:t>
            </w:r>
            <w:r>
              <w:rPr>
                <w:rFonts w:hint="eastAsia"/>
                <w:color w:val="000000" w:themeColor="text1"/>
              </w:rPr>
              <w:t>1</w:t>
            </w:r>
            <w:r>
              <w:rPr>
                <w:color w:val="000000" w:themeColor="text1"/>
              </w:rPr>
              <w:t>)</w:t>
            </w:r>
            <w:r>
              <w:rPr>
                <w:rFonts w:hint="eastAsia"/>
                <w:color w:val="000000" w:themeColor="text1"/>
              </w:rPr>
              <w:t>处置</w:t>
            </w:r>
          </w:p>
        </w:tc>
        <w:tc>
          <w:tcPr>
            <w:tcW w:w="73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0"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611"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2" w:type="pct"/>
            <w:shd w:val="clear" w:color="auto" w:fill="auto"/>
            <w:vAlign w:val="center"/>
          </w:tcPr>
          <w:p w:rsidR="000C5659" w:rsidRDefault="000C5659" w:rsidP="00BC4888">
            <w:pPr>
              <w:jc w:val="right"/>
              <w:rPr>
                <w:rFonts w:asciiTheme="minorEastAsia" w:eastAsiaTheme="minorEastAsia" w:hAnsiTheme="minorEastAsia" w:cstheme="minorEastAsia"/>
              </w:rPr>
            </w:pPr>
          </w:p>
        </w:tc>
        <w:tc>
          <w:tcPr>
            <w:tcW w:w="731" w:type="pct"/>
            <w:shd w:val="clear" w:color="auto" w:fill="auto"/>
            <w:vAlign w:val="center"/>
          </w:tcPr>
          <w:p w:rsidR="000C5659" w:rsidRDefault="000C5659" w:rsidP="00BC4888">
            <w:pPr>
              <w:jc w:val="right"/>
              <w:rPr>
                <w:rFonts w:asciiTheme="minorEastAsia" w:eastAsiaTheme="minorEastAsia" w:hAnsiTheme="minorEastAsia" w:cstheme="minorEastAsia"/>
              </w:rPr>
            </w:pP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rFonts w:hint="eastAsia"/>
                <w:color w:val="000000" w:themeColor="text1"/>
              </w:rPr>
              <w:t>4.</w:t>
            </w:r>
            <w:r>
              <w:rPr>
                <w:color w:val="000000" w:themeColor="text1"/>
              </w:rPr>
              <w:t>期末余额</w:t>
            </w:r>
          </w:p>
        </w:tc>
        <w:tc>
          <w:tcPr>
            <w:tcW w:w="730"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rPr>
            </w:pPr>
            <w:r>
              <w:rPr>
                <w:rFonts w:hint="eastAsia"/>
                <w:color w:val="000000"/>
                <w:lang w:bidi="ar"/>
              </w:rPr>
              <w:t>7,359,019.53</w:t>
            </w:r>
          </w:p>
        </w:tc>
        <w:tc>
          <w:tcPr>
            <w:tcW w:w="732"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rPr>
            </w:pPr>
            <w:r>
              <w:rPr>
                <w:rFonts w:hint="eastAsia"/>
                <w:color w:val="000000"/>
                <w:lang w:bidi="ar"/>
              </w:rPr>
              <w:t>586,331.49</w:t>
            </w:r>
          </w:p>
        </w:tc>
        <w:tc>
          <w:tcPr>
            <w:tcW w:w="610"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rPr>
            </w:pPr>
            <w:r>
              <w:rPr>
                <w:rFonts w:hint="eastAsia"/>
                <w:color w:val="000000"/>
                <w:lang w:bidi="ar"/>
              </w:rPr>
              <w:t>360,000.00</w:t>
            </w:r>
          </w:p>
        </w:tc>
        <w:tc>
          <w:tcPr>
            <w:tcW w:w="611"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rPr>
            </w:pPr>
            <w:r>
              <w:rPr>
                <w:rFonts w:hint="eastAsia"/>
                <w:color w:val="000000"/>
                <w:lang w:bidi="ar"/>
              </w:rPr>
              <w:t>4,868.75</w:t>
            </w:r>
          </w:p>
        </w:tc>
        <w:tc>
          <w:tcPr>
            <w:tcW w:w="732" w:type="pct"/>
            <w:shd w:val="clear" w:color="auto" w:fill="auto"/>
            <w:vAlign w:val="center"/>
          </w:tcPr>
          <w:p w:rsidR="000C5659" w:rsidRDefault="000E33C4" w:rsidP="00BC4888">
            <w:pPr>
              <w:jc w:val="right"/>
              <w:textAlignment w:val="center"/>
              <w:rPr>
                <w:rFonts w:asciiTheme="minorEastAsia" w:eastAsiaTheme="minorEastAsia" w:hAnsiTheme="minorEastAsia" w:cstheme="minorEastAsia"/>
              </w:rPr>
            </w:pPr>
            <w:r>
              <w:rPr>
                <w:rFonts w:hint="eastAsia"/>
                <w:color w:val="000000"/>
                <w:lang w:bidi="ar"/>
              </w:rPr>
              <w:t>22,093,179.39</w:t>
            </w:r>
          </w:p>
        </w:tc>
        <w:tc>
          <w:tcPr>
            <w:tcW w:w="731" w:type="pct"/>
            <w:shd w:val="clear" w:color="auto" w:fill="auto"/>
            <w:vAlign w:val="center"/>
          </w:tcPr>
          <w:p w:rsidR="000C5659" w:rsidRDefault="000E33C4" w:rsidP="00BC4888">
            <w:pPr>
              <w:jc w:val="right"/>
              <w:textAlignment w:val="top"/>
              <w:rPr>
                <w:rFonts w:asciiTheme="minorEastAsia" w:eastAsiaTheme="minorEastAsia" w:hAnsiTheme="minorEastAsia" w:cstheme="minorEastAsia"/>
              </w:rPr>
            </w:pPr>
            <w:r>
              <w:rPr>
                <w:rFonts w:hint="eastAsia"/>
                <w:color w:val="000000"/>
                <w:lang w:bidi="ar"/>
              </w:rPr>
              <w:t>30,403,399.16</w:t>
            </w:r>
          </w:p>
        </w:tc>
      </w:tr>
      <w:tr w:rsidR="00A23268" w:rsidTr="00A23268">
        <w:trPr>
          <w:trHeight w:val="284"/>
          <w:jc w:val="center"/>
        </w:trPr>
        <w:tc>
          <w:tcPr>
            <w:tcW w:w="5000" w:type="pct"/>
            <w:gridSpan w:val="7"/>
            <w:shd w:val="clear" w:color="auto" w:fill="auto"/>
            <w:vAlign w:val="center"/>
          </w:tcPr>
          <w:p w:rsidR="00A23268" w:rsidRDefault="00A23268">
            <w:pPr>
              <w:rPr>
                <w:color w:val="000000" w:themeColor="text1"/>
              </w:rPr>
            </w:pPr>
            <w:r>
              <w:rPr>
                <w:color w:val="000000" w:themeColor="text1"/>
              </w:rPr>
              <w:lastRenderedPageBreak/>
              <w:t>三、减值准备</w:t>
            </w: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rFonts w:hint="eastAsia"/>
                <w:color w:val="000000" w:themeColor="text1"/>
              </w:rPr>
              <w:t>1.期</w:t>
            </w:r>
            <w:r>
              <w:rPr>
                <w:color w:val="000000" w:themeColor="text1"/>
              </w:rPr>
              <w:t>初余额</w:t>
            </w:r>
          </w:p>
        </w:tc>
        <w:tc>
          <w:tcPr>
            <w:tcW w:w="730"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610" w:type="pct"/>
            <w:shd w:val="clear" w:color="auto" w:fill="auto"/>
            <w:vAlign w:val="center"/>
          </w:tcPr>
          <w:p w:rsidR="000C5659" w:rsidRDefault="000C5659">
            <w:pPr>
              <w:jc w:val="right"/>
            </w:pPr>
          </w:p>
        </w:tc>
        <w:tc>
          <w:tcPr>
            <w:tcW w:w="611"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731" w:type="pct"/>
            <w:shd w:val="clear" w:color="auto" w:fill="auto"/>
            <w:vAlign w:val="center"/>
          </w:tcPr>
          <w:p w:rsidR="000C5659" w:rsidRDefault="000C5659">
            <w:pPr>
              <w:jc w:val="right"/>
            </w:pP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color w:val="000000" w:themeColor="text1"/>
              </w:rPr>
              <w:t>2.本期增加</w:t>
            </w:r>
            <w:r>
              <w:rPr>
                <w:rFonts w:hint="eastAsia"/>
                <w:color w:val="000000" w:themeColor="text1"/>
              </w:rPr>
              <w:t>金额</w:t>
            </w:r>
          </w:p>
        </w:tc>
        <w:tc>
          <w:tcPr>
            <w:tcW w:w="730"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610" w:type="pct"/>
            <w:shd w:val="clear" w:color="auto" w:fill="auto"/>
            <w:vAlign w:val="center"/>
          </w:tcPr>
          <w:p w:rsidR="000C5659" w:rsidRDefault="000C5659">
            <w:pPr>
              <w:jc w:val="right"/>
            </w:pPr>
          </w:p>
        </w:tc>
        <w:tc>
          <w:tcPr>
            <w:tcW w:w="611"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731" w:type="pct"/>
            <w:shd w:val="clear" w:color="auto" w:fill="auto"/>
            <w:vAlign w:val="center"/>
          </w:tcPr>
          <w:p w:rsidR="000C5659" w:rsidRDefault="000C5659">
            <w:pPr>
              <w:jc w:val="right"/>
            </w:pPr>
          </w:p>
        </w:tc>
      </w:tr>
      <w:tr w:rsidR="00BB75E8" w:rsidTr="00BB75E8">
        <w:trPr>
          <w:trHeight w:val="284"/>
          <w:jc w:val="center"/>
        </w:trPr>
        <w:tc>
          <w:tcPr>
            <w:tcW w:w="854" w:type="pct"/>
            <w:shd w:val="clear" w:color="auto" w:fill="auto"/>
            <w:vAlign w:val="center"/>
          </w:tcPr>
          <w:p w:rsidR="000C5659" w:rsidRDefault="000E33C4">
            <w:pPr>
              <w:ind w:firstLineChars="300" w:firstLine="630"/>
              <w:rPr>
                <w:color w:val="000000" w:themeColor="text1"/>
              </w:rPr>
            </w:pPr>
            <w:r>
              <w:rPr>
                <w:rFonts w:hint="eastAsia"/>
                <w:color w:val="000000" w:themeColor="text1"/>
              </w:rPr>
              <w:t>（1）</w:t>
            </w:r>
            <w:r>
              <w:rPr>
                <w:color w:val="000000" w:themeColor="text1"/>
              </w:rPr>
              <w:t>计提</w:t>
            </w:r>
          </w:p>
        </w:tc>
        <w:tc>
          <w:tcPr>
            <w:tcW w:w="730"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610" w:type="pct"/>
            <w:shd w:val="clear" w:color="auto" w:fill="auto"/>
            <w:vAlign w:val="center"/>
          </w:tcPr>
          <w:p w:rsidR="000C5659" w:rsidRDefault="000C5659">
            <w:pPr>
              <w:jc w:val="right"/>
            </w:pPr>
          </w:p>
        </w:tc>
        <w:tc>
          <w:tcPr>
            <w:tcW w:w="611"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731" w:type="pct"/>
            <w:shd w:val="clear" w:color="auto" w:fill="auto"/>
            <w:vAlign w:val="center"/>
          </w:tcPr>
          <w:p w:rsidR="000C5659" w:rsidRDefault="000C5659">
            <w:pPr>
              <w:jc w:val="right"/>
            </w:pP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tc>
          <w:tcPr>
            <w:tcW w:w="730"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610" w:type="pct"/>
            <w:shd w:val="clear" w:color="auto" w:fill="auto"/>
            <w:vAlign w:val="center"/>
          </w:tcPr>
          <w:p w:rsidR="000C5659" w:rsidRDefault="000C5659">
            <w:pPr>
              <w:jc w:val="right"/>
            </w:pPr>
          </w:p>
        </w:tc>
        <w:tc>
          <w:tcPr>
            <w:tcW w:w="611"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731" w:type="pct"/>
            <w:shd w:val="clear" w:color="auto" w:fill="auto"/>
            <w:vAlign w:val="center"/>
          </w:tcPr>
          <w:p w:rsidR="000C5659" w:rsidRDefault="000C5659">
            <w:pPr>
              <w:jc w:val="right"/>
            </w:pPr>
          </w:p>
        </w:tc>
      </w:tr>
      <w:tr w:rsidR="00BB75E8" w:rsidTr="00BB75E8">
        <w:trPr>
          <w:trHeight w:val="284"/>
          <w:jc w:val="center"/>
        </w:trPr>
        <w:tc>
          <w:tcPr>
            <w:tcW w:w="854" w:type="pct"/>
            <w:shd w:val="clear" w:color="auto" w:fill="auto"/>
            <w:vAlign w:val="center"/>
          </w:tcPr>
          <w:p w:rsidR="000C5659" w:rsidRDefault="000E33C4">
            <w:pPr>
              <w:ind w:firstLineChars="300" w:firstLine="630"/>
              <w:rPr>
                <w:color w:val="000000" w:themeColor="text1"/>
              </w:rPr>
            </w:pPr>
            <w:r>
              <w:rPr>
                <w:color w:val="000000" w:themeColor="text1"/>
              </w:rPr>
              <w:t>(</w:t>
            </w:r>
            <w:r>
              <w:rPr>
                <w:rFonts w:hint="eastAsia"/>
                <w:color w:val="000000" w:themeColor="text1"/>
              </w:rPr>
              <w:t>1</w:t>
            </w:r>
            <w:r>
              <w:rPr>
                <w:color w:val="000000" w:themeColor="text1"/>
              </w:rPr>
              <w:t>)</w:t>
            </w:r>
            <w:r>
              <w:rPr>
                <w:rFonts w:hint="eastAsia"/>
                <w:color w:val="000000" w:themeColor="text1"/>
              </w:rPr>
              <w:t>处置</w:t>
            </w:r>
          </w:p>
        </w:tc>
        <w:tc>
          <w:tcPr>
            <w:tcW w:w="730"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610" w:type="pct"/>
            <w:shd w:val="clear" w:color="auto" w:fill="auto"/>
            <w:vAlign w:val="center"/>
          </w:tcPr>
          <w:p w:rsidR="000C5659" w:rsidRDefault="000C5659">
            <w:pPr>
              <w:jc w:val="right"/>
            </w:pPr>
          </w:p>
        </w:tc>
        <w:tc>
          <w:tcPr>
            <w:tcW w:w="611"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731" w:type="pct"/>
            <w:shd w:val="clear" w:color="auto" w:fill="auto"/>
            <w:vAlign w:val="center"/>
          </w:tcPr>
          <w:p w:rsidR="000C5659" w:rsidRDefault="000C5659">
            <w:pPr>
              <w:jc w:val="right"/>
            </w:pPr>
          </w:p>
        </w:tc>
      </w:tr>
      <w:tr w:rsidR="00BB75E8" w:rsidTr="00BB75E8">
        <w:trPr>
          <w:trHeight w:val="284"/>
          <w:jc w:val="center"/>
        </w:trPr>
        <w:tc>
          <w:tcPr>
            <w:tcW w:w="854" w:type="pct"/>
            <w:shd w:val="clear" w:color="auto" w:fill="auto"/>
            <w:vAlign w:val="center"/>
          </w:tcPr>
          <w:p w:rsidR="000C5659" w:rsidRDefault="000E33C4">
            <w:pPr>
              <w:ind w:firstLineChars="200" w:firstLine="420"/>
              <w:rPr>
                <w:color w:val="000000" w:themeColor="text1"/>
              </w:rPr>
            </w:pPr>
            <w:r>
              <w:rPr>
                <w:rFonts w:hint="eastAsia"/>
                <w:color w:val="000000" w:themeColor="text1"/>
              </w:rPr>
              <w:t>4.</w:t>
            </w:r>
            <w:r>
              <w:rPr>
                <w:color w:val="000000" w:themeColor="text1"/>
              </w:rPr>
              <w:t>期末余额</w:t>
            </w:r>
          </w:p>
        </w:tc>
        <w:tc>
          <w:tcPr>
            <w:tcW w:w="730"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610" w:type="pct"/>
            <w:shd w:val="clear" w:color="auto" w:fill="auto"/>
            <w:vAlign w:val="center"/>
          </w:tcPr>
          <w:p w:rsidR="000C5659" w:rsidRDefault="000C5659">
            <w:pPr>
              <w:jc w:val="right"/>
            </w:pPr>
          </w:p>
        </w:tc>
        <w:tc>
          <w:tcPr>
            <w:tcW w:w="611" w:type="pct"/>
            <w:shd w:val="clear" w:color="auto" w:fill="auto"/>
            <w:vAlign w:val="center"/>
          </w:tcPr>
          <w:p w:rsidR="000C5659" w:rsidRDefault="000C5659">
            <w:pPr>
              <w:jc w:val="right"/>
            </w:pPr>
          </w:p>
        </w:tc>
        <w:tc>
          <w:tcPr>
            <w:tcW w:w="732" w:type="pct"/>
            <w:shd w:val="clear" w:color="auto" w:fill="auto"/>
            <w:vAlign w:val="center"/>
          </w:tcPr>
          <w:p w:rsidR="000C5659" w:rsidRDefault="000C5659">
            <w:pPr>
              <w:jc w:val="right"/>
            </w:pPr>
          </w:p>
        </w:tc>
        <w:tc>
          <w:tcPr>
            <w:tcW w:w="731" w:type="pct"/>
            <w:shd w:val="clear" w:color="auto" w:fill="auto"/>
            <w:vAlign w:val="center"/>
          </w:tcPr>
          <w:p w:rsidR="000C5659" w:rsidRDefault="000C5659">
            <w:pPr>
              <w:jc w:val="right"/>
            </w:pPr>
          </w:p>
        </w:tc>
      </w:tr>
      <w:tr w:rsidR="00A23268" w:rsidTr="00A23268">
        <w:trPr>
          <w:trHeight w:val="284"/>
          <w:jc w:val="center"/>
        </w:trPr>
        <w:tc>
          <w:tcPr>
            <w:tcW w:w="5000" w:type="pct"/>
            <w:gridSpan w:val="7"/>
            <w:shd w:val="clear" w:color="auto" w:fill="auto"/>
            <w:vAlign w:val="center"/>
          </w:tcPr>
          <w:p w:rsidR="00A23268" w:rsidRDefault="00A23268">
            <w:pPr>
              <w:rPr>
                <w:color w:val="000000" w:themeColor="text1"/>
              </w:rPr>
            </w:pPr>
            <w:r>
              <w:rPr>
                <w:color w:val="000000" w:themeColor="text1"/>
              </w:rPr>
              <w:t>四、账面价值</w:t>
            </w:r>
          </w:p>
        </w:tc>
      </w:tr>
      <w:tr w:rsidR="00BB75E8" w:rsidTr="00BB75E8">
        <w:trPr>
          <w:trHeight w:val="284"/>
          <w:jc w:val="center"/>
        </w:trPr>
        <w:tc>
          <w:tcPr>
            <w:tcW w:w="854" w:type="pct"/>
            <w:shd w:val="clear" w:color="auto" w:fill="auto"/>
            <w:vAlign w:val="center"/>
          </w:tcPr>
          <w:p w:rsidR="000C5659" w:rsidRDefault="000E33C4">
            <w:pPr>
              <w:rPr>
                <w:color w:val="000000" w:themeColor="text1"/>
              </w:rPr>
            </w:pPr>
            <w:r>
              <w:rPr>
                <w:color w:val="000000" w:themeColor="text1"/>
              </w:rPr>
              <w:t xml:space="preserve">    1.期末账面价值</w:t>
            </w:r>
          </w:p>
        </w:tc>
        <w:tc>
          <w:tcPr>
            <w:tcW w:w="730" w:type="pct"/>
            <w:shd w:val="clear" w:color="auto" w:fill="auto"/>
            <w:vAlign w:val="center"/>
          </w:tcPr>
          <w:p w:rsidR="000C5659" w:rsidRDefault="000E33C4" w:rsidP="00BC4888">
            <w:pPr>
              <w:jc w:val="right"/>
              <w:textAlignment w:val="top"/>
            </w:pPr>
            <w:r>
              <w:rPr>
                <w:rFonts w:hint="eastAsia"/>
                <w:color w:val="000000"/>
                <w:lang w:bidi="ar"/>
              </w:rPr>
              <w:t>29,691,687.69</w:t>
            </w:r>
          </w:p>
        </w:tc>
        <w:tc>
          <w:tcPr>
            <w:tcW w:w="732" w:type="pct"/>
            <w:shd w:val="clear" w:color="auto" w:fill="auto"/>
            <w:vAlign w:val="center"/>
          </w:tcPr>
          <w:p w:rsidR="000C5659" w:rsidRDefault="000E33C4" w:rsidP="00BC4888">
            <w:pPr>
              <w:jc w:val="right"/>
              <w:textAlignment w:val="top"/>
            </w:pPr>
            <w:r>
              <w:rPr>
                <w:rFonts w:hint="eastAsia"/>
                <w:color w:val="000000"/>
                <w:lang w:bidi="ar"/>
              </w:rPr>
              <w:t>12,041,960.63</w:t>
            </w:r>
          </w:p>
        </w:tc>
        <w:tc>
          <w:tcPr>
            <w:tcW w:w="610" w:type="pct"/>
            <w:shd w:val="clear" w:color="auto" w:fill="auto"/>
            <w:vAlign w:val="center"/>
          </w:tcPr>
          <w:p w:rsidR="000C5659" w:rsidRDefault="000E33C4" w:rsidP="00BC4888">
            <w:pPr>
              <w:jc w:val="right"/>
              <w:textAlignment w:val="top"/>
            </w:pPr>
            <w:r>
              <w:rPr>
                <w:rFonts w:hint="eastAsia"/>
                <w:color w:val="000000"/>
                <w:lang w:bidi="ar"/>
              </w:rPr>
              <w:t>0.00</w:t>
            </w:r>
          </w:p>
        </w:tc>
        <w:tc>
          <w:tcPr>
            <w:tcW w:w="611" w:type="pct"/>
            <w:shd w:val="clear" w:color="auto" w:fill="auto"/>
            <w:vAlign w:val="center"/>
          </w:tcPr>
          <w:p w:rsidR="000C5659" w:rsidRDefault="000E33C4" w:rsidP="00BC4888">
            <w:pPr>
              <w:jc w:val="right"/>
              <w:textAlignment w:val="top"/>
            </w:pPr>
            <w:r>
              <w:rPr>
                <w:rFonts w:hint="eastAsia"/>
                <w:color w:val="000000"/>
                <w:lang w:bidi="ar"/>
              </w:rPr>
              <w:t>189,881.25</w:t>
            </w:r>
          </w:p>
        </w:tc>
        <w:tc>
          <w:tcPr>
            <w:tcW w:w="732" w:type="pct"/>
            <w:shd w:val="clear" w:color="auto" w:fill="auto"/>
            <w:vAlign w:val="center"/>
          </w:tcPr>
          <w:p w:rsidR="000C5659" w:rsidRDefault="000E33C4" w:rsidP="00BC4888">
            <w:pPr>
              <w:jc w:val="right"/>
              <w:textAlignment w:val="top"/>
            </w:pPr>
            <w:r>
              <w:rPr>
                <w:rFonts w:hint="eastAsia"/>
                <w:color w:val="000000"/>
                <w:lang w:bidi="ar"/>
              </w:rPr>
              <w:t>1,892,811.17</w:t>
            </w:r>
          </w:p>
        </w:tc>
        <w:tc>
          <w:tcPr>
            <w:tcW w:w="731" w:type="pct"/>
            <w:shd w:val="clear" w:color="auto" w:fill="auto"/>
            <w:vAlign w:val="center"/>
          </w:tcPr>
          <w:p w:rsidR="000C5659" w:rsidRDefault="000E33C4" w:rsidP="00BC4888">
            <w:pPr>
              <w:jc w:val="right"/>
              <w:textAlignment w:val="top"/>
            </w:pPr>
            <w:r>
              <w:rPr>
                <w:rFonts w:hint="eastAsia"/>
                <w:color w:val="000000"/>
                <w:lang w:bidi="ar"/>
              </w:rPr>
              <w:t>43,816,340.74</w:t>
            </w:r>
          </w:p>
        </w:tc>
      </w:tr>
      <w:tr w:rsidR="00BB75E8" w:rsidTr="00BB75E8">
        <w:trPr>
          <w:trHeight w:val="284"/>
          <w:jc w:val="center"/>
        </w:trPr>
        <w:tc>
          <w:tcPr>
            <w:tcW w:w="854" w:type="pct"/>
            <w:shd w:val="clear" w:color="auto" w:fill="auto"/>
            <w:vAlign w:val="center"/>
          </w:tcPr>
          <w:p w:rsidR="000C5659" w:rsidRDefault="000E33C4">
            <w:pPr>
              <w:rPr>
                <w:color w:val="000000" w:themeColor="text1"/>
              </w:rPr>
            </w:pPr>
            <w:r>
              <w:rPr>
                <w:color w:val="000000" w:themeColor="text1"/>
              </w:rPr>
              <w:t xml:space="preserve">    2.</w:t>
            </w:r>
            <w:r>
              <w:rPr>
                <w:rFonts w:hint="eastAsia"/>
                <w:color w:val="000000" w:themeColor="text1"/>
              </w:rPr>
              <w:t>期初</w:t>
            </w:r>
            <w:r>
              <w:rPr>
                <w:color w:val="000000" w:themeColor="text1"/>
              </w:rPr>
              <w:t>账面价值</w:t>
            </w:r>
          </w:p>
        </w:tc>
        <w:tc>
          <w:tcPr>
            <w:tcW w:w="730" w:type="pct"/>
            <w:shd w:val="clear" w:color="auto" w:fill="auto"/>
            <w:vAlign w:val="center"/>
          </w:tcPr>
          <w:p w:rsidR="000C5659" w:rsidRDefault="000E33C4" w:rsidP="00BC4888">
            <w:pPr>
              <w:jc w:val="right"/>
              <w:textAlignment w:val="center"/>
            </w:pPr>
            <w:r>
              <w:rPr>
                <w:rFonts w:hint="eastAsia"/>
                <w:color w:val="000000"/>
                <w:lang w:bidi="ar"/>
              </w:rPr>
              <w:t>25,784,243.95</w:t>
            </w:r>
          </w:p>
        </w:tc>
        <w:tc>
          <w:tcPr>
            <w:tcW w:w="732" w:type="pct"/>
            <w:shd w:val="clear" w:color="auto" w:fill="auto"/>
            <w:vAlign w:val="center"/>
          </w:tcPr>
          <w:p w:rsidR="000C5659" w:rsidRDefault="000C5659" w:rsidP="00BC4888">
            <w:pPr>
              <w:jc w:val="right"/>
            </w:pPr>
          </w:p>
        </w:tc>
        <w:tc>
          <w:tcPr>
            <w:tcW w:w="610" w:type="pct"/>
            <w:shd w:val="clear" w:color="auto" w:fill="auto"/>
            <w:vAlign w:val="center"/>
          </w:tcPr>
          <w:p w:rsidR="000C5659" w:rsidRDefault="000C5659" w:rsidP="00BC4888">
            <w:pPr>
              <w:jc w:val="right"/>
            </w:pPr>
          </w:p>
        </w:tc>
        <w:tc>
          <w:tcPr>
            <w:tcW w:w="611" w:type="pct"/>
            <w:shd w:val="clear" w:color="auto" w:fill="auto"/>
            <w:vAlign w:val="center"/>
          </w:tcPr>
          <w:p w:rsidR="000C5659" w:rsidRDefault="000C5659" w:rsidP="00BC4888">
            <w:pPr>
              <w:jc w:val="right"/>
            </w:pPr>
          </w:p>
        </w:tc>
        <w:tc>
          <w:tcPr>
            <w:tcW w:w="732" w:type="pct"/>
            <w:shd w:val="clear" w:color="auto" w:fill="auto"/>
            <w:vAlign w:val="center"/>
          </w:tcPr>
          <w:p w:rsidR="000C5659" w:rsidRDefault="000E33C4" w:rsidP="00BC4888">
            <w:pPr>
              <w:jc w:val="right"/>
              <w:textAlignment w:val="center"/>
            </w:pPr>
            <w:r>
              <w:rPr>
                <w:rFonts w:hint="eastAsia"/>
                <w:color w:val="000000"/>
                <w:lang w:bidi="ar"/>
              </w:rPr>
              <w:t>2,899,346.36</w:t>
            </w:r>
          </w:p>
        </w:tc>
        <w:tc>
          <w:tcPr>
            <w:tcW w:w="731" w:type="pct"/>
            <w:shd w:val="clear" w:color="auto" w:fill="auto"/>
            <w:vAlign w:val="center"/>
          </w:tcPr>
          <w:p w:rsidR="000C5659" w:rsidRDefault="000E33C4" w:rsidP="00BC4888">
            <w:pPr>
              <w:jc w:val="right"/>
              <w:textAlignment w:val="center"/>
            </w:pPr>
            <w:r>
              <w:rPr>
                <w:rFonts w:hint="eastAsia"/>
                <w:color w:val="000000"/>
                <w:lang w:bidi="ar"/>
              </w:rPr>
              <w:t>28,683,590.31</w:t>
            </w:r>
          </w:p>
        </w:tc>
      </w:tr>
    </w:tbl>
    <w:p w:rsidR="000C5659" w:rsidRDefault="000C5659">
      <w:pPr>
        <w:pStyle w:val="Style325"/>
      </w:pPr>
    </w:p>
    <w:p w:rsidR="000C5659" w:rsidRDefault="000E33C4">
      <w:pPr>
        <w:snapToGrid w:val="0"/>
        <w:spacing w:line="240" w:lineRule="atLeast"/>
        <w:rPr>
          <w:color w:val="000000" w:themeColor="text1"/>
        </w:rPr>
      </w:pPr>
      <w:r>
        <w:rPr>
          <w:rFonts w:hint="eastAsia"/>
          <w:color w:val="000000" w:themeColor="text1"/>
        </w:rPr>
        <w:t>本期末通过公司内部研发形成的无形资产占无形资产余额的比例</w:t>
      </w:r>
      <w:sdt>
        <w:sdtPr>
          <w:rPr>
            <w:color w:val="000000" w:themeColor="text1"/>
          </w:rPr>
          <w:alias w:val="通过公司内部研发形成的无形资产占无形资产账面价值的比例"/>
          <w:tag w:val="_GBC_4eb0f3140a674bd1899e2bd836d51bbb"/>
          <w:id w:val="-707797115"/>
          <w:placeholder>
            <w:docPart w:val="GBC22222222222222222222222222222"/>
          </w:placeholder>
        </w:sdtPr>
        <w:sdtEndPr/>
        <w:sdtContent>
          <w:r>
            <w:rPr>
              <w:rFonts w:hint="eastAsia"/>
              <w:color w:val="000000" w:themeColor="text1"/>
            </w:rPr>
            <w:t>0</w:t>
          </w:r>
        </w:sdtContent>
      </w:sdt>
      <w:r>
        <w:rPr>
          <w:rFonts w:hint="eastAsia"/>
          <w:color w:val="000000" w:themeColor="text1"/>
        </w:rPr>
        <w:t>%</w:t>
      </w:r>
    </w:p>
    <w:p w:rsidR="000C5659" w:rsidRPr="00BB75E8" w:rsidRDefault="000C5659">
      <w:pPr>
        <w:snapToGrid w:val="0"/>
        <w:spacing w:line="240" w:lineRule="atLeast"/>
        <w:rPr>
          <w:color w:val="000000" w:themeColor="text1"/>
        </w:rPr>
      </w:pPr>
    </w:p>
    <w:sdt>
      <w:sdtPr>
        <w:rPr>
          <w:rFonts w:ascii="宋体" w:hAnsi="宋体" w:cs="宋体" w:hint="eastAsia"/>
          <w:b w:val="0"/>
          <w:bCs w:val="0"/>
          <w:color w:val="000000" w:themeColor="text1"/>
          <w:kern w:val="0"/>
          <w:szCs w:val="21"/>
        </w:rPr>
        <w:alias w:val="模块:确认为无形资产的数据资源"/>
        <w:tag w:val="_SEC_4286bf9a44474b9d8db2dc6464331cb7"/>
        <w:id w:val="1728266600"/>
        <w:placeholder>
          <w:docPart w:val="DefaultPlaceholder_-1854013440"/>
        </w:placeholder>
      </w:sdtPr>
      <w:sdtEndPr>
        <w:rPr>
          <w:rFonts w:hint="default"/>
        </w:rPr>
      </w:sdtEndPr>
      <w:sdtContent>
        <w:p w:rsidR="000C5659" w:rsidRDefault="000E33C4" w:rsidP="000743DD">
          <w:pPr>
            <w:pStyle w:val="4"/>
            <w:numPr>
              <w:ilvl w:val="0"/>
              <w:numId w:val="73"/>
            </w:numPr>
            <w:tabs>
              <w:tab w:val="left" w:pos="602"/>
            </w:tabs>
            <w:rPr>
              <w:rFonts w:ascii="宋体" w:hAnsi="宋体"/>
              <w:color w:val="000000" w:themeColor="text1"/>
              <w:szCs w:val="21"/>
            </w:rPr>
          </w:pPr>
          <w:r>
            <w:rPr>
              <w:rFonts w:ascii="宋体" w:hAnsi="宋体" w:hint="eastAsia"/>
              <w:color w:val="000000" w:themeColor="text1"/>
              <w:szCs w:val="21"/>
            </w:rPr>
            <w:t>确认为无形资产的数据资源</w:t>
          </w:r>
        </w:p>
        <w:sdt>
          <w:sdtPr>
            <w:rPr>
              <w:color w:val="000000" w:themeColor="text1"/>
            </w:rPr>
            <w:alias w:val="是否适用：确认为无形资产的数据资源[双击切换]"/>
            <w:tag w:val="_GBC_69d13d4234a148729542b163082d1cd0"/>
            <w:id w:val="-1529790315"/>
            <w:placeholder>
              <w:docPart w:val="727AC9DA5E884386A2ECF7924A34EA63"/>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220B84">
          <w:pPr>
            <w:snapToGrid w:val="0"/>
            <w:spacing w:line="240" w:lineRule="atLeast"/>
            <w:rPr>
              <w:color w:val="000000" w:themeColor="text1"/>
            </w:rPr>
          </w:pPr>
        </w:p>
      </w:sdtContent>
    </w:sdt>
    <w:p w:rsidR="000C5659" w:rsidRDefault="000E33C4" w:rsidP="000743DD">
      <w:pPr>
        <w:pStyle w:val="43"/>
        <w:numPr>
          <w:ilvl w:val="0"/>
          <w:numId w:val="72"/>
        </w:numPr>
        <w:tabs>
          <w:tab w:val="left" w:pos="602"/>
        </w:tabs>
        <w:rPr>
          <w:rFonts w:ascii="宋体" w:hAnsi="宋体"/>
          <w:color w:val="000000" w:themeColor="text1"/>
          <w:szCs w:val="21"/>
        </w:rPr>
      </w:pPr>
      <w:r>
        <w:rPr>
          <w:rFonts w:ascii="宋体" w:hAnsi="宋体" w:hint="eastAsia"/>
          <w:color w:val="000000" w:themeColor="text1"/>
          <w:szCs w:val="21"/>
        </w:rPr>
        <w:t>未办妥产权证书的土地使用权情况</w:t>
      </w:r>
    </w:p>
    <w:sdt>
      <w:sdtPr>
        <w:rPr>
          <w:color w:val="000000" w:themeColor="text1"/>
        </w:rPr>
        <w:alias w:val="是否适用：未办妥产权证书的土地使用权情况[双击切换]"/>
        <w:tag w:val="_GBC_e8ff0641401a44f19fe64ad31dc15c58"/>
        <w:id w:val="-74205435"/>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rsidP="000743DD">
      <w:pPr>
        <w:pStyle w:val="43"/>
        <w:numPr>
          <w:ilvl w:val="0"/>
          <w:numId w:val="72"/>
        </w:numPr>
        <w:tabs>
          <w:tab w:val="left" w:pos="602"/>
        </w:tabs>
        <w:rPr>
          <w:rFonts w:ascii="宋体" w:hAnsi="宋体"/>
          <w:color w:val="000000" w:themeColor="text1"/>
          <w:szCs w:val="21"/>
        </w:rPr>
      </w:pPr>
      <w:bookmarkStart w:id="286" w:name="_Hlk167959697"/>
      <w:bookmarkStart w:id="287" w:name="_Hlk153461844"/>
      <w:r>
        <w:rPr>
          <w:rFonts w:ascii="宋体" w:hAnsi="宋体" w:hint="eastAsia"/>
          <w:color w:val="000000" w:themeColor="text1"/>
          <w:szCs w:val="21"/>
        </w:rPr>
        <w:t>无形资产的减值测试情况</w:t>
      </w:r>
    </w:p>
    <w:sdt>
      <w:sdtPr>
        <w:rPr>
          <w:color w:val="000000" w:themeColor="text1"/>
        </w:rPr>
        <w:alias w:val="是否适用：减值测试情况[双击切换]"/>
        <w:tag w:val="_GBC_6523dfc219a7467fb60857d0ff4fbd37"/>
        <w:id w:val="-15609324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bookmarkEnd w:id="286"/>
    <w:bookmarkEnd w:id="287"/>
    <w:p w:rsidR="000C5659" w:rsidRDefault="000E33C4">
      <w:pPr>
        <w:rPr>
          <w:color w:val="000000" w:themeColor="text1"/>
        </w:rPr>
      </w:pPr>
      <w:r>
        <w:rPr>
          <w:rFonts w:hint="eastAsia"/>
          <w:color w:val="000000" w:themeColor="text1"/>
        </w:rPr>
        <w:t>其他说明：</w:t>
      </w:r>
    </w:p>
    <w:sdt>
      <w:sdtPr>
        <w:rPr>
          <w:color w:val="000000" w:themeColor="text1"/>
        </w:rPr>
        <w:alias w:val="是否适用：无形资产的说明[双击切换]"/>
        <w:tag w:val="_GBC_dc3c687f3c2c457e9024304c14129458"/>
        <w:id w:val="14422615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BB75E8" w:rsidRDefault="00BB75E8">
      <w:pPr>
        <w:snapToGrid w:val="0"/>
        <w:spacing w:line="240" w:lineRule="atLeast"/>
        <w:rPr>
          <w:color w:val="000000" w:themeColor="text1"/>
        </w:rPr>
        <w:sectPr w:rsidR="00BB75E8" w:rsidSect="00BB75E8">
          <w:pgSz w:w="16838" w:h="11906" w:orient="landscape"/>
          <w:pgMar w:top="1797" w:right="1525" w:bottom="1276" w:left="1440" w:header="856" w:footer="992" w:gutter="0"/>
          <w:cols w:space="425"/>
          <w:docGrid w:linePitch="312"/>
        </w:sectPr>
      </w:pPr>
    </w:p>
    <w:p w:rsidR="000C5659" w:rsidRDefault="000E33C4" w:rsidP="000743DD">
      <w:pPr>
        <w:pStyle w:val="35"/>
        <w:numPr>
          <w:ilvl w:val="0"/>
          <w:numId w:val="50"/>
        </w:numPr>
        <w:rPr>
          <w:color w:val="000000" w:themeColor="text1"/>
          <w:szCs w:val="21"/>
        </w:rPr>
      </w:pPr>
      <w:r>
        <w:rPr>
          <w:color w:val="000000" w:themeColor="text1"/>
          <w:szCs w:val="21"/>
        </w:rPr>
        <w:lastRenderedPageBreak/>
        <w:t>商誉</w:t>
      </w:r>
    </w:p>
    <w:p w:rsidR="000C5659" w:rsidRDefault="000E33C4" w:rsidP="000743DD">
      <w:pPr>
        <w:pStyle w:val="43"/>
        <w:numPr>
          <w:ilvl w:val="0"/>
          <w:numId w:val="74"/>
        </w:numPr>
        <w:tabs>
          <w:tab w:val="left" w:pos="588"/>
        </w:tabs>
        <w:rPr>
          <w:rFonts w:ascii="宋体" w:hAnsi="宋体"/>
          <w:color w:val="000000" w:themeColor="text1"/>
        </w:rPr>
      </w:pPr>
      <w:r>
        <w:rPr>
          <w:rFonts w:ascii="宋体" w:hAnsi="宋体" w:hint="eastAsia"/>
          <w:color w:val="000000" w:themeColor="text1"/>
        </w:rPr>
        <w:t>商誉账面原值</w:t>
      </w:r>
    </w:p>
    <w:sdt>
      <w:sdtPr>
        <w:rPr>
          <w:color w:val="000000" w:themeColor="text1"/>
        </w:rPr>
        <w:alias w:val="是否适用：商誉账面原值[双击切换]"/>
        <w:tag w:val="_GBC_e2a869d440cf4b7f9f592f3e22cea85d"/>
        <w:id w:val="-10419807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商誉"/>
          <w:tag w:val="_GBC_4797b6084eb24fe79f24d181640f3283"/>
          <w:id w:val="-2224553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商誉"/>
          <w:tag w:val="_GBC_7cd9149d9bea4da8974b80b14b1c0e44"/>
          <w:id w:val="10794054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798"/>
        <w:gridCol w:w="1703"/>
        <w:gridCol w:w="972"/>
        <w:gridCol w:w="1172"/>
        <w:gridCol w:w="690"/>
        <w:gridCol w:w="1597"/>
      </w:tblGrid>
      <w:tr w:rsidR="000C5659" w:rsidTr="00BB75E8">
        <w:trPr>
          <w:trHeight w:val="284"/>
          <w:jc w:val="center"/>
        </w:trPr>
        <w:sdt>
          <w:sdtPr>
            <w:rPr>
              <w:color w:val="000000" w:themeColor="text1"/>
            </w:rPr>
            <w:tag w:val="_PLD_b248be5460bf4bb299c4579815256238"/>
            <w:id w:val="-1482384327"/>
          </w:sdtPr>
          <w:sdtEndPr/>
          <w:sdtContent>
            <w:tc>
              <w:tcPr>
                <w:tcW w:w="1072" w:type="pct"/>
                <w:vMerge w:val="restart"/>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被投资单位名称或形成商誉的事项</w:t>
                </w:r>
              </w:p>
            </w:tc>
          </w:sdtContent>
        </w:sdt>
        <w:sdt>
          <w:sdtPr>
            <w:rPr>
              <w:color w:val="000000" w:themeColor="text1"/>
            </w:rPr>
            <w:tag w:val="_PLD_a25f69a57b624da887f74ab27a20ba0b"/>
            <w:id w:val="-1582980929"/>
          </w:sdtPr>
          <w:sdtEndPr/>
          <w:sdtContent>
            <w:tc>
              <w:tcPr>
                <w:tcW w:w="452" w:type="pct"/>
                <w:vMerge w:val="restart"/>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期初余额</w:t>
                </w:r>
              </w:p>
            </w:tc>
          </w:sdtContent>
        </w:sdt>
        <w:sdt>
          <w:sdtPr>
            <w:rPr>
              <w:color w:val="000000" w:themeColor="text1"/>
            </w:rPr>
            <w:tag w:val="_PLD_c348d952dc8b438289897d2014b7d310"/>
            <w:id w:val="523135569"/>
          </w:sdtPr>
          <w:sdtEndPr/>
          <w:sdtContent>
            <w:tc>
              <w:tcPr>
                <w:tcW w:w="1516" w:type="pct"/>
                <w:gridSpan w:val="2"/>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本期增加</w:t>
                </w:r>
              </w:p>
            </w:tc>
          </w:sdtContent>
        </w:sdt>
        <w:sdt>
          <w:sdtPr>
            <w:rPr>
              <w:color w:val="000000" w:themeColor="text1"/>
            </w:rPr>
            <w:tag w:val="_PLD_5560c6ea7650430a8c304ee861d4bc25"/>
            <w:id w:val="-216053544"/>
          </w:sdtPr>
          <w:sdtEndPr/>
          <w:sdtContent>
            <w:tc>
              <w:tcPr>
                <w:tcW w:w="1055" w:type="pct"/>
                <w:gridSpan w:val="2"/>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本期减少</w:t>
                </w:r>
              </w:p>
            </w:tc>
          </w:sdtContent>
        </w:sdt>
        <w:sdt>
          <w:sdtPr>
            <w:rPr>
              <w:color w:val="000000" w:themeColor="text1"/>
            </w:rPr>
            <w:tag w:val="_PLD_075635973edd4d94a997d2ed78e56d8b"/>
            <w:id w:val="-820586949"/>
          </w:sdtPr>
          <w:sdtEndPr/>
          <w:sdtContent>
            <w:tc>
              <w:tcPr>
                <w:tcW w:w="906" w:type="pct"/>
                <w:vMerge w:val="restart"/>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期末余额</w:t>
                </w:r>
              </w:p>
            </w:tc>
          </w:sdtContent>
        </w:sdt>
      </w:tr>
      <w:tr w:rsidR="000C5659" w:rsidTr="00BB75E8">
        <w:trPr>
          <w:trHeight w:val="535"/>
          <w:jc w:val="center"/>
        </w:trPr>
        <w:tc>
          <w:tcPr>
            <w:tcW w:w="1072" w:type="pct"/>
            <w:vMerge/>
            <w:shd w:val="clear" w:color="auto" w:fill="auto"/>
          </w:tcPr>
          <w:p w:rsidR="000C5659" w:rsidRDefault="000C5659">
            <w:pPr>
              <w:autoSpaceDE w:val="0"/>
              <w:autoSpaceDN w:val="0"/>
              <w:adjustRightInd w:val="0"/>
              <w:snapToGrid w:val="0"/>
              <w:jc w:val="center"/>
              <w:rPr>
                <w:color w:val="000000" w:themeColor="text1"/>
              </w:rPr>
            </w:pPr>
          </w:p>
        </w:tc>
        <w:tc>
          <w:tcPr>
            <w:tcW w:w="452" w:type="pct"/>
            <w:vMerge/>
            <w:shd w:val="clear" w:color="auto" w:fill="auto"/>
          </w:tcPr>
          <w:p w:rsidR="000C5659" w:rsidRDefault="000C5659">
            <w:pPr>
              <w:autoSpaceDE w:val="0"/>
              <w:autoSpaceDN w:val="0"/>
              <w:adjustRightInd w:val="0"/>
              <w:snapToGrid w:val="0"/>
              <w:jc w:val="center"/>
              <w:rPr>
                <w:color w:val="000000" w:themeColor="text1"/>
              </w:rPr>
            </w:pPr>
          </w:p>
        </w:tc>
        <w:tc>
          <w:tcPr>
            <w:tcW w:w="965" w:type="pct"/>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企业合并形成的</w:t>
            </w:r>
          </w:p>
        </w:tc>
        <w:tc>
          <w:tcPr>
            <w:tcW w:w="551" w:type="pct"/>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 xml:space="preserve">　</w:t>
            </w:r>
          </w:p>
        </w:tc>
        <w:tc>
          <w:tcPr>
            <w:tcW w:w="664" w:type="pct"/>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处置</w:t>
            </w:r>
          </w:p>
        </w:tc>
        <w:tc>
          <w:tcPr>
            <w:tcW w:w="390" w:type="pct"/>
            <w:shd w:val="clear" w:color="auto" w:fill="auto"/>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 xml:space="preserve">　</w:t>
            </w:r>
          </w:p>
        </w:tc>
        <w:tc>
          <w:tcPr>
            <w:tcW w:w="906" w:type="pct"/>
            <w:vMerge/>
            <w:shd w:val="clear" w:color="auto" w:fill="auto"/>
          </w:tcPr>
          <w:p w:rsidR="000C5659" w:rsidRDefault="000C5659">
            <w:pPr>
              <w:autoSpaceDE w:val="0"/>
              <w:autoSpaceDN w:val="0"/>
              <w:adjustRightInd w:val="0"/>
              <w:snapToGrid w:val="0"/>
              <w:jc w:val="center"/>
              <w:rPr>
                <w:color w:val="000000" w:themeColor="text1"/>
              </w:rPr>
            </w:pPr>
          </w:p>
        </w:tc>
      </w:tr>
      <w:tr w:rsidR="000C5659" w:rsidTr="00BB75E8">
        <w:trPr>
          <w:trHeight w:val="338"/>
          <w:jc w:val="center"/>
        </w:trPr>
        <w:tc>
          <w:tcPr>
            <w:tcW w:w="1072" w:type="pct"/>
            <w:shd w:val="clear" w:color="auto" w:fill="auto"/>
          </w:tcPr>
          <w:p w:rsidR="000C5659" w:rsidRDefault="000E33C4">
            <w:pPr>
              <w:autoSpaceDE w:val="0"/>
              <w:autoSpaceDN w:val="0"/>
              <w:adjustRightInd w:val="0"/>
              <w:snapToGrid w:val="0"/>
              <w:jc w:val="both"/>
            </w:pPr>
            <w:r>
              <w:rPr>
                <w:rFonts w:hint="eastAsia"/>
              </w:rPr>
              <w:t>善恩康企业合并</w:t>
            </w:r>
          </w:p>
        </w:tc>
        <w:tc>
          <w:tcPr>
            <w:tcW w:w="452" w:type="pct"/>
            <w:shd w:val="clear" w:color="auto" w:fill="auto"/>
          </w:tcPr>
          <w:p w:rsidR="000C5659" w:rsidRDefault="000C5659">
            <w:pPr>
              <w:autoSpaceDE w:val="0"/>
              <w:autoSpaceDN w:val="0"/>
              <w:adjustRightInd w:val="0"/>
              <w:snapToGrid w:val="0"/>
              <w:jc w:val="right"/>
            </w:pPr>
          </w:p>
        </w:tc>
        <w:tc>
          <w:tcPr>
            <w:tcW w:w="965" w:type="pct"/>
            <w:shd w:val="clear" w:color="auto" w:fill="auto"/>
            <w:vAlign w:val="center"/>
          </w:tcPr>
          <w:p w:rsidR="000C5659" w:rsidRDefault="000E33C4" w:rsidP="00BB75E8">
            <w:pPr>
              <w:jc w:val="right"/>
              <w:textAlignment w:val="bottom"/>
              <w:rPr>
                <w:color w:val="000000"/>
              </w:rPr>
            </w:pPr>
            <w:r>
              <w:rPr>
                <w:rFonts w:hint="eastAsia"/>
                <w:color w:val="000000"/>
                <w:lang w:bidi="ar"/>
              </w:rPr>
              <w:t>89,831,309.22</w:t>
            </w:r>
          </w:p>
        </w:tc>
        <w:tc>
          <w:tcPr>
            <w:tcW w:w="551" w:type="pct"/>
            <w:shd w:val="clear" w:color="auto" w:fill="auto"/>
            <w:vAlign w:val="center"/>
          </w:tcPr>
          <w:p w:rsidR="000C5659" w:rsidRDefault="000C5659" w:rsidP="00BB75E8">
            <w:pPr>
              <w:autoSpaceDE w:val="0"/>
              <w:autoSpaceDN w:val="0"/>
              <w:adjustRightInd w:val="0"/>
              <w:snapToGrid w:val="0"/>
              <w:jc w:val="right"/>
            </w:pPr>
          </w:p>
        </w:tc>
        <w:tc>
          <w:tcPr>
            <w:tcW w:w="664" w:type="pct"/>
            <w:shd w:val="clear" w:color="auto" w:fill="auto"/>
            <w:vAlign w:val="center"/>
          </w:tcPr>
          <w:p w:rsidR="000C5659" w:rsidRDefault="000C5659" w:rsidP="00BB75E8">
            <w:pPr>
              <w:autoSpaceDE w:val="0"/>
              <w:autoSpaceDN w:val="0"/>
              <w:adjustRightInd w:val="0"/>
              <w:snapToGrid w:val="0"/>
              <w:jc w:val="right"/>
            </w:pPr>
          </w:p>
        </w:tc>
        <w:tc>
          <w:tcPr>
            <w:tcW w:w="390" w:type="pct"/>
            <w:shd w:val="clear" w:color="auto" w:fill="auto"/>
            <w:vAlign w:val="center"/>
          </w:tcPr>
          <w:p w:rsidR="000C5659" w:rsidRDefault="000C5659" w:rsidP="00BB75E8">
            <w:pPr>
              <w:autoSpaceDE w:val="0"/>
              <w:autoSpaceDN w:val="0"/>
              <w:adjustRightInd w:val="0"/>
              <w:snapToGrid w:val="0"/>
              <w:jc w:val="right"/>
            </w:pPr>
          </w:p>
        </w:tc>
        <w:tc>
          <w:tcPr>
            <w:tcW w:w="906" w:type="pct"/>
            <w:shd w:val="clear" w:color="auto" w:fill="auto"/>
            <w:vAlign w:val="center"/>
          </w:tcPr>
          <w:p w:rsidR="000C5659" w:rsidRDefault="000E33C4" w:rsidP="00BB75E8">
            <w:pPr>
              <w:autoSpaceDE w:val="0"/>
              <w:autoSpaceDN w:val="0"/>
              <w:adjustRightInd w:val="0"/>
              <w:snapToGrid w:val="0"/>
              <w:jc w:val="right"/>
            </w:pPr>
            <w:r>
              <w:rPr>
                <w:rFonts w:hint="eastAsia"/>
                <w:color w:val="000000"/>
                <w:lang w:bidi="ar"/>
              </w:rPr>
              <w:t>89,831,309.22</w:t>
            </w:r>
          </w:p>
        </w:tc>
      </w:tr>
      <w:tr w:rsidR="000C5659" w:rsidTr="00BB75E8">
        <w:trPr>
          <w:trHeight w:val="296"/>
          <w:jc w:val="center"/>
        </w:trPr>
        <w:tc>
          <w:tcPr>
            <w:tcW w:w="1072" w:type="pct"/>
            <w:shd w:val="clear" w:color="auto" w:fill="auto"/>
            <w:vAlign w:val="center"/>
          </w:tcPr>
          <w:p w:rsidR="000C5659" w:rsidRDefault="000E33C4">
            <w:pPr>
              <w:autoSpaceDE w:val="0"/>
              <w:autoSpaceDN w:val="0"/>
              <w:adjustRightInd w:val="0"/>
              <w:snapToGrid w:val="0"/>
              <w:jc w:val="center"/>
              <w:rPr>
                <w:color w:val="000000" w:themeColor="text1"/>
                <w:u w:val="double"/>
              </w:rPr>
            </w:pPr>
            <w:r>
              <w:rPr>
                <w:rFonts w:hint="eastAsia"/>
                <w:color w:val="000000" w:themeColor="text1"/>
              </w:rPr>
              <w:t>合计</w:t>
            </w:r>
          </w:p>
        </w:tc>
        <w:tc>
          <w:tcPr>
            <w:tcW w:w="452" w:type="pct"/>
            <w:shd w:val="clear" w:color="auto" w:fill="auto"/>
          </w:tcPr>
          <w:p w:rsidR="000C5659" w:rsidRDefault="000C5659">
            <w:pPr>
              <w:jc w:val="right"/>
            </w:pPr>
          </w:p>
        </w:tc>
        <w:tc>
          <w:tcPr>
            <w:tcW w:w="965" w:type="pct"/>
            <w:shd w:val="clear" w:color="auto" w:fill="auto"/>
            <w:vAlign w:val="center"/>
          </w:tcPr>
          <w:p w:rsidR="000C5659" w:rsidRDefault="000E33C4" w:rsidP="00BB75E8">
            <w:pPr>
              <w:jc w:val="right"/>
            </w:pPr>
            <w:r>
              <w:rPr>
                <w:rFonts w:hint="eastAsia"/>
                <w:color w:val="000000"/>
                <w:lang w:bidi="ar"/>
              </w:rPr>
              <w:t>89,831,309.22</w:t>
            </w:r>
          </w:p>
        </w:tc>
        <w:tc>
          <w:tcPr>
            <w:tcW w:w="551" w:type="pct"/>
            <w:shd w:val="clear" w:color="auto" w:fill="auto"/>
            <w:vAlign w:val="center"/>
          </w:tcPr>
          <w:p w:rsidR="000C5659" w:rsidRDefault="000C5659" w:rsidP="00BB75E8">
            <w:pPr>
              <w:jc w:val="right"/>
            </w:pPr>
          </w:p>
        </w:tc>
        <w:tc>
          <w:tcPr>
            <w:tcW w:w="664" w:type="pct"/>
            <w:shd w:val="clear" w:color="auto" w:fill="auto"/>
            <w:vAlign w:val="center"/>
          </w:tcPr>
          <w:p w:rsidR="000C5659" w:rsidRDefault="000C5659" w:rsidP="00BB75E8">
            <w:pPr>
              <w:jc w:val="right"/>
            </w:pPr>
          </w:p>
        </w:tc>
        <w:tc>
          <w:tcPr>
            <w:tcW w:w="390" w:type="pct"/>
            <w:shd w:val="clear" w:color="auto" w:fill="auto"/>
            <w:vAlign w:val="center"/>
          </w:tcPr>
          <w:p w:rsidR="000C5659" w:rsidRDefault="000C5659" w:rsidP="00BB75E8">
            <w:pPr>
              <w:jc w:val="right"/>
            </w:pPr>
          </w:p>
        </w:tc>
        <w:tc>
          <w:tcPr>
            <w:tcW w:w="906" w:type="pct"/>
            <w:shd w:val="clear" w:color="auto" w:fill="auto"/>
            <w:vAlign w:val="center"/>
          </w:tcPr>
          <w:p w:rsidR="000C5659" w:rsidRDefault="000E33C4" w:rsidP="00BB75E8">
            <w:pPr>
              <w:jc w:val="right"/>
            </w:pPr>
            <w:r>
              <w:rPr>
                <w:rFonts w:hint="eastAsia"/>
                <w:color w:val="000000"/>
                <w:lang w:bidi="ar"/>
              </w:rPr>
              <w:t>89,831,309.22</w:t>
            </w:r>
          </w:p>
        </w:tc>
      </w:tr>
    </w:tbl>
    <w:p w:rsidR="000C5659" w:rsidRDefault="000C5659">
      <w:pPr>
        <w:rPr>
          <w:color w:val="000000" w:themeColor="text1"/>
        </w:rPr>
      </w:pPr>
    </w:p>
    <w:p w:rsidR="000C5659" w:rsidRDefault="000E33C4" w:rsidP="000743DD">
      <w:pPr>
        <w:pStyle w:val="43"/>
        <w:numPr>
          <w:ilvl w:val="0"/>
          <w:numId w:val="74"/>
        </w:numPr>
        <w:tabs>
          <w:tab w:val="left" w:pos="588"/>
        </w:tabs>
        <w:rPr>
          <w:rFonts w:ascii="宋体" w:hAnsi="宋体"/>
          <w:color w:val="000000" w:themeColor="text1"/>
        </w:rPr>
      </w:pPr>
      <w:r>
        <w:rPr>
          <w:rFonts w:ascii="宋体" w:hAnsi="宋体" w:hint="eastAsia"/>
          <w:color w:val="000000" w:themeColor="text1"/>
        </w:rPr>
        <w:t>商誉减值准备</w:t>
      </w:r>
    </w:p>
    <w:sdt>
      <w:sdtPr>
        <w:rPr>
          <w:color w:val="000000" w:themeColor="text1"/>
        </w:rPr>
        <w:alias w:val="是否适用：商誉减值准备[双击切换]"/>
        <w:tag w:val="_GBC_743c9a20b5c043668f28664eb36decf8"/>
        <w:id w:val="9613717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74"/>
        </w:numPr>
        <w:tabs>
          <w:tab w:val="left" w:pos="588"/>
        </w:tabs>
        <w:rPr>
          <w:rFonts w:ascii="宋体" w:hAnsi="宋体"/>
          <w:color w:val="000000" w:themeColor="text1"/>
        </w:rPr>
      </w:pPr>
      <w:bookmarkStart w:id="288" w:name="_Hlk167959929"/>
      <w:r>
        <w:rPr>
          <w:rFonts w:ascii="宋体" w:hAnsi="宋体" w:hint="eastAsia"/>
          <w:color w:val="000000" w:themeColor="text1"/>
        </w:rPr>
        <w:t>商誉所在资产组或资产组组合的相关信息</w:t>
      </w:r>
    </w:p>
    <w:sdt>
      <w:sdtPr>
        <w:rPr>
          <w:rFonts w:hint="eastAsia"/>
          <w:color w:val="000000" w:themeColor="text1"/>
        </w:rPr>
        <w:alias w:val="是否适用：商誉所在资产组或资产组组合的相关信息[双击切换]"/>
        <w:tag w:val="_GBC_3010fdfa06fe41c1b1d500ed6edace89"/>
        <w:id w:val="-52293791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tbl>
      <w:tblPr>
        <w:tblStyle w:val="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895"/>
        <w:gridCol w:w="2046"/>
        <w:gridCol w:w="2597"/>
      </w:tblGrid>
      <w:tr w:rsidR="000C5659">
        <w:trPr>
          <w:trHeight w:val="523"/>
        </w:trPr>
        <w:sdt>
          <w:sdtPr>
            <w:rPr>
              <w:rFonts w:hint="eastAsia"/>
              <w:color w:val="000000" w:themeColor="text1"/>
            </w:rPr>
            <w:tag w:val="_PLD_b6919452812d4aaa8936687b8bfccb67"/>
            <w:id w:val="703907766"/>
          </w:sdtPr>
          <w:sdtEndPr/>
          <w:sdtContent>
            <w:tc>
              <w:tcPr>
                <w:tcW w:w="2262" w:type="dxa"/>
                <w:shd w:val="clear" w:color="auto" w:fill="auto"/>
                <w:vAlign w:val="center"/>
              </w:tcPr>
              <w:p w:rsidR="000C5659" w:rsidRDefault="000E33C4">
                <w:pPr>
                  <w:widowControl w:val="0"/>
                  <w:jc w:val="center"/>
                  <w:rPr>
                    <w:color w:val="000000" w:themeColor="text1"/>
                  </w:rPr>
                </w:pPr>
                <w:r>
                  <w:rPr>
                    <w:rFonts w:hint="eastAsia"/>
                    <w:color w:val="000000" w:themeColor="text1"/>
                  </w:rPr>
                  <w:t>名称</w:t>
                </w:r>
              </w:p>
            </w:tc>
          </w:sdtContent>
        </w:sdt>
        <w:sdt>
          <w:sdtPr>
            <w:rPr>
              <w:rFonts w:hint="eastAsia"/>
              <w:color w:val="000000" w:themeColor="text1"/>
            </w:rPr>
            <w:tag w:val="_PLD_e8f1b9a6221f4972b29c49808dc79d30"/>
            <w:id w:val="-111596700"/>
          </w:sdtPr>
          <w:sdtEndPr/>
          <w:sdtContent>
            <w:tc>
              <w:tcPr>
                <w:tcW w:w="1957" w:type="dxa"/>
                <w:shd w:val="clear" w:color="auto" w:fill="auto"/>
                <w:vAlign w:val="center"/>
              </w:tcPr>
              <w:p w:rsidR="000C5659" w:rsidRDefault="000E33C4">
                <w:pPr>
                  <w:widowControl w:val="0"/>
                  <w:jc w:val="center"/>
                  <w:rPr>
                    <w:color w:val="000000" w:themeColor="text1"/>
                  </w:rPr>
                </w:pPr>
                <w:r>
                  <w:rPr>
                    <w:rFonts w:hint="eastAsia"/>
                    <w:color w:val="000000" w:themeColor="text1"/>
                  </w:rPr>
                  <w:t>所属资产组或组合的构成及依据</w:t>
                </w:r>
              </w:p>
            </w:tc>
          </w:sdtContent>
        </w:sdt>
        <w:sdt>
          <w:sdtPr>
            <w:rPr>
              <w:rFonts w:hint="eastAsia"/>
              <w:color w:val="000000" w:themeColor="text1"/>
            </w:rPr>
            <w:tag w:val="_PLD_96dd6bcac8ab4de3b253487e9cd88b15"/>
            <w:id w:val="-47616537"/>
          </w:sdtPr>
          <w:sdtEndPr/>
          <w:sdtContent>
            <w:tc>
              <w:tcPr>
                <w:tcW w:w="2126" w:type="dxa"/>
                <w:shd w:val="clear" w:color="auto" w:fill="auto"/>
                <w:vAlign w:val="center"/>
              </w:tcPr>
              <w:p w:rsidR="000C5659" w:rsidRDefault="000E33C4">
                <w:pPr>
                  <w:widowControl w:val="0"/>
                  <w:jc w:val="center"/>
                  <w:rPr>
                    <w:color w:val="000000" w:themeColor="text1"/>
                  </w:rPr>
                </w:pPr>
                <w:r>
                  <w:rPr>
                    <w:rFonts w:hint="eastAsia"/>
                    <w:color w:val="000000" w:themeColor="text1"/>
                  </w:rPr>
                  <w:t>所属经营分部及依据</w:t>
                </w:r>
              </w:p>
            </w:tc>
          </w:sdtContent>
        </w:sdt>
        <w:sdt>
          <w:sdtPr>
            <w:rPr>
              <w:rFonts w:hint="eastAsia"/>
              <w:color w:val="000000" w:themeColor="text1"/>
            </w:rPr>
            <w:tag w:val="_PLD_54f9a2ad176b44a5adce49c2dd260962"/>
            <w:id w:val="-1936435690"/>
          </w:sdtPr>
          <w:sdtEndPr/>
          <w:sdtContent>
            <w:tc>
              <w:tcPr>
                <w:tcW w:w="2704" w:type="dxa"/>
                <w:shd w:val="clear" w:color="auto" w:fill="auto"/>
                <w:vAlign w:val="center"/>
              </w:tcPr>
              <w:p w:rsidR="000C5659" w:rsidRDefault="000E33C4">
                <w:pPr>
                  <w:widowControl w:val="0"/>
                  <w:jc w:val="center"/>
                  <w:rPr>
                    <w:color w:val="000000" w:themeColor="text1"/>
                  </w:rPr>
                </w:pPr>
                <w:r>
                  <w:rPr>
                    <w:rFonts w:hint="eastAsia"/>
                    <w:color w:val="000000" w:themeColor="text1"/>
                  </w:rPr>
                  <w:t>是否与以前年度保持一致</w:t>
                </w:r>
              </w:p>
            </w:tc>
          </w:sdtContent>
        </w:sdt>
      </w:tr>
      <w:tr w:rsidR="000C5659">
        <w:tc>
          <w:tcPr>
            <w:tcW w:w="2262" w:type="dxa"/>
            <w:shd w:val="clear" w:color="auto" w:fill="auto"/>
          </w:tcPr>
          <w:p w:rsidR="000C5659" w:rsidRDefault="000E33C4">
            <w:pPr>
              <w:widowControl w:val="0"/>
              <w:jc w:val="both"/>
            </w:pPr>
            <w:r>
              <w:rPr>
                <w:rFonts w:hint="eastAsia"/>
              </w:rPr>
              <w:t>善恩康</w:t>
            </w:r>
          </w:p>
        </w:tc>
        <w:tc>
          <w:tcPr>
            <w:tcW w:w="1957" w:type="dxa"/>
            <w:shd w:val="clear" w:color="auto" w:fill="auto"/>
          </w:tcPr>
          <w:p w:rsidR="000C5659" w:rsidRDefault="000E33C4">
            <w:pPr>
              <w:widowControl w:val="0"/>
              <w:jc w:val="both"/>
            </w:pPr>
            <w:r>
              <w:rPr>
                <w:rFonts w:hint="eastAsia"/>
              </w:rPr>
              <w:t>将固定资产、无形</w:t>
            </w:r>
          </w:p>
          <w:p w:rsidR="000C5659" w:rsidRDefault="000E33C4">
            <w:pPr>
              <w:widowControl w:val="0"/>
              <w:jc w:val="both"/>
            </w:pPr>
            <w:r>
              <w:rPr>
                <w:rFonts w:hint="eastAsia"/>
              </w:rPr>
              <w:t>资产及其他非流动</w:t>
            </w:r>
          </w:p>
          <w:p w:rsidR="000C5659" w:rsidRDefault="000E33C4">
            <w:pPr>
              <w:widowControl w:val="0"/>
              <w:jc w:val="both"/>
            </w:pPr>
            <w:r>
              <w:rPr>
                <w:rFonts w:hint="eastAsia"/>
              </w:rPr>
              <w:t>资产认定为一个资</w:t>
            </w:r>
          </w:p>
          <w:p w:rsidR="000C5659" w:rsidRDefault="000E33C4">
            <w:pPr>
              <w:widowControl w:val="0"/>
              <w:jc w:val="both"/>
            </w:pPr>
            <w:r>
              <w:rPr>
                <w:rFonts w:hint="eastAsia"/>
              </w:rPr>
              <w:t>立组</w:t>
            </w:r>
          </w:p>
        </w:tc>
        <w:tc>
          <w:tcPr>
            <w:tcW w:w="2126" w:type="dxa"/>
            <w:shd w:val="clear" w:color="auto" w:fill="auto"/>
          </w:tcPr>
          <w:p w:rsidR="000C5659" w:rsidRDefault="000E33C4">
            <w:pPr>
              <w:widowControl w:val="0"/>
              <w:jc w:val="both"/>
            </w:pPr>
            <w:r>
              <w:rPr>
                <w:rFonts w:hint="eastAsia"/>
              </w:rPr>
              <w:t>益生菌业务分部</w:t>
            </w:r>
          </w:p>
        </w:tc>
        <w:sdt>
          <w:sdtPr>
            <w:rPr>
              <w:color w:val="000000" w:themeColor="text1"/>
            </w:rPr>
            <w:alias w:val="商誉所在资产组或资产组组合的相关信息明细_是否与以前年度保持一致"/>
            <w:tag w:val="_GBC_3b471d039e3b454d93c9768c072ce51c"/>
            <w:id w:val="-486631483"/>
            <w:comboBox>
              <w:listItem w:displayText="是" w:value="是"/>
              <w:listItem w:displayText="否" w:value="否"/>
            </w:comboBox>
          </w:sdtPr>
          <w:sdtEndPr/>
          <w:sdtContent>
            <w:tc>
              <w:tcPr>
                <w:tcW w:w="2704" w:type="dxa"/>
                <w:shd w:val="clear" w:color="auto" w:fill="auto"/>
              </w:tcPr>
              <w:p w:rsidR="000C5659" w:rsidRDefault="00B708C8">
                <w:pPr>
                  <w:widowControl w:val="0"/>
                  <w:jc w:val="center"/>
                  <w:rPr>
                    <w:color w:val="000000" w:themeColor="text1"/>
                  </w:rPr>
                </w:pPr>
                <w:r>
                  <w:rPr>
                    <w:rFonts w:hint="eastAsia"/>
                    <w:color w:val="000000" w:themeColor="text1"/>
                  </w:rPr>
                  <w:t>是</w:t>
                </w:r>
              </w:p>
            </w:tc>
          </w:sdtContent>
        </w:sdt>
      </w:tr>
    </w:tbl>
    <w:p w:rsidR="000C5659" w:rsidRDefault="000C5659">
      <w:pPr>
        <w:rPr>
          <w:color w:val="000000" w:themeColor="text1"/>
        </w:rPr>
      </w:pPr>
    </w:p>
    <w:p w:rsidR="000C5659" w:rsidRDefault="000E33C4">
      <w:pPr>
        <w:rPr>
          <w:color w:val="000000" w:themeColor="text1"/>
        </w:rPr>
      </w:pPr>
      <w:r>
        <w:rPr>
          <w:rFonts w:hint="eastAsia"/>
          <w:color w:val="000000" w:themeColor="text1"/>
        </w:rPr>
        <w:t>流量</w:t>
      </w:r>
    </w:p>
    <w:p w:rsidR="000C5659" w:rsidRDefault="000E33C4">
      <w:pPr>
        <w:rPr>
          <w:color w:val="000000" w:themeColor="text1"/>
        </w:rPr>
      </w:pPr>
      <w:bookmarkStart w:id="289" w:name="_Hlk153462880"/>
      <w:r>
        <w:rPr>
          <w:rFonts w:hint="eastAsia"/>
          <w:color w:val="000000" w:themeColor="text1"/>
        </w:rPr>
        <w:t>资产组或资产组组合发生变化</w:t>
      </w:r>
    </w:p>
    <w:sdt>
      <w:sdtPr>
        <w:rPr>
          <w:color w:val="000000" w:themeColor="text1"/>
        </w:rPr>
        <w:alias w:val="是否适用：资产组或资产组组合发生变化[双击切换]"/>
        <w:tag w:val="_GBC_7123d6208cbb4b6a9f652548afdc778a"/>
        <w:id w:val="-100057493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290" w:name="_Hlk152948734"/>
      <w:bookmarkEnd w:id="289"/>
      <w:r>
        <w:rPr>
          <w:rFonts w:hint="eastAsia"/>
          <w:color w:val="000000" w:themeColor="text1"/>
        </w:rPr>
        <w:t>其他说明</w:t>
      </w:r>
    </w:p>
    <w:sdt>
      <w:sdtPr>
        <w:rPr>
          <w:color w:val="000000" w:themeColor="text1"/>
        </w:rPr>
        <w:alias w:val="是否适用：商誉所在资产组或资产组组合的相关信息其他说明[双击切换]"/>
        <w:tag w:val="_GBC_ffeac5265704403bb47e0eefe5c2d04e"/>
        <w:id w:val="-204821497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90"/>
    <w:p w:rsidR="000C5659" w:rsidRDefault="000C5659">
      <w:pPr>
        <w:rPr>
          <w:color w:val="000000" w:themeColor="text1"/>
        </w:rPr>
      </w:pPr>
    </w:p>
    <w:p w:rsidR="000C5659" w:rsidRDefault="000E33C4" w:rsidP="000743DD">
      <w:pPr>
        <w:pStyle w:val="43"/>
        <w:numPr>
          <w:ilvl w:val="0"/>
          <w:numId w:val="74"/>
        </w:numPr>
        <w:tabs>
          <w:tab w:val="left" w:pos="588"/>
        </w:tabs>
        <w:rPr>
          <w:rFonts w:ascii="宋体" w:hAnsi="宋体"/>
          <w:color w:val="000000" w:themeColor="text1"/>
        </w:rPr>
      </w:pPr>
      <w:r>
        <w:rPr>
          <w:rFonts w:ascii="宋体" w:hAnsi="宋体" w:hint="eastAsia"/>
          <w:color w:val="000000" w:themeColor="text1"/>
        </w:rPr>
        <w:t>可收回金额的具体确定方法</w:t>
      </w:r>
    </w:p>
    <w:p w:rsidR="000C5659" w:rsidRDefault="000E33C4">
      <w:pPr>
        <w:rPr>
          <w:color w:val="000000" w:themeColor="text1"/>
        </w:rPr>
      </w:pPr>
      <w:bookmarkStart w:id="291" w:name="_Hlk153463075"/>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c14479181df74e309ba619055f328f4b"/>
        <w:id w:val="-74588486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775cb3824be54e48866a569883927f9d"/>
        <w:id w:val="-134547148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345565131261427b821f225ca476b7f0"/>
        <w:id w:val="-14242824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380768c596a145f29f00b98c2c4edba5"/>
        <w:id w:val="7047299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rsidP="000743DD">
      <w:pPr>
        <w:pStyle w:val="43"/>
        <w:numPr>
          <w:ilvl w:val="0"/>
          <w:numId w:val="74"/>
        </w:numPr>
        <w:tabs>
          <w:tab w:val="left" w:pos="588"/>
        </w:tabs>
        <w:rPr>
          <w:rFonts w:ascii="宋体" w:hAnsi="宋体"/>
          <w:color w:val="000000" w:themeColor="text1"/>
        </w:rPr>
      </w:pPr>
      <w:bookmarkStart w:id="292" w:name="_Hlk153463443"/>
      <w:bookmarkEnd w:id="291"/>
      <w:r>
        <w:rPr>
          <w:rFonts w:ascii="宋体" w:hAnsi="宋体" w:hint="eastAsia"/>
          <w:color w:val="000000" w:themeColor="text1"/>
        </w:rPr>
        <w:t>业绩承诺及对应商誉减值情况</w:t>
      </w:r>
    </w:p>
    <w:p w:rsidR="000C5659" w:rsidRDefault="000E33C4">
      <w:pPr>
        <w:rPr>
          <w:color w:val="000000" w:themeColor="text1"/>
        </w:rPr>
      </w:pPr>
      <w:r>
        <w:rPr>
          <w:rFonts w:hint="eastAsia"/>
          <w:color w:val="000000" w:themeColor="text1"/>
        </w:rPr>
        <w:t>形成商誉时存在业绩承诺且报告期或报告期上一期间处于业绩承诺期内</w:t>
      </w:r>
    </w:p>
    <w:sdt>
      <w:sdtPr>
        <w:rPr>
          <w:color w:val="000000" w:themeColor="text1"/>
        </w:rPr>
        <w:alias w:val="是否适用：业绩承诺完成及对应商誉减值情况[双击切换]"/>
        <w:tag w:val="_GBC_f96eba4c85694a0d9c8987317df03a97"/>
        <w:id w:val="222646028"/>
        <w:placeholder>
          <w:docPart w:val="GBC22222222222222222222222222222"/>
        </w:placeholder>
      </w:sdtPr>
      <w:sdtEndPr/>
      <w:sdtContent>
        <w:p w:rsidR="000C5659" w:rsidRDefault="000E33C4">
          <w:pPr>
            <w:pStyle w:val="Style325"/>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288"/>
    <w:bookmarkEnd w:id="292"/>
    <w:p w:rsidR="000C5659" w:rsidRDefault="000E33C4">
      <w:pPr>
        <w:rPr>
          <w:color w:val="000000" w:themeColor="text1"/>
        </w:rPr>
      </w:pPr>
      <w:r>
        <w:rPr>
          <w:rFonts w:hint="eastAsia"/>
          <w:color w:val="000000" w:themeColor="text1"/>
        </w:rPr>
        <w:t>其他说明：</w:t>
      </w:r>
    </w:p>
    <w:sdt>
      <w:sdtPr>
        <w:rPr>
          <w:color w:val="000000" w:themeColor="text1"/>
        </w:rPr>
        <w:alias w:val="是否适用：商誉其他需要说明的事项[双击切换]"/>
        <w:tag w:val="_GBC_6b2c2377a4a6486b9a4ba845bd2192f6"/>
        <w:id w:val="-805860025"/>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长期待摊费用</w:t>
      </w:r>
    </w:p>
    <w:sdt>
      <w:sdtPr>
        <w:rPr>
          <w:color w:val="000000" w:themeColor="text1"/>
        </w:rPr>
        <w:alias w:val="是否适用：长期待摊费用[双击切换]"/>
        <w:tag w:val="_GBC_9bec8f9516c84b19bae2fb8a7292063f"/>
        <w:id w:val="10491895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长期待摊费用"/>
          <w:tag w:val="_GBC_aa74f67aac374e54a7768a8434ab0c08"/>
          <w:id w:val="20047796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待摊费用"/>
          <w:tag w:val="_GBC_767b9b701cf8425c9d588b0398c42e90"/>
          <w:id w:val="12924746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49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581"/>
        <w:gridCol w:w="1581"/>
        <w:gridCol w:w="1161"/>
        <w:gridCol w:w="1581"/>
        <w:gridCol w:w="1161"/>
        <w:gridCol w:w="1581"/>
      </w:tblGrid>
      <w:tr w:rsidR="000C5659">
        <w:sdt>
          <w:sdtPr>
            <w:rPr>
              <w:color w:val="000000" w:themeColor="text1"/>
            </w:rPr>
            <w:tag w:val="_PLD_20e665ce568e49a5aa1c687384d611b3"/>
            <w:id w:val="117342972"/>
          </w:sdtPr>
          <w:sdtEndPr/>
          <w:sdtContent>
            <w:tc>
              <w:tcPr>
                <w:tcW w:w="623"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e3597a5d560b48d59d41cd3dc72b1a3a"/>
            <w:id w:val="1325396879"/>
          </w:sdtPr>
          <w:sdtEndPr/>
          <w:sdtContent>
            <w:tc>
              <w:tcPr>
                <w:tcW w:w="743"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sdt>
          <w:sdtPr>
            <w:rPr>
              <w:color w:val="000000" w:themeColor="text1"/>
            </w:rPr>
            <w:tag w:val="_PLD_2edffaf8b24b489e97f2d4a6a5ec5711"/>
            <w:id w:val="347454188"/>
          </w:sdtPr>
          <w:sdtEndPr/>
          <w:sdtContent>
            <w:tc>
              <w:tcPr>
                <w:tcW w:w="743" w:type="pct"/>
                <w:shd w:val="clear" w:color="auto" w:fill="auto"/>
                <w:vAlign w:val="center"/>
              </w:tcPr>
              <w:p w:rsidR="000C5659" w:rsidRDefault="000E33C4">
                <w:pPr>
                  <w:jc w:val="center"/>
                  <w:rPr>
                    <w:color w:val="000000" w:themeColor="text1"/>
                  </w:rPr>
                </w:pPr>
                <w:r>
                  <w:rPr>
                    <w:rFonts w:hint="eastAsia"/>
                    <w:color w:val="000000" w:themeColor="text1"/>
                  </w:rPr>
                  <w:t>本期增加金额</w:t>
                </w:r>
              </w:p>
            </w:tc>
          </w:sdtContent>
        </w:sdt>
        <w:tc>
          <w:tcPr>
            <w:tcW w:w="743" w:type="pct"/>
            <w:shd w:val="clear" w:color="auto" w:fill="auto"/>
            <w:vAlign w:val="center"/>
          </w:tcPr>
          <w:p w:rsidR="000C5659" w:rsidRDefault="000E33C4">
            <w:pPr>
              <w:jc w:val="center"/>
              <w:rPr>
                <w:color w:val="000000" w:themeColor="text1"/>
              </w:rPr>
            </w:pPr>
            <w:r>
              <w:rPr>
                <w:rFonts w:hint="eastAsia"/>
                <w:color w:val="000000" w:themeColor="text1"/>
              </w:rPr>
              <w:t>合并增加金额</w:t>
            </w:r>
          </w:p>
        </w:tc>
        <w:sdt>
          <w:sdtPr>
            <w:rPr>
              <w:color w:val="000000" w:themeColor="text1"/>
            </w:rPr>
            <w:tag w:val="_PLD_f6bc6a07519e4f6cab5889776aa0ecbd"/>
            <w:id w:val="1262337877"/>
          </w:sdtPr>
          <w:sdtEndPr/>
          <w:sdtContent>
            <w:tc>
              <w:tcPr>
                <w:tcW w:w="743" w:type="pct"/>
                <w:shd w:val="clear" w:color="auto" w:fill="auto"/>
                <w:vAlign w:val="center"/>
              </w:tcPr>
              <w:p w:rsidR="000C5659" w:rsidRDefault="000E33C4">
                <w:pPr>
                  <w:jc w:val="center"/>
                  <w:rPr>
                    <w:color w:val="000000" w:themeColor="text1"/>
                  </w:rPr>
                </w:pPr>
                <w:r>
                  <w:rPr>
                    <w:rFonts w:hint="eastAsia"/>
                    <w:color w:val="000000" w:themeColor="text1"/>
                  </w:rPr>
                  <w:t>本期摊销金额</w:t>
                </w:r>
              </w:p>
            </w:tc>
          </w:sdtContent>
        </w:sdt>
        <w:tc>
          <w:tcPr>
            <w:tcW w:w="658" w:type="pct"/>
            <w:shd w:val="clear" w:color="auto" w:fill="auto"/>
            <w:vAlign w:val="center"/>
          </w:tcPr>
          <w:p w:rsidR="000C5659" w:rsidRDefault="000E33C4">
            <w:pPr>
              <w:jc w:val="both"/>
              <w:rPr>
                <w:color w:val="000000" w:themeColor="text1"/>
              </w:rPr>
            </w:pPr>
            <w:r>
              <w:rPr>
                <w:rFonts w:hint="eastAsia"/>
                <w:color w:val="000000" w:themeColor="text1"/>
              </w:rPr>
              <w:t>其他减少金额</w:t>
            </w:r>
          </w:p>
        </w:tc>
        <w:sdt>
          <w:sdtPr>
            <w:rPr>
              <w:color w:val="000000" w:themeColor="text1"/>
            </w:rPr>
            <w:tag w:val="_PLD_dab738986fbc4bd7b942faf77cb39605"/>
            <w:id w:val="-1978681479"/>
          </w:sdtPr>
          <w:sdtEndPr/>
          <w:sdtContent>
            <w:tc>
              <w:tcPr>
                <w:tcW w:w="743"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tr>
      <w:tr w:rsidR="000C5659" w:rsidTr="00BB75E8">
        <w:tc>
          <w:tcPr>
            <w:tcW w:w="623" w:type="pct"/>
            <w:shd w:val="clear" w:color="auto" w:fill="auto"/>
          </w:tcPr>
          <w:p w:rsidR="000C5659" w:rsidRDefault="000E33C4">
            <w:pPr>
              <w:pStyle w:val="Style325"/>
            </w:pPr>
            <w:r>
              <w:t>模具</w:t>
            </w:r>
          </w:p>
        </w:tc>
        <w:tc>
          <w:tcPr>
            <w:tcW w:w="1581" w:type="dxa"/>
            <w:shd w:val="clear" w:color="auto" w:fill="auto"/>
            <w:vAlign w:val="center"/>
          </w:tcPr>
          <w:p w:rsidR="000C5659" w:rsidRDefault="000E33C4" w:rsidP="00BB75E8">
            <w:pPr>
              <w:jc w:val="right"/>
              <w:textAlignment w:val="center"/>
            </w:pPr>
            <w:r>
              <w:rPr>
                <w:rFonts w:hint="eastAsia"/>
                <w:color w:val="000000"/>
                <w:lang w:bidi="ar"/>
              </w:rPr>
              <w:t>22,000,873.13</w:t>
            </w:r>
          </w:p>
        </w:tc>
        <w:tc>
          <w:tcPr>
            <w:tcW w:w="1581" w:type="dxa"/>
            <w:shd w:val="clear" w:color="auto" w:fill="auto"/>
            <w:vAlign w:val="center"/>
          </w:tcPr>
          <w:p w:rsidR="000C5659" w:rsidRDefault="000E33C4" w:rsidP="00BB75E8">
            <w:pPr>
              <w:jc w:val="right"/>
              <w:textAlignment w:val="center"/>
            </w:pPr>
            <w:r>
              <w:rPr>
                <w:rFonts w:hint="eastAsia"/>
                <w:color w:val="000000"/>
                <w:lang w:bidi="ar"/>
              </w:rPr>
              <w:t>10,815,877.60</w:t>
            </w:r>
          </w:p>
        </w:tc>
        <w:tc>
          <w:tcPr>
            <w:tcW w:w="1161" w:type="dxa"/>
            <w:shd w:val="clear" w:color="auto" w:fill="auto"/>
            <w:vAlign w:val="center"/>
          </w:tcPr>
          <w:p w:rsidR="000C5659" w:rsidRDefault="000C5659" w:rsidP="00BB75E8">
            <w:pPr>
              <w:jc w:val="right"/>
            </w:pPr>
          </w:p>
        </w:tc>
        <w:tc>
          <w:tcPr>
            <w:tcW w:w="1581" w:type="dxa"/>
            <w:shd w:val="clear" w:color="auto" w:fill="auto"/>
            <w:vAlign w:val="center"/>
          </w:tcPr>
          <w:p w:rsidR="000C5659" w:rsidRDefault="000E33C4" w:rsidP="00BB75E8">
            <w:pPr>
              <w:jc w:val="right"/>
              <w:textAlignment w:val="center"/>
            </w:pPr>
            <w:r>
              <w:rPr>
                <w:rFonts w:hint="eastAsia"/>
                <w:color w:val="000000"/>
                <w:lang w:bidi="ar"/>
              </w:rPr>
              <w:t>10,274,811.11</w:t>
            </w:r>
          </w:p>
        </w:tc>
        <w:tc>
          <w:tcPr>
            <w:tcW w:w="745" w:type="dxa"/>
            <w:shd w:val="clear" w:color="auto" w:fill="auto"/>
            <w:vAlign w:val="center"/>
          </w:tcPr>
          <w:p w:rsidR="000C5659" w:rsidRDefault="000E33C4" w:rsidP="00BB75E8">
            <w:pPr>
              <w:jc w:val="right"/>
              <w:textAlignment w:val="center"/>
            </w:pPr>
            <w:r>
              <w:rPr>
                <w:rFonts w:hint="eastAsia"/>
                <w:color w:val="000000"/>
                <w:lang w:bidi="ar"/>
              </w:rPr>
              <w:t>95,377.73</w:t>
            </w:r>
          </w:p>
        </w:tc>
        <w:tc>
          <w:tcPr>
            <w:tcW w:w="1581" w:type="dxa"/>
            <w:shd w:val="clear" w:color="auto" w:fill="auto"/>
            <w:vAlign w:val="center"/>
          </w:tcPr>
          <w:p w:rsidR="000C5659" w:rsidRDefault="000E33C4" w:rsidP="00BB75E8">
            <w:pPr>
              <w:jc w:val="right"/>
              <w:textAlignment w:val="center"/>
              <w:rPr>
                <w:color w:val="000000"/>
              </w:rPr>
            </w:pPr>
            <w:r>
              <w:rPr>
                <w:rFonts w:hint="eastAsia"/>
                <w:color w:val="000000"/>
                <w:lang w:bidi="ar"/>
              </w:rPr>
              <w:t>22,446,561.89</w:t>
            </w:r>
          </w:p>
        </w:tc>
      </w:tr>
      <w:tr w:rsidR="000C5659" w:rsidTr="00BB75E8">
        <w:tc>
          <w:tcPr>
            <w:tcW w:w="623" w:type="pct"/>
            <w:shd w:val="clear" w:color="auto" w:fill="auto"/>
          </w:tcPr>
          <w:p w:rsidR="000C5659" w:rsidRDefault="000E33C4">
            <w:pPr>
              <w:pStyle w:val="Style325"/>
            </w:pPr>
            <w:r>
              <w:t>软件服务费</w:t>
            </w:r>
          </w:p>
        </w:tc>
        <w:tc>
          <w:tcPr>
            <w:tcW w:w="1581" w:type="dxa"/>
            <w:shd w:val="clear" w:color="auto" w:fill="auto"/>
            <w:vAlign w:val="center"/>
          </w:tcPr>
          <w:p w:rsidR="000C5659" w:rsidRDefault="000E33C4" w:rsidP="00BB75E8">
            <w:pPr>
              <w:jc w:val="right"/>
              <w:textAlignment w:val="center"/>
            </w:pPr>
            <w:r>
              <w:rPr>
                <w:rFonts w:hint="eastAsia"/>
                <w:color w:val="000000"/>
                <w:lang w:bidi="ar"/>
              </w:rPr>
              <w:t>119,863.53</w:t>
            </w:r>
          </w:p>
        </w:tc>
        <w:tc>
          <w:tcPr>
            <w:tcW w:w="1581" w:type="dxa"/>
            <w:shd w:val="clear" w:color="auto" w:fill="auto"/>
            <w:vAlign w:val="center"/>
          </w:tcPr>
          <w:p w:rsidR="000C5659" w:rsidRDefault="000E33C4" w:rsidP="00BB75E8">
            <w:pPr>
              <w:jc w:val="right"/>
              <w:textAlignment w:val="center"/>
            </w:pPr>
            <w:r>
              <w:rPr>
                <w:rFonts w:hint="eastAsia"/>
                <w:color w:val="000000"/>
                <w:lang w:bidi="ar"/>
              </w:rPr>
              <w:t>49,716.98</w:t>
            </w:r>
          </w:p>
        </w:tc>
        <w:tc>
          <w:tcPr>
            <w:tcW w:w="1161" w:type="dxa"/>
            <w:shd w:val="clear" w:color="auto" w:fill="auto"/>
            <w:vAlign w:val="center"/>
          </w:tcPr>
          <w:p w:rsidR="000C5659" w:rsidRDefault="000E33C4" w:rsidP="00BB75E8">
            <w:pPr>
              <w:jc w:val="right"/>
              <w:textAlignment w:val="center"/>
            </w:pPr>
            <w:r>
              <w:rPr>
                <w:rFonts w:hint="eastAsia"/>
                <w:color w:val="000000"/>
                <w:lang w:bidi="ar"/>
              </w:rPr>
              <w:t>32,164.67</w:t>
            </w:r>
          </w:p>
        </w:tc>
        <w:tc>
          <w:tcPr>
            <w:tcW w:w="1581" w:type="dxa"/>
            <w:shd w:val="clear" w:color="auto" w:fill="auto"/>
            <w:vAlign w:val="center"/>
          </w:tcPr>
          <w:p w:rsidR="000C5659" w:rsidRDefault="000E33C4" w:rsidP="00BB75E8">
            <w:pPr>
              <w:jc w:val="right"/>
              <w:textAlignment w:val="center"/>
            </w:pPr>
            <w:r>
              <w:rPr>
                <w:rFonts w:hint="eastAsia"/>
                <w:color w:val="000000"/>
                <w:lang w:bidi="ar"/>
              </w:rPr>
              <w:t>84,673.94</w:t>
            </w:r>
          </w:p>
        </w:tc>
        <w:tc>
          <w:tcPr>
            <w:tcW w:w="745" w:type="dxa"/>
            <w:shd w:val="clear" w:color="auto" w:fill="auto"/>
            <w:vAlign w:val="center"/>
          </w:tcPr>
          <w:p w:rsidR="000C5659" w:rsidRDefault="000C5659" w:rsidP="00BB75E8">
            <w:pPr>
              <w:jc w:val="right"/>
            </w:pPr>
          </w:p>
        </w:tc>
        <w:tc>
          <w:tcPr>
            <w:tcW w:w="1581" w:type="dxa"/>
            <w:shd w:val="clear" w:color="auto" w:fill="auto"/>
            <w:vAlign w:val="center"/>
          </w:tcPr>
          <w:p w:rsidR="000C5659" w:rsidRDefault="000E33C4" w:rsidP="00BB75E8">
            <w:pPr>
              <w:jc w:val="right"/>
              <w:textAlignment w:val="center"/>
            </w:pPr>
            <w:r>
              <w:rPr>
                <w:rFonts w:hint="eastAsia"/>
                <w:color w:val="000000"/>
                <w:lang w:bidi="ar"/>
              </w:rPr>
              <w:t>117,071.24</w:t>
            </w:r>
          </w:p>
        </w:tc>
      </w:tr>
      <w:tr w:rsidR="000C5659" w:rsidTr="00BB75E8">
        <w:tc>
          <w:tcPr>
            <w:tcW w:w="623" w:type="pct"/>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1581" w:type="dxa"/>
            <w:shd w:val="clear" w:color="auto" w:fill="auto"/>
            <w:vAlign w:val="center"/>
          </w:tcPr>
          <w:p w:rsidR="000C5659" w:rsidRDefault="000E33C4" w:rsidP="00BB75E8">
            <w:pPr>
              <w:jc w:val="right"/>
              <w:textAlignment w:val="center"/>
            </w:pPr>
            <w:r>
              <w:rPr>
                <w:rFonts w:hint="eastAsia"/>
                <w:color w:val="000000"/>
                <w:lang w:bidi="ar"/>
              </w:rPr>
              <w:t>22,120,736.66</w:t>
            </w:r>
          </w:p>
        </w:tc>
        <w:tc>
          <w:tcPr>
            <w:tcW w:w="1581" w:type="dxa"/>
            <w:shd w:val="clear" w:color="auto" w:fill="auto"/>
            <w:vAlign w:val="center"/>
          </w:tcPr>
          <w:p w:rsidR="000C5659" w:rsidRDefault="000E33C4" w:rsidP="00BB75E8">
            <w:pPr>
              <w:jc w:val="right"/>
              <w:textAlignment w:val="center"/>
            </w:pPr>
            <w:r>
              <w:rPr>
                <w:rFonts w:hint="eastAsia"/>
                <w:color w:val="000000"/>
                <w:lang w:bidi="ar"/>
              </w:rPr>
              <w:t>10,865,594.58</w:t>
            </w:r>
          </w:p>
        </w:tc>
        <w:tc>
          <w:tcPr>
            <w:tcW w:w="1161" w:type="dxa"/>
            <w:shd w:val="clear" w:color="auto" w:fill="auto"/>
            <w:vAlign w:val="center"/>
          </w:tcPr>
          <w:p w:rsidR="000C5659" w:rsidRDefault="000E33C4" w:rsidP="00BB75E8">
            <w:pPr>
              <w:jc w:val="right"/>
              <w:textAlignment w:val="center"/>
            </w:pPr>
            <w:r>
              <w:rPr>
                <w:rFonts w:hint="eastAsia"/>
                <w:color w:val="000000"/>
                <w:lang w:bidi="ar"/>
              </w:rPr>
              <w:t>32,164.67</w:t>
            </w:r>
          </w:p>
        </w:tc>
        <w:tc>
          <w:tcPr>
            <w:tcW w:w="1581" w:type="dxa"/>
            <w:shd w:val="clear" w:color="auto" w:fill="auto"/>
            <w:vAlign w:val="center"/>
          </w:tcPr>
          <w:p w:rsidR="000C5659" w:rsidRDefault="000E33C4" w:rsidP="00BB75E8">
            <w:pPr>
              <w:jc w:val="right"/>
              <w:textAlignment w:val="center"/>
            </w:pPr>
            <w:r>
              <w:rPr>
                <w:rFonts w:hint="eastAsia"/>
                <w:color w:val="000000"/>
                <w:lang w:bidi="ar"/>
              </w:rPr>
              <w:t>10,359,485.05</w:t>
            </w:r>
          </w:p>
        </w:tc>
        <w:tc>
          <w:tcPr>
            <w:tcW w:w="745" w:type="dxa"/>
            <w:shd w:val="clear" w:color="auto" w:fill="auto"/>
            <w:vAlign w:val="center"/>
          </w:tcPr>
          <w:p w:rsidR="000C5659" w:rsidRDefault="000E33C4" w:rsidP="00BB75E8">
            <w:pPr>
              <w:jc w:val="right"/>
              <w:textAlignment w:val="center"/>
            </w:pPr>
            <w:r>
              <w:rPr>
                <w:rFonts w:hint="eastAsia"/>
                <w:color w:val="000000"/>
                <w:lang w:bidi="ar"/>
              </w:rPr>
              <w:t>95,377.73</w:t>
            </w:r>
          </w:p>
        </w:tc>
        <w:tc>
          <w:tcPr>
            <w:tcW w:w="1581" w:type="dxa"/>
            <w:shd w:val="clear" w:color="auto" w:fill="auto"/>
            <w:vAlign w:val="center"/>
          </w:tcPr>
          <w:p w:rsidR="000C5659" w:rsidRDefault="000E33C4" w:rsidP="00BB75E8">
            <w:pPr>
              <w:jc w:val="right"/>
              <w:textAlignment w:val="center"/>
            </w:pPr>
            <w:r>
              <w:rPr>
                <w:rFonts w:hint="eastAsia"/>
                <w:color w:val="000000"/>
                <w:lang w:bidi="ar"/>
              </w:rPr>
              <w:t>22,563,633.13</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p>
    <w:sdt>
      <w:sdtPr>
        <w:rPr>
          <w:color w:val="000000" w:themeColor="text1"/>
        </w:rPr>
        <w:alias w:val="长期待摊费用的说明"/>
        <w:tag w:val="_GBC_5b31c466b60f433faaa37d443fae74be"/>
        <w:id w:val="256337684"/>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递延所得税资产</w:t>
      </w:r>
      <w:r>
        <w:rPr>
          <w:color w:val="000000" w:themeColor="text1"/>
          <w:szCs w:val="21"/>
        </w:rPr>
        <w:t xml:space="preserve">/ </w:t>
      </w:r>
      <w:r>
        <w:rPr>
          <w:color w:val="000000" w:themeColor="text1"/>
          <w:szCs w:val="21"/>
        </w:rPr>
        <w:t>递延所得税负债</w:t>
      </w:r>
    </w:p>
    <w:p w:rsidR="000C5659" w:rsidRDefault="000E33C4" w:rsidP="000743DD">
      <w:pPr>
        <w:pStyle w:val="43"/>
        <w:numPr>
          <w:ilvl w:val="0"/>
          <w:numId w:val="75"/>
        </w:numPr>
        <w:tabs>
          <w:tab w:val="left" w:pos="588"/>
          <w:tab w:val="left" w:pos="616"/>
        </w:tabs>
        <w:rPr>
          <w:rFonts w:ascii="宋体" w:hAnsi="宋体"/>
          <w:color w:val="000000" w:themeColor="text1"/>
        </w:rPr>
      </w:pPr>
      <w:bookmarkStart w:id="293" w:name="_Toc215903151"/>
      <w:r>
        <w:rPr>
          <w:rFonts w:ascii="宋体" w:hAnsi="宋体" w:hint="eastAsia"/>
          <w:color w:val="000000" w:themeColor="text1"/>
        </w:rPr>
        <w:t>未经抵销的递延所得税资产</w:t>
      </w:r>
    </w:p>
    <w:sdt>
      <w:sdtPr>
        <w:rPr>
          <w:color w:val="000000" w:themeColor="text1"/>
        </w:rPr>
        <w:alias w:val="是否适用：未经抵销的递延所得税资产[双击切换]"/>
        <w:tag w:val="_GBC_fc6e77974a404dc3bef5fc386ae4e1e7"/>
        <w:id w:val="-73316615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已确认的递延所得税资产和递延所得税负债"/>
          <w:tag w:val="_GBC_7be724d3c6f14974914db7d02bb734f9"/>
          <w:id w:val="895106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bookmarkEnd w:id="293"/>
      <w:sdt>
        <w:sdtPr>
          <w:rPr>
            <w:rFonts w:hint="eastAsia"/>
            <w:color w:val="000000" w:themeColor="text1"/>
          </w:rPr>
          <w:alias w:val="币种：财务附注：已确认的递延所得税资产和递延所得税负债"/>
          <w:tag w:val="_GBC_a48237f045494aa9a0ea8c2cb35b1c0f"/>
          <w:id w:val="19599934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686"/>
        <w:gridCol w:w="1586"/>
        <w:gridCol w:w="1603"/>
        <w:gridCol w:w="1587"/>
      </w:tblGrid>
      <w:tr w:rsidR="000C5659">
        <w:trPr>
          <w:trHeight w:val="285"/>
        </w:trPr>
        <w:sdt>
          <w:sdtPr>
            <w:rPr>
              <w:color w:val="000000" w:themeColor="text1"/>
            </w:rPr>
            <w:tag w:val="_PLD_e45101b3a01946f19f22657bb959574e"/>
            <w:id w:val="-1770762994"/>
          </w:sdtPr>
          <w:sdtEndPr/>
          <w:sdtContent>
            <w:tc>
              <w:tcPr>
                <w:tcW w:w="1345" w:type="pct"/>
                <w:vMerge w:val="restar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dd892ffecd234c819059bf10f71b1910"/>
            <w:id w:val="1774523002"/>
          </w:sdtPr>
          <w:sdtEndPr/>
          <w:sdtContent>
            <w:tc>
              <w:tcPr>
                <w:tcW w:w="1836" w:type="pct"/>
                <w:gridSpan w:val="2"/>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be855fcb002344d6ae2c74083e90b1c1"/>
            <w:id w:val="529451774"/>
          </w:sdtPr>
          <w:sdtEndPr/>
          <w:sdtContent>
            <w:tc>
              <w:tcPr>
                <w:tcW w:w="1819" w:type="pct"/>
                <w:gridSpan w:val="2"/>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trHeight w:val="285"/>
        </w:trPr>
        <w:tc>
          <w:tcPr>
            <w:tcW w:w="1345" w:type="pct"/>
            <w:vMerge/>
            <w:shd w:val="clear" w:color="auto" w:fill="auto"/>
            <w:vAlign w:val="center"/>
          </w:tcPr>
          <w:p w:rsidR="000C5659" w:rsidRDefault="000C5659">
            <w:pPr>
              <w:jc w:val="center"/>
              <w:rPr>
                <w:b/>
                <w:color w:val="000000" w:themeColor="text1"/>
              </w:rPr>
            </w:pPr>
          </w:p>
        </w:tc>
        <w:sdt>
          <w:sdtPr>
            <w:rPr>
              <w:color w:val="000000" w:themeColor="text1"/>
            </w:rPr>
            <w:tag w:val="_PLD_c82eb64547054aa39a1b7bfe7c532e2e"/>
            <w:id w:val="-879472251"/>
          </w:sdtPr>
          <w:sdtEndPr/>
          <w:sdtContent>
            <w:tc>
              <w:tcPr>
                <w:tcW w:w="931" w:type="pct"/>
                <w:shd w:val="clear" w:color="auto" w:fill="auto"/>
                <w:vAlign w:val="center"/>
              </w:tcPr>
              <w:p w:rsidR="000C5659" w:rsidRDefault="000E33C4">
                <w:pPr>
                  <w:jc w:val="center"/>
                  <w:rPr>
                    <w:color w:val="000000" w:themeColor="text1"/>
                  </w:rPr>
                </w:pPr>
                <w:r>
                  <w:rPr>
                    <w:rFonts w:hint="eastAsia"/>
                    <w:color w:val="000000" w:themeColor="text1"/>
                  </w:rPr>
                  <w:t>可抵扣暂时性差异</w:t>
                </w:r>
              </w:p>
            </w:tc>
          </w:sdtContent>
        </w:sdt>
        <w:sdt>
          <w:sdtPr>
            <w:rPr>
              <w:color w:val="000000" w:themeColor="text1"/>
            </w:rPr>
            <w:tag w:val="_PLD_ad2e47975c52486d8bfc7fec079252de"/>
            <w:id w:val="-1561166037"/>
          </w:sdtPr>
          <w:sdtEndPr/>
          <w:sdtContent>
            <w:tc>
              <w:tcPr>
                <w:tcW w:w="905" w:type="pct"/>
                <w:shd w:val="clear" w:color="auto" w:fill="auto"/>
                <w:vAlign w:val="center"/>
              </w:tcPr>
              <w:p w:rsidR="000C5659" w:rsidRDefault="000E33C4">
                <w:pPr>
                  <w:jc w:val="center"/>
                  <w:rPr>
                    <w:color w:val="000000" w:themeColor="text1"/>
                  </w:rPr>
                </w:pPr>
                <w:r>
                  <w:rPr>
                    <w:rFonts w:hint="eastAsia"/>
                    <w:color w:val="000000" w:themeColor="text1"/>
                  </w:rPr>
                  <w:t>递延所得税</w:t>
                </w:r>
              </w:p>
              <w:p w:rsidR="000C5659" w:rsidRDefault="000E33C4">
                <w:pPr>
                  <w:jc w:val="center"/>
                  <w:rPr>
                    <w:color w:val="000000" w:themeColor="text1"/>
                  </w:rPr>
                </w:pPr>
                <w:r>
                  <w:rPr>
                    <w:rFonts w:hint="eastAsia"/>
                    <w:color w:val="000000" w:themeColor="text1"/>
                  </w:rPr>
                  <w:t>资产</w:t>
                </w:r>
              </w:p>
            </w:tc>
          </w:sdtContent>
        </w:sdt>
        <w:sdt>
          <w:sdtPr>
            <w:rPr>
              <w:color w:val="000000" w:themeColor="text1"/>
            </w:rPr>
            <w:tag w:val="_PLD_0e0e7aabb5f8432ea9da8b4066b2e897"/>
            <w:id w:val="-93789851"/>
          </w:sdtPr>
          <w:sdtEndPr/>
          <w:sdtContent>
            <w:tc>
              <w:tcPr>
                <w:tcW w:w="914" w:type="pct"/>
                <w:shd w:val="clear" w:color="auto" w:fill="auto"/>
                <w:vAlign w:val="center"/>
              </w:tcPr>
              <w:p w:rsidR="000C5659" w:rsidRDefault="000E33C4">
                <w:pPr>
                  <w:jc w:val="center"/>
                  <w:rPr>
                    <w:color w:val="000000" w:themeColor="text1"/>
                  </w:rPr>
                </w:pPr>
                <w:r>
                  <w:rPr>
                    <w:rFonts w:hint="eastAsia"/>
                    <w:color w:val="000000" w:themeColor="text1"/>
                  </w:rPr>
                  <w:t>可抵扣暂时性差异</w:t>
                </w:r>
              </w:p>
            </w:tc>
          </w:sdtContent>
        </w:sdt>
        <w:sdt>
          <w:sdtPr>
            <w:rPr>
              <w:color w:val="000000" w:themeColor="text1"/>
            </w:rPr>
            <w:tag w:val="_PLD_34147e3346eb4b24b314e0dadaab6983"/>
            <w:id w:val="985669278"/>
          </w:sdtPr>
          <w:sdtEndPr/>
          <w:sdtContent>
            <w:tc>
              <w:tcPr>
                <w:tcW w:w="904" w:type="pct"/>
                <w:shd w:val="clear" w:color="auto" w:fill="auto"/>
                <w:vAlign w:val="center"/>
              </w:tcPr>
              <w:p w:rsidR="000C5659" w:rsidRDefault="000E33C4">
                <w:pPr>
                  <w:jc w:val="center"/>
                  <w:rPr>
                    <w:color w:val="000000" w:themeColor="text1"/>
                  </w:rPr>
                </w:pPr>
                <w:r>
                  <w:rPr>
                    <w:rFonts w:hint="eastAsia"/>
                    <w:color w:val="000000" w:themeColor="text1"/>
                  </w:rPr>
                  <w:t>递延所得税</w:t>
                </w:r>
              </w:p>
              <w:p w:rsidR="000C5659" w:rsidRDefault="000E33C4">
                <w:pPr>
                  <w:jc w:val="center"/>
                  <w:rPr>
                    <w:color w:val="000000" w:themeColor="text1"/>
                  </w:rPr>
                </w:pPr>
                <w:r>
                  <w:rPr>
                    <w:rFonts w:hint="eastAsia"/>
                    <w:color w:val="000000" w:themeColor="text1"/>
                  </w:rPr>
                  <w:t>资产</w:t>
                </w:r>
              </w:p>
            </w:tc>
          </w:sdtContent>
        </w:sdt>
      </w:tr>
      <w:tr w:rsidR="000C5659">
        <w:trPr>
          <w:trHeight w:val="285"/>
        </w:trPr>
        <w:tc>
          <w:tcPr>
            <w:tcW w:w="1345" w:type="pct"/>
            <w:shd w:val="clear" w:color="auto" w:fill="auto"/>
            <w:vAlign w:val="center"/>
          </w:tcPr>
          <w:p w:rsidR="000C5659" w:rsidRDefault="000E33C4">
            <w:pPr>
              <w:snapToGrid w:val="0"/>
              <w:rPr>
                <w:color w:val="000000" w:themeColor="text1"/>
              </w:rPr>
            </w:pPr>
            <w:r>
              <w:rPr>
                <w:szCs w:val="18"/>
              </w:rPr>
              <w:t>坏账准备及存货跌价准备</w:t>
            </w:r>
          </w:p>
        </w:tc>
        <w:tc>
          <w:tcPr>
            <w:tcW w:w="931" w:type="pct"/>
            <w:shd w:val="clear" w:color="auto" w:fill="auto"/>
            <w:vAlign w:val="center"/>
          </w:tcPr>
          <w:p w:rsidR="000C5659" w:rsidRDefault="000E33C4">
            <w:pPr>
              <w:jc w:val="right"/>
              <w:textAlignment w:val="top"/>
            </w:pPr>
            <w:r>
              <w:rPr>
                <w:rFonts w:hint="eastAsia"/>
                <w:color w:val="000000"/>
                <w:lang w:bidi="ar"/>
              </w:rPr>
              <w:t>18,687,277.02</w:t>
            </w:r>
          </w:p>
        </w:tc>
        <w:tc>
          <w:tcPr>
            <w:tcW w:w="905" w:type="pct"/>
            <w:shd w:val="clear" w:color="auto" w:fill="auto"/>
            <w:vAlign w:val="center"/>
          </w:tcPr>
          <w:p w:rsidR="000C5659" w:rsidRDefault="000E33C4">
            <w:pPr>
              <w:jc w:val="right"/>
              <w:textAlignment w:val="top"/>
            </w:pPr>
            <w:r>
              <w:rPr>
                <w:rFonts w:hint="eastAsia"/>
                <w:color w:val="000000"/>
                <w:lang w:bidi="ar"/>
              </w:rPr>
              <w:t>3,917,651.46</w:t>
            </w:r>
          </w:p>
        </w:tc>
        <w:tc>
          <w:tcPr>
            <w:tcW w:w="914" w:type="pct"/>
            <w:shd w:val="clear" w:color="auto" w:fill="auto"/>
            <w:vAlign w:val="center"/>
          </w:tcPr>
          <w:p w:rsidR="000C5659" w:rsidRDefault="000E33C4">
            <w:pPr>
              <w:jc w:val="right"/>
            </w:pPr>
            <w:r>
              <w:t>14,129,030.61</w:t>
            </w:r>
          </w:p>
        </w:tc>
        <w:tc>
          <w:tcPr>
            <w:tcW w:w="904" w:type="pct"/>
            <w:shd w:val="clear" w:color="auto" w:fill="auto"/>
            <w:vAlign w:val="center"/>
          </w:tcPr>
          <w:p w:rsidR="000C5659" w:rsidRDefault="000E33C4">
            <w:pPr>
              <w:jc w:val="right"/>
            </w:pPr>
            <w:r>
              <w:t>3,143,837.38</w:t>
            </w:r>
          </w:p>
        </w:tc>
      </w:tr>
      <w:tr w:rsidR="000C5659">
        <w:trPr>
          <w:trHeight w:val="285"/>
        </w:trPr>
        <w:tc>
          <w:tcPr>
            <w:tcW w:w="1345" w:type="pct"/>
            <w:shd w:val="clear" w:color="auto" w:fill="auto"/>
            <w:vAlign w:val="center"/>
          </w:tcPr>
          <w:p w:rsidR="000C5659" w:rsidRDefault="000E33C4">
            <w:pPr>
              <w:snapToGrid w:val="0"/>
              <w:rPr>
                <w:color w:val="000000" w:themeColor="text1"/>
              </w:rPr>
            </w:pPr>
            <w:r>
              <w:rPr>
                <w:szCs w:val="18"/>
              </w:rPr>
              <w:t>内部交易未实现利润</w:t>
            </w:r>
          </w:p>
        </w:tc>
        <w:tc>
          <w:tcPr>
            <w:tcW w:w="931" w:type="pct"/>
            <w:shd w:val="clear" w:color="auto" w:fill="auto"/>
            <w:vAlign w:val="center"/>
          </w:tcPr>
          <w:p w:rsidR="000C5659" w:rsidRDefault="000E33C4">
            <w:pPr>
              <w:jc w:val="right"/>
              <w:textAlignment w:val="top"/>
            </w:pPr>
            <w:r>
              <w:rPr>
                <w:rFonts w:hint="eastAsia"/>
                <w:color w:val="000000"/>
                <w:lang w:bidi="ar"/>
              </w:rPr>
              <w:t>10,442,513.44</w:t>
            </w:r>
          </w:p>
        </w:tc>
        <w:tc>
          <w:tcPr>
            <w:tcW w:w="905" w:type="pct"/>
            <w:shd w:val="clear" w:color="auto" w:fill="auto"/>
            <w:vAlign w:val="center"/>
          </w:tcPr>
          <w:p w:rsidR="000C5659" w:rsidRDefault="000E33C4">
            <w:pPr>
              <w:jc w:val="right"/>
              <w:textAlignment w:val="top"/>
            </w:pPr>
            <w:r>
              <w:rPr>
                <w:rFonts w:hint="eastAsia"/>
                <w:color w:val="000000"/>
                <w:lang w:bidi="ar"/>
              </w:rPr>
              <w:t>2,579,368.86</w:t>
            </w:r>
          </w:p>
        </w:tc>
        <w:tc>
          <w:tcPr>
            <w:tcW w:w="914" w:type="pct"/>
            <w:shd w:val="clear" w:color="auto" w:fill="auto"/>
            <w:vAlign w:val="center"/>
          </w:tcPr>
          <w:p w:rsidR="000C5659" w:rsidRDefault="000E33C4">
            <w:pPr>
              <w:jc w:val="right"/>
            </w:pPr>
            <w:r>
              <w:t>10,136,672.12</w:t>
            </w:r>
          </w:p>
        </w:tc>
        <w:tc>
          <w:tcPr>
            <w:tcW w:w="904" w:type="pct"/>
            <w:shd w:val="clear" w:color="auto" w:fill="auto"/>
            <w:vAlign w:val="center"/>
          </w:tcPr>
          <w:p w:rsidR="000C5659" w:rsidRDefault="000E33C4">
            <w:pPr>
              <w:jc w:val="right"/>
            </w:pPr>
            <w:r>
              <w:t>2,534,168.03</w:t>
            </w:r>
          </w:p>
        </w:tc>
      </w:tr>
      <w:tr w:rsidR="000C5659">
        <w:trPr>
          <w:trHeight w:val="285"/>
        </w:trPr>
        <w:tc>
          <w:tcPr>
            <w:tcW w:w="1345" w:type="pct"/>
            <w:tcBorders>
              <w:bottom w:val="single" w:sz="4" w:space="0" w:color="auto"/>
            </w:tcBorders>
            <w:shd w:val="clear" w:color="auto" w:fill="auto"/>
            <w:vAlign w:val="center"/>
          </w:tcPr>
          <w:p w:rsidR="000C5659" w:rsidRDefault="000E33C4">
            <w:pPr>
              <w:snapToGrid w:val="0"/>
              <w:rPr>
                <w:color w:val="000000" w:themeColor="text1"/>
              </w:rPr>
            </w:pPr>
            <w:r>
              <w:rPr>
                <w:szCs w:val="18"/>
              </w:rPr>
              <w:t>可抵扣亏损</w:t>
            </w:r>
          </w:p>
        </w:tc>
        <w:tc>
          <w:tcPr>
            <w:tcW w:w="931" w:type="pct"/>
            <w:shd w:val="clear" w:color="auto" w:fill="auto"/>
            <w:vAlign w:val="center"/>
          </w:tcPr>
          <w:p w:rsidR="000C5659" w:rsidRDefault="000E33C4">
            <w:pPr>
              <w:jc w:val="right"/>
              <w:textAlignment w:val="top"/>
            </w:pPr>
            <w:r>
              <w:rPr>
                <w:rFonts w:hint="eastAsia"/>
              </w:rPr>
              <w:t>25,500,975.71</w:t>
            </w:r>
          </w:p>
        </w:tc>
        <w:tc>
          <w:tcPr>
            <w:tcW w:w="905" w:type="pct"/>
            <w:shd w:val="clear" w:color="auto" w:fill="auto"/>
            <w:vAlign w:val="center"/>
          </w:tcPr>
          <w:p w:rsidR="000C5659" w:rsidRDefault="000E33C4">
            <w:pPr>
              <w:jc w:val="right"/>
              <w:textAlignment w:val="top"/>
            </w:pPr>
            <w:r>
              <w:rPr>
                <w:rFonts w:hint="eastAsia"/>
              </w:rPr>
              <w:t>5,730,494.37</w:t>
            </w:r>
          </w:p>
        </w:tc>
        <w:tc>
          <w:tcPr>
            <w:tcW w:w="914" w:type="pct"/>
            <w:shd w:val="clear" w:color="auto" w:fill="auto"/>
            <w:vAlign w:val="center"/>
          </w:tcPr>
          <w:p w:rsidR="000C5659" w:rsidRDefault="000E33C4">
            <w:pPr>
              <w:jc w:val="right"/>
            </w:pPr>
            <w:r>
              <w:t>17,087,921.73</w:t>
            </w:r>
          </w:p>
        </w:tc>
        <w:tc>
          <w:tcPr>
            <w:tcW w:w="904" w:type="pct"/>
            <w:shd w:val="clear" w:color="auto" w:fill="auto"/>
            <w:vAlign w:val="center"/>
          </w:tcPr>
          <w:p w:rsidR="000C5659" w:rsidRDefault="000E33C4">
            <w:pPr>
              <w:jc w:val="right"/>
            </w:pPr>
            <w:r>
              <w:t>3,932,107.30</w:t>
            </w:r>
          </w:p>
        </w:tc>
      </w:tr>
      <w:tr w:rsidR="000C5659">
        <w:trPr>
          <w:trHeight w:val="285"/>
        </w:trPr>
        <w:tc>
          <w:tcPr>
            <w:tcW w:w="1345" w:type="pct"/>
            <w:shd w:val="clear" w:color="auto" w:fill="auto"/>
            <w:vAlign w:val="center"/>
          </w:tcPr>
          <w:p w:rsidR="000C5659" w:rsidRDefault="000E33C4">
            <w:pPr>
              <w:snapToGrid w:val="0"/>
            </w:pPr>
            <w:r>
              <w:rPr>
                <w:szCs w:val="18"/>
              </w:rPr>
              <w:t>股权激励</w:t>
            </w:r>
          </w:p>
        </w:tc>
        <w:tc>
          <w:tcPr>
            <w:tcW w:w="931" w:type="pct"/>
            <w:shd w:val="clear" w:color="auto" w:fill="auto"/>
            <w:vAlign w:val="center"/>
          </w:tcPr>
          <w:p w:rsidR="000C5659" w:rsidRDefault="000E33C4">
            <w:pPr>
              <w:jc w:val="right"/>
              <w:textAlignment w:val="top"/>
            </w:pPr>
            <w:r>
              <w:rPr>
                <w:rFonts w:hint="eastAsia"/>
                <w:color w:val="000000"/>
                <w:lang w:bidi="ar"/>
              </w:rPr>
              <w:t>2,944,504.40</w:t>
            </w:r>
          </w:p>
        </w:tc>
        <w:tc>
          <w:tcPr>
            <w:tcW w:w="905" w:type="pct"/>
            <w:shd w:val="clear" w:color="auto" w:fill="auto"/>
            <w:vAlign w:val="center"/>
          </w:tcPr>
          <w:p w:rsidR="000C5659" w:rsidRDefault="000E33C4">
            <w:pPr>
              <w:jc w:val="right"/>
              <w:textAlignment w:val="top"/>
            </w:pPr>
            <w:r>
              <w:rPr>
                <w:rFonts w:hint="eastAsia"/>
                <w:color w:val="000000"/>
                <w:lang w:bidi="ar"/>
              </w:rPr>
              <w:t>654,654.10</w:t>
            </w:r>
          </w:p>
        </w:tc>
        <w:tc>
          <w:tcPr>
            <w:tcW w:w="914" w:type="pct"/>
            <w:shd w:val="clear" w:color="auto" w:fill="auto"/>
            <w:vAlign w:val="center"/>
          </w:tcPr>
          <w:p w:rsidR="000C5659" w:rsidRDefault="000E33C4">
            <w:pPr>
              <w:jc w:val="right"/>
            </w:pPr>
            <w:r>
              <w:t>2,345,063.90</w:t>
            </w:r>
          </w:p>
        </w:tc>
        <w:tc>
          <w:tcPr>
            <w:tcW w:w="904" w:type="pct"/>
            <w:shd w:val="clear" w:color="auto" w:fill="auto"/>
            <w:vAlign w:val="center"/>
          </w:tcPr>
          <w:p w:rsidR="000C5659" w:rsidRDefault="000E33C4">
            <w:pPr>
              <w:jc w:val="right"/>
            </w:pPr>
            <w:r>
              <w:t>520,559.46</w:t>
            </w:r>
          </w:p>
        </w:tc>
      </w:tr>
      <w:tr w:rsidR="000C5659">
        <w:trPr>
          <w:trHeight w:val="285"/>
        </w:trPr>
        <w:tc>
          <w:tcPr>
            <w:tcW w:w="1345" w:type="pct"/>
            <w:shd w:val="clear" w:color="auto" w:fill="auto"/>
            <w:vAlign w:val="center"/>
          </w:tcPr>
          <w:p w:rsidR="000C5659" w:rsidRDefault="000E33C4">
            <w:pPr>
              <w:snapToGrid w:val="0"/>
            </w:pPr>
            <w:r>
              <w:rPr>
                <w:szCs w:val="18"/>
              </w:rPr>
              <w:t>预提费用及职工薪酬</w:t>
            </w:r>
          </w:p>
        </w:tc>
        <w:tc>
          <w:tcPr>
            <w:tcW w:w="931" w:type="pct"/>
            <w:shd w:val="clear" w:color="auto" w:fill="auto"/>
            <w:vAlign w:val="center"/>
          </w:tcPr>
          <w:p w:rsidR="000C5659" w:rsidRDefault="000E33C4">
            <w:pPr>
              <w:jc w:val="right"/>
              <w:textAlignment w:val="top"/>
            </w:pPr>
            <w:r>
              <w:rPr>
                <w:rFonts w:hint="eastAsia"/>
                <w:color w:val="000000"/>
                <w:lang w:bidi="ar"/>
              </w:rPr>
              <w:t>22,201,578.12</w:t>
            </w:r>
          </w:p>
        </w:tc>
        <w:tc>
          <w:tcPr>
            <w:tcW w:w="905" w:type="pct"/>
            <w:shd w:val="clear" w:color="auto" w:fill="auto"/>
            <w:vAlign w:val="center"/>
          </w:tcPr>
          <w:p w:rsidR="000C5659" w:rsidRDefault="000E33C4">
            <w:pPr>
              <w:jc w:val="right"/>
              <w:textAlignment w:val="top"/>
            </w:pPr>
            <w:r>
              <w:rPr>
                <w:rFonts w:hint="eastAsia"/>
                <w:color w:val="000000"/>
                <w:lang w:bidi="ar"/>
              </w:rPr>
              <w:t xml:space="preserve"> 5,522,409.46 </w:t>
            </w:r>
          </w:p>
        </w:tc>
        <w:tc>
          <w:tcPr>
            <w:tcW w:w="914" w:type="pct"/>
            <w:shd w:val="clear" w:color="auto" w:fill="auto"/>
            <w:vAlign w:val="center"/>
          </w:tcPr>
          <w:p w:rsidR="000C5659" w:rsidRDefault="000E33C4">
            <w:pPr>
              <w:jc w:val="right"/>
            </w:pPr>
            <w:r>
              <w:t>22,209,568.65</w:t>
            </w:r>
          </w:p>
        </w:tc>
        <w:tc>
          <w:tcPr>
            <w:tcW w:w="904" w:type="pct"/>
            <w:shd w:val="clear" w:color="auto" w:fill="auto"/>
            <w:vAlign w:val="center"/>
          </w:tcPr>
          <w:p w:rsidR="000C5659" w:rsidRDefault="000E33C4">
            <w:pPr>
              <w:jc w:val="right"/>
            </w:pPr>
            <w:r>
              <w:t>5,229,495.28</w:t>
            </w:r>
          </w:p>
        </w:tc>
      </w:tr>
      <w:tr w:rsidR="000C5659">
        <w:trPr>
          <w:trHeight w:val="285"/>
        </w:trPr>
        <w:tc>
          <w:tcPr>
            <w:tcW w:w="1345" w:type="pct"/>
            <w:shd w:val="clear" w:color="auto" w:fill="auto"/>
            <w:vAlign w:val="center"/>
          </w:tcPr>
          <w:p w:rsidR="000C5659" w:rsidRDefault="000E33C4">
            <w:pPr>
              <w:snapToGrid w:val="0"/>
              <w:rPr>
                <w:color w:val="000000" w:themeColor="text1"/>
              </w:rPr>
            </w:pPr>
            <w:r>
              <w:rPr>
                <w:szCs w:val="18"/>
              </w:rPr>
              <w:t>金融资产公允价值变动</w:t>
            </w:r>
          </w:p>
        </w:tc>
        <w:tc>
          <w:tcPr>
            <w:tcW w:w="931" w:type="pct"/>
            <w:shd w:val="clear" w:color="auto" w:fill="auto"/>
            <w:vAlign w:val="center"/>
          </w:tcPr>
          <w:p w:rsidR="000C5659" w:rsidRDefault="000E33C4">
            <w:pPr>
              <w:jc w:val="right"/>
              <w:textAlignment w:val="top"/>
            </w:pPr>
            <w:r>
              <w:rPr>
                <w:rFonts w:hint="eastAsia"/>
                <w:color w:val="000000"/>
                <w:lang w:bidi="ar"/>
              </w:rPr>
              <w:t>608,259.02</w:t>
            </w:r>
          </w:p>
        </w:tc>
        <w:tc>
          <w:tcPr>
            <w:tcW w:w="905" w:type="pct"/>
            <w:shd w:val="clear" w:color="auto" w:fill="auto"/>
            <w:vAlign w:val="center"/>
          </w:tcPr>
          <w:p w:rsidR="000C5659" w:rsidRDefault="000E33C4">
            <w:pPr>
              <w:jc w:val="right"/>
              <w:textAlignment w:val="top"/>
            </w:pPr>
            <w:r>
              <w:rPr>
                <w:rFonts w:hint="eastAsia"/>
                <w:color w:val="000000"/>
                <w:lang w:bidi="ar"/>
              </w:rPr>
              <w:t>91,238.85</w:t>
            </w:r>
          </w:p>
        </w:tc>
        <w:tc>
          <w:tcPr>
            <w:tcW w:w="914" w:type="pct"/>
            <w:shd w:val="clear" w:color="auto" w:fill="auto"/>
            <w:vAlign w:val="center"/>
          </w:tcPr>
          <w:p w:rsidR="000C5659" w:rsidRDefault="000E33C4">
            <w:pPr>
              <w:jc w:val="right"/>
            </w:pPr>
            <w:r>
              <w:t>608,259.02</w:t>
            </w:r>
          </w:p>
        </w:tc>
        <w:tc>
          <w:tcPr>
            <w:tcW w:w="904" w:type="pct"/>
            <w:shd w:val="clear" w:color="auto" w:fill="auto"/>
            <w:vAlign w:val="center"/>
          </w:tcPr>
          <w:p w:rsidR="000C5659" w:rsidRDefault="000E33C4">
            <w:pPr>
              <w:jc w:val="right"/>
            </w:pPr>
            <w:r>
              <w:t>91,238.85</w:t>
            </w:r>
          </w:p>
        </w:tc>
      </w:tr>
      <w:tr w:rsidR="000C5659">
        <w:trPr>
          <w:trHeight w:val="285"/>
        </w:trPr>
        <w:tc>
          <w:tcPr>
            <w:tcW w:w="1345" w:type="pct"/>
            <w:shd w:val="clear" w:color="auto" w:fill="auto"/>
            <w:vAlign w:val="center"/>
          </w:tcPr>
          <w:p w:rsidR="000C5659" w:rsidRDefault="000E33C4">
            <w:pPr>
              <w:snapToGrid w:val="0"/>
              <w:rPr>
                <w:color w:val="000000" w:themeColor="text1"/>
              </w:rPr>
            </w:pPr>
            <w:r>
              <w:rPr>
                <w:szCs w:val="18"/>
              </w:rPr>
              <w:t>递延收益暂时性差异</w:t>
            </w:r>
          </w:p>
        </w:tc>
        <w:tc>
          <w:tcPr>
            <w:tcW w:w="931" w:type="pct"/>
            <w:shd w:val="clear" w:color="auto" w:fill="auto"/>
            <w:vAlign w:val="center"/>
          </w:tcPr>
          <w:p w:rsidR="000C5659" w:rsidRDefault="000E33C4">
            <w:pPr>
              <w:jc w:val="right"/>
              <w:textAlignment w:val="top"/>
            </w:pPr>
            <w:r>
              <w:rPr>
                <w:rFonts w:hint="eastAsia"/>
                <w:color w:val="000000"/>
                <w:lang w:bidi="ar"/>
              </w:rPr>
              <w:t>8,072,854.08</w:t>
            </w:r>
          </w:p>
        </w:tc>
        <w:tc>
          <w:tcPr>
            <w:tcW w:w="905" w:type="pct"/>
            <w:shd w:val="clear" w:color="auto" w:fill="auto"/>
            <w:vAlign w:val="center"/>
          </w:tcPr>
          <w:p w:rsidR="000C5659" w:rsidRDefault="000E33C4">
            <w:pPr>
              <w:jc w:val="right"/>
              <w:textAlignment w:val="top"/>
            </w:pPr>
            <w:r>
              <w:rPr>
                <w:rFonts w:hint="eastAsia"/>
                <w:color w:val="000000"/>
                <w:lang w:bidi="ar"/>
              </w:rPr>
              <w:t>1,642,227.04</w:t>
            </w:r>
          </w:p>
        </w:tc>
        <w:tc>
          <w:tcPr>
            <w:tcW w:w="914" w:type="pct"/>
            <w:shd w:val="clear" w:color="auto" w:fill="auto"/>
            <w:vAlign w:val="center"/>
          </w:tcPr>
          <w:p w:rsidR="000C5659" w:rsidRDefault="000E33C4">
            <w:pPr>
              <w:jc w:val="right"/>
            </w:pPr>
            <w:r>
              <w:t>6,513,666.02</w:t>
            </w:r>
          </w:p>
        </w:tc>
        <w:tc>
          <w:tcPr>
            <w:tcW w:w="904" w:type="pct"/>
            <w:shd w:val="clear" w:color="auto" w:fill="auto"/>
            <w:vAlign w:val="center"/>
          </w:tcPr>
          <w:p w:rsidR="000C5659" w:rsidRDefault="000E33C4">
            <w:pPr>
              <w:jc w:val="right"/>
            </w:pPr>
            <w:r>
              <w:t>1,435,768.37</w:t>
            </w:r>
          </w:p>
        </w:tc>
      </w:tr>
      <w:tr w:rsidR="000C5659">
        <w:trPr>
          <w:trHeight w:val="285"/>
        </w:trPr>
        <w:tc>
          <w:tcPr>
            <w:tcW w:w="1345" w:type="pct"/>
            <w:shd w:val="clear" w:color="auto" w:fill="auto"/>
            <w:vAlign w:val="center"/>
          </w:tcPr>
          <w:p w:rsidR="000C5659" w:rsidRDefault="000E33C4">
            <w:pPr>
              <w:snapToGrid w:val="0"/>
              <w:rPr>
                <w:color w:val="000000" w:themeColor="text1"/>
              </w:rPr>
            </w:pPr>
            <w:r>
              <w:rPr>
                <w:szCs w:val="18"/>
              </w:rPr>
              <w:t>预计其他权益持有人的收益</w:t>
            </w:r>
          </w:p>
        </w:tc>
        <w:tc>
          <w:tcPr>
            <w:tcW w:w="931" w:type="pct"/>
            <w:shd w:val="clear" w:color="auto" w:fill="auto"/>
            <w:vAlign w:val="center"/>
          </w:tcPr>
          <w:p w:rsidR="000C5659" w:rsidRDefault="000E33C4">
            <w:pPr>
              <w:jc w:val="right"/>
              <w:textAlignment w:val="top"/>
            </w:pPr>
            <w:r>
              <w:rPr>
                <w:rFonts w:hint="eastAsia"/>
                <w:color w:val="000000"/>
                <w:lang w:bidi="ar"/>
              </w:rPr>
              <w:t>15,720,000.00</w:t>
            </w:r>
          </w:p>
        </w:tc>
        <w:tc>
          <w:tcPr>
            <w:tcW w:w="905" w:type="pct"/>
            <w:shd w:val="clear" w:color="auto" w:fill="auto"/>
            <w:vAlign w:val="center"/>
          </w:tcPr>
          <w:p w:rsidR="000C5659" w:rsidRDefault="000E33C4">
            <w:pPr>
              <w:jc w:val="right"/>
              <w:textAlignment w:val="top"/>
            </w:pPr>
            <w:r>
              <w:rPr>
                <w:rFonts w:hint="eastAsia"/>
                <w:color w:val="000000"/>
                <w:lang w:bidi="ar"/>
              </w:rPr>
              <w:t>3,396,000.00</w:t>
            </w:r>
          </w:p>
        </w:tc>
        <w:tc>
          <w:tcPr>
            <w:tcW w:w="914" w:type="pct"/>
            <w:shd w:val="clear" w:color="auto" w:fill="auto"/>
            <w:vAlign w:val="center"/>
          </w:tcPr>
          <w:p w:rsidR="000C5659" w:rsidRDefault="000E33C4">
            <w:pPr>
              <w:jc w:val="right"/>
            </w:pPr>
            <w:r>
              <w:t>15,720,000.00</w:t>
            </w:r>
          </w:p>
        </w:tc>
        <w:tc>
          <w:tcPr>
            <w:tcW w:w="904" w:type="pct"/>
            <w:shd w:val="clear" w:color="auto" w:fill="auto"/>
            <w:vAlign w:val="center"/>
          </w:tcPr>
          <w:p w:rsidR="000C5659" w:rsidRDefault="000E33C4">
            <w:pPr>
              <w:jc w:val="right"/>
            </w:pPr>
            <w:r>
              <w:t>3,396,000.00</w:t>
            </w:r>
          </w:p>
        </w:tc>
      </w:tr>
      <w:tr w:rsidR="000C5659">
        <w:trPr>
          <w:trHeight w:val="90"/>
        </w:trPr>
        <w:tc>
          <w:tcPr>
            <w:tcW w:w="1345" w:type="pct"/>
            <w:shd w:val="clear" w:color="auto" w:fill="auto"/>
            <w:vAlign w:val="center"/>
          </w:tcPr>
          <w:p w:rsidR="000C5659" w:rsidRDefault="000E33C4">
            <w:pPr>
              <w:snapToGrid w:val="0"/>
              <w:rPr>
                <w:color w:val="000000" w:themeColor="text1"/>
              </w:rPr>
            </w:pPr>
            <w:r>
              <w:rPr>
                <w:rFonts w:hint="eastAsia"/>
                <w:color w:val="000000" w:themeColor="text1"/>
              </w:rPr>
              <w:t>租赁负债</w:t>
            </w:r>
          </w:p>
        </w:tc>
        <w:tc>
          <w:tcPr>
            <w:tcW w:w="931" w:type="pct"/>
            <w:shd w:val="clear" w:color="auto" w:fill="auto"/>
            <w:vAlign w:val="center"/>
          </w:tcPr>
          <w:p w:rsidR="000C5659" w:rsidRDefault="000E33C4">
            <w:pPr>
              <w:jc w:val="right"/>
              <w:textAlignment w:val="top"/>
            </w:pPr>
            <w:r>
              <w:rPr>
                <w:rFonts w:hint="eastAsia"/>
                <w:color w:val="000000"/>
                <w:lang w:bidi="ar"/>
              </w:rPr>
              <w:t>3,572,880.91</w:t>
            </w:r>
          </w:p>
        </w:tc>
        <w:tc>
          <w:tcPr>
            <w:tcW w:w="905" w:type="pct"/>
            <w:shd w:val="clear" w:color="auto" w:fill="auto"/>
            <w:vAlign w:val="center"/>
          </w:tcPr>
          <w:p w:rsidR="000C5659" w:rsidRDefault="000E33C4">
            <w:pPr>
              <w:jc w:val="right"/>
              <w:textAlignment w:val="top"/>
            </w:pPr>
            <w:r>
              <w:rPr>
                <w:rFonts w:hint="eastAsia"/>
                <w:color w:val="000000"/>
                <w:lang w:bidi="ar"/>
              </w:rPr>
              <w:t>535,932.14</w:t>
            </w:r>
          </w:p>
        </w:tc>
        <w:tc>
          <w:tcPr>
            <w:tcW w:w="914" w:type="pct"/>
            <w:shd w:val="clear" w:color="auto" w:fill="auto"/>
            <w:vAlign w:val="center"/>
          </w:tcPr>
          <w:p w:rsidR="000C5659" w:rsidRDefault="000C5659">
            <w:pPr>
              <w:jc w:val="right"/>
            </w:pPr>
          </w:p>
        </w:tc>
        <w:tc>
          <w:tcPr>
            <w:tcW w:w="904" w:type="pct"/>
            <w:shd w:val="clear" w:color="auto" w:fill="auto"/>
            <w:vAlign w:val="center"/>
          </w:tcPr>
          <w:p w:rsidR="000C5659" w:rsidRDefault="000C5659">
            <w:pPr>
              <w:jc w:val="right"/>
            </w:pPr>
          </w:p>
        </w:tc>
      </w:tr>
      <w:tr w:rsidR="000C5659">
        <w:trPr>
          <w:trHeight w:val="285"/>
        </w:trPr>
        <w:tc>
          <w:tcPr>
            <w:tcW w:w="1345" w:type="pct"/>
            <w:shd w:val="clear" w:color="auto" w:fill="auto"/>
            <w:vAlign w:val="center"/>
          </w:tcPr>
          <w:p w:rsidR="000C5659" w:rsidRDefault="000E33C4">
            <w:pPr>
              <w:jc w:val="center"/>
              <w:rPr>
                <w:color w:val="000000" w:themeColor="text1"/>
              </w:rPr>
            </w:pPr>
            <w:r>
              <w:rPr>
                <w:szCs w:val="18"/>
              </w:rPr>
              <w:t>合计</w:t>
            </w:r>
          </w:p>
        </w:tc>
        <w:tc>
          <w:tcPr>
            <w:tcW w:w="1686" w:type="dxa"/>
            <w:shd w:val="clear" w:color="auto" w:fill="auto"/>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107,750,842.70 </w:t>
            </w:r>
          </w:p>
        </w:tc>
        <w:tc>
          <w:tcPr>
            <w:tcW w:w="1638" w:type="dxa"/>
            <w:shd w:val="clear" w:color="auto" w:fill="auto"/>
            <w:vAlign w:val="bottom"/>
          </w:tcPr>
          <w:p w:rsidR="000C5659" w:rsidRDefault="000E33C4">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24,069,976.28 </w:t>
            </w:r>
          </w:p>
        </w:tc>
        <w:tc>
          <w:tcPr>
            <w:tcW w:w="914" w:type="pct"/>
            <w:shd w:val="clear" w:color="auto" w:fill="auto"/>
            <w:vAlign w:val="center"/>
          </w:tcPr>
          <w:p w:rsidR="000C5659" w:rsidRDefault="000E33C4">
            <w:pPr>
              <w:jc w:val="right"/>
            </w:pPr>
            <w:r>
              <w:t>88,750,182.05</w:t>
            </w:r>
          </w:p>
        </w:tc>
        <w:tc>
          <w:tcPr>
            <w:tcW w:w="904" w:type="pct"/>
            <w:shd w:val="clear" w:color="auto" w:fill="auto"/>
            <w:vAlign w:val="center"/>
          </w:tcPr>
          <w:p w:rsidR="000C5659" w:rsidRDefault="000E33C4">
            <w:pPr>
              <w:jc w:val="right"/>
            </w:pPr>
            <w:r>
              <w:t>20,283,174.67</w:t>
            </w:r>
          </w:p>
        </w:tc>
      </w:tr>
    </w:tbl>
    <w:p w:rsidR="000C5659" w:rsidRDefault="000C5659">
      <w:pPr>
        <w:pStyle w:val="Style325"/>
      </w:pPr>
    </w:p>
    <w:p w:rsidR="000C5659" w:rsidRDefault="000E33C4" w:rsidP="000743DD">
      <w:pPr>
        <w:pStyle w:val="43"/>
        <w:numPr>
          <w:ilvl w:val="0"/>
          <w:numId w:val="75"/>
        </w:numPr>
        <w:tabs>
          <w:tab w:val="left" w:pos="588"/>
          <w:tab w:val="left" w:pos="616"/>
        </w:tabs>
        <w:rPr>
          <w:rFonts w:ascii="宋体" w:hAnsi="宋体"/>
          <w:color w:val="000000" w:themeColor="text1"/>
        </w:rPr>
      </w:pPr>
      <w:bookmarkStart w:id="294" w:name="_Hlk11160621"/>
      <w:r>
        <w:rPr>
          <w:rFonts w:ascii="宋体" w:hAnsi="宋体" w:hint="eastAsia"/>
          <w:color w:val="000000" w:themeColor="text1"/>
        </w:rPr>
        <w:t>未经抵销的递延所得税负债</w:t>
      </w:r>
    </w:p>
    <w:sdt>
      <w:sdtPr>
        <w:rPr>
          <w:color w:val="000000" w:themeColor="text1"/>
        </w:rPr>
        <w:alias w:val="是否适用：未经抵销的递延所得税负债[双击切换]"/>
        <w:tag w:val="_GBC_e9cf2825b61d4a9ca57e90c2ed017173"/>
        <w:id w:val="-38008808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未经抵销的递延所得税负债"/>
          <w:tag w:val="_GBC_7fa4a7048e284eb79ceb0dee5165516f"/>
          <w:id w:val="-8904135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未经抵销的递延所得税负债"/>
          <w:tag w:val="_GBC_85beae3a7d624858bfe37a33da15472b"/>
          <w:id w:val="6989017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686"/>
        <w:gridCol w:w="1583"/>
        <w:gridCol w:w="1686"/>
        <w:gridCol w:w="1595"/>
      </w:tblGrid>
      <w:tr w:rsidR="000C5659">
        <w:trPr>
          <w:trHeight w:val="285"/>
          <w:jc w:val="center"/>
        </w:trPr>
        <w:bookmarkStart w:id="295" w:name="_Hlk11857349" w:displacedByCustomXml="next"/>
        <w:sdt>
          <w:sdtPr>
            <w:rPr>
              <w:color w:val="000000" w:themeColor="text1"/>
            </w:rPr>
            <w:tag w:val="_PLD_66ef6111bb2d4b3792b581d6ff38c8d2"/>
            <w:id w:val="-1382010377"/>
          </w:sdtPr>
          <w:sdtEndPr/>
          <w:sdtContent>
            <w:tc>
              <w:tcPr>
                <w:tcW w:w="1304" w:type="pct"/>
                <w:vMerge w:val="restar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b850d4f63866495f80e69799c9ea1b37"/>
            <w:id w:val="862555882"/>
          </w:sdtPr>
          <w:sdtEndPr/>
          <w:sdtContent>
            <w:tc>
              <w:tcPr>
                <w:tcW w:w="1845" w:type="pct"/>
                <w:gridSpan w:val="2"/>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951c3eee882c4aaa862f620814f6ce4e"/>
            <w:id w:val="181945068"/>
          </w:sdtPr>
          <w:sdtEndPr/>
          <w:sdtContent>
            <w:tc>
              <w:tcPr>
                <w:tcW w:w="1851" w:type="pct"/>
                <w:gridSpan w:val="2"/>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trHeight w:val="285"/>
          <w:jc w:val="center"/>
        </w:trPr>
        <w:tc>
          <w:tcPr>
            <w:tcW w:w="1304" w:type="pct"/>
            <w:vMerge/>
            <w:shd w:val="clear" w:color="auto" w:fill="auto"/>
            <w:vAlign w:val="center"/>
          </w:tcPr>
          <w:p w:rsidR="000C5659" w:rsidRDefault="000C5659">
            <w:pPr>
              <w:jc w:val="center"/>
              <w:rPr>
                <w:b/>
                <w:color w:val="000000" w:themeColor="text1"/>
              </w:rPr>
            </w:pPr>
          </w:p>
        </w:tc>
        <w:sdt>
          <w:sdtPr>
            <w:rPr>
              <w:color w:val="000000" w:themeColor="text1"/>
            </w:rPr>
            <w:tag w:val="_PLD_f33e3c528ff14a2bac81ec99970641f6"/>
            <w:id w:val="-1132319136"/>
          </w:sdtPr>
          <w:sdtEndPr/>
          <w:sdtContent>
            <w:tc>
              <w:tcPr>
                <w:tcW w:w="932" w:type="pct"/>
                <w:shd w:val="clear" w:color="auto" w:fill="auto"/>
                <w:vAlign w:val="center"/>
              </w:tcPr>
              <w:p w:rsidR="000C5659" w:rsidRDefault="000E33C4">
                <w:pPr>
                  <w:jc w:val="center"/>
                  <w:rPr>
                    <w:color w:val="000000" w:themeColor="text1"/>
                  </w:rPr>
                </w:pPr>
                <w:r>
                  <w:rPr>
                    <w:rFonts w:hint="eastAsia"/>
                    <w:color w:val="000000" w:themeColor="text1"/>
                  </w:rPr>
                  <w:t>应纳税暂时性差异</w:t>
                </w:r>
              </w:p>
            </w:tc>
          </w:sdtContent>
        </w:sdt>
        <w:sdt>
          <w:sdtPr>
            <w:rPr>
              <w:color w:val="000000" w:themeColor="text1"/>
            </w:rPr>
            <w:tag w:val="_PLD_0cb734f9904e4a57a5107d601b9b38d1"/>
            <w:id w:val="1857228913"/>
          </w:sdtPr>
          <w:sdtEndPr/>
          <w:sdtContent>
            <w:tc>
              <w:tcPr>
                <w:tcW w:w="913" w:type="pct"/>
                <w:shd w:val="clear" w:color="auto" w:fill="auto"/>
                <w:vAlign w:val="center"/>
              </w:tcPr>
              <w:p w:rsidR="000C5659" w:rsidRDefault="000E33C4">
                <w:pPr>
                  <w:jc w:val="center"/>
                  <w:rPr>
                    <w:color w:val="000000" w:themeColor="text1"/>
                  </w:rPr>
                </w:pPr>
                <w:r>
                  <w:rPr>
                    <w:rFonts w:hint="eastAsia"/>
                    <w:color w:val="000000" w:themeColor="text1"/>
                  </w:rPr>
                  <w:t>递延所得税</w:t>
                </w:r>
              </w:p>
              <w:p w:rsidR="000C5659" w:rsidRDefault="000E33C4">
                <w:pPr>
                  <w:jc w:val="center"/>
                  <w:rPr>
                    <w:color w:val="000000" w:themeColor="text1"/>
                  </w:rPr>
                </w:pPr>
                <w:r>
                  <w:rPr>
                    <w:rFonts w:hint="eastAsia"/>
                    <w:color w:val="000000" w:themeColor="text1"/>
                  </w:rPr>
                  <w:t>负债</w:t>
                </w:r>
              </w:p>
            </w:tc>
          </w:sdtContent>
        </w:sdt>
        <w:sdt>
          <w:sdtPr>
            <w:rPr>
              <w:color w:val="000000" w:themeColor="text1"/>
            </w:rPr>
            <w:tag w:val="_PLD_ddf3980c66a840e782386c14bb078052"/>
            <w:id w:val="-92636270"/>
          </w:sdtPr>
          <w:sdtEndPr/>
          <w:sdtContent>
            <w:tc>
              <w:tcPr>
                <w:tcW w:w="932" w:type="pct"/>
                <w:shd w:val="clear" w:color="auto" w:fill="auto"/>
                <w:vAlign w:val="center"/>
              </w:tcPr>
              <w:p w:rsidR="000C5659" w:rsidRDefault="000E33C4">
                <w:pPr>
                  <w:jc w:val="center"/>
                  <w:rPr>
                    <w:color w:val="000000" w:themeColor="text1"/>
                  </w:rPr>
                </w:pPr>
                <w:r>
                  <w:rPr>
                    <w:rFonts w:hint="eastAsia"/>
                    <w:color w:val="000000" w:themeColor="text1"/>
                  </w:rPr>
                  <w:t>应纳税暂时性差异</w:t>
                </w:r>
              </w:p>
            </w:tc>
          </w:sdtContent>
        </w:sdt>
        <w:sdt>
          <w:sdtPr>
            <w:rPr>
              <w:color w:val="000000" w:themeColor="text1"/>
            </w:rPr>
            <w:tag w:val="_PLD_590dc17e8304449fbff47c3b3cd45eb5"/>
            <w:id w:val="-486316410"/>
          </w:sdtPr>
          <w:sdtEndPr/>
          <w:sdtContent>
            <w:tc>
              <w:tcPr>
                <w:tcW w:w="919" w:type="pct"/>
                <w:shd w:val="clear" w:color="auto" w:fill="auto"/>
                <w:vAlign w:val="center"/>
              </w:tcPr>
              <w:p w:rsidR="000C5659" w:rsidRDefault="000E33C4">
                <w:pPr>
                  <w:jc w:val="center"/>
                  <w:rPr>
                    <w:color w:val="000000" w:themeColor="text1"/>
                  </w:rPr>
                </w:pPr>
                <w:r>
                  <w:rPr>
                    <w:rFonts w:hint="eastAsia"/>
                    <w:color w:val="000000" w:themeColor="text1"/>
                  </w:rPr>
                  <w:t>递延所得税</w:t>
                </w:r>
              </w:p>
              <w:p w:rsidR="000C5659" w:rsidRDefault="000E33C4">
                <w:pPr>
                  <w:jc w:val="center"/>
                  <w:rPr>
                    <w:color w:val="000000" w:themeColor="text1"/>
                  </w:rPr>
                </w:pPr>
                <w:r>
                  <w:rPr>
                    <w:rFonts w:hint="eastAsia"/>
                    <w:color w:val="000000" w:themeColor="text1"/>
                  </w:rPr>
                  <w:t>负债</w:t>
                </w:r>
              </w:p>
            </w:tc>
          </w:sdtContent>
        </w:sdt>
      </w:tr>
      <w:tr w:rsidR="000C5659">
        <w:trPr>
          <w:trHeight w:val="285"/>
          <w:jc w:val="center"/>
        </w:trPr>
        <w:tc>
          <w:tcPr>
            <w:tcW w:w="1304" w:type="pct"/>
            <w:shd w:val="clear" w:color="auto" w:fill="auto"/>
          </w:tcPr>
          <w:p w:rsidR="000C5659" w:rsidRDefault="000E33C4">
            <w:pPr>
              <w:textAlignment w:val="top"/>
              <w:rPr>
                <w:color w:val="000000" w:themeColor="text1"/>
              </w:rPr>
            </w:pPr>
            <w:r>
              <w:rPr>
                <w:rFonts w:hint="eastAsia"/>
                <w:color w:val="000000"/>
                <w:lang w:bidi="ar"/>
              </w:rPr>
              <w:lastRenderedPageBreak/>
              <w:t>非同一控制企业合并资产公允价值高于计税基础产生的应纳税暂时性差异</w:t>
            </w:r>
          </w:p>
        </w:tc>
        <w:tc>
          <w:tcPr>
            <w:tcW w:w="932" w:type="pct"/>
            <w:shd w:val="clear" w:color="auto" w:fill="auto"/>
            <w:vAlign w:val="center"/>
          </w:tcPr>
          <w:p w:rsidR="000C5659" w:rsidRDefault="000E33C4">
            <w:pPr>
              <w:jc w:val="right"/>
              <w:textAlignment w:val="top"/>
            </w:pPr>
            <w:r>
              <w:rPr>
                <w:rFonts w:hint="eastAsia"/>
                <w:color w:val="000000"/>
              </w:rPr>
              <w:t xml:space="preserve">17,727,803.33 </w:t>
            </w:r>
          </w:p>
        </w:tc>
        <w:tc>
          <w:tcPr>
            <w:tcW w:w="913" w:type="pct"/>
            <w:shd w:val="clear" w:color="auto" w:fill="auto"/>
            <w:vAlign w:val="center"/>
          </w:tcPr>
          <w:p w:rsidR="000C5659" w:rsidRDefault="000E33C4">
            <w:pPr>
              <w:jc w:val="right"/>
              <w:textAlignment w:val="top"/>
            </w:pPr>
            <w:r>
              <w:rPr>
                <w:rFonts w:hint="eastAsia"/>
                <w:color w:val="000000"/>
              </w:rPr>
              <w:t xml:space="preserve">3,690,579.37 </w:t>
            </w:r>
          </w:p>
        </w:tc>
        <w:tc>
          <w:tcPr>
            <w:tcW w:w="932" w:type="pct"/>
            <w:shd w:val="clear" w:color="auto" w:fill="auto"/>
            <w:vAlign w:val="center"/>
          </w:tcPr>
          <w:p w:rsidR="000C5659" w:rsidRDefault="000C5659">
            <w:pPr>
              <w:jc w:val="right"/>
            </w:pPr>
          </w:p>
        </w:tc>
        <w:tc>
          <w:tcPr>
            <w:tcW w:w="919" w:type="pct"/>
            <w:shd w:val="clear" w:color="auto" w:fill="auto"/>
            <w:vAlign w:val="center"/>
          </w:tcPr>
          <w:p w:rsidR="000C5659" w:rsidRDefault="000C5659">
            <w:pPr>
              <w:jc w:val="right"/>
            </w:pPr>
          </w:p>
        </w:tc>
      </w:tr>
      <w:tr w:rsidR="000C5659">
        <w:trPr>
          <w:trHeight w:val="285"/>
          <w:jc w:val="center"/>
        </w:trPr>
        <w:tc>
          <w:tcPr>
            <w:tcW w:w="1304" w:type="pct"/>
            <w:shd w:val="clear" w:color="auto" w:fill="auto"/>
          </w:tcPr>
          <w:p w:rsidR="000C5659" w:rsidRDefault="000E33C4">
            <w:pPr>
              <w:textAlignment w:val="top"/>
              <w:rPr>
                <w:color w:val="000000" w:themeColor="text1"/>
              </w:rPr>
            </w:pPr>
            <w:r>
              <w:rPr>
                <w:rFonts w:hint="eastAsia"/>
              </w:rPr>
              <w:t>购买少数股东股权远期收购义务确定的长期应付款计税基础于账面价值的差异</w:t>
            </w:r>
          </w:p>
        </w:tc>
        <w:tc>
          <w:tcPr>
            <w:tcW w:w="932" w:type="pct"/>
            <w:shd w:val="clear" w:color="auto" w:fill="auto"/>
            <w:vAlign w:val="center"/>
          </w:tcPr>
          <w:p w:rsidR="000C5659" w:rsidRDefault="000E33C4">
            <w:pPr>
              <w:jc w:val="right"/>
              <w:textAlignment w:val="top"/>
            </w:pPr>
            <w:r>
              <w:rPr>
                <w:rFonts w:hint="eastAsia"/>
                <w:color w:val="000000"/>
              </w:rPr>
              <w:t xml:space="preserve">24,674,606.08 </w:t>
            </w:r>
          </w:p>
        </w:tc>
        <w:tc>
          <w:tcPr>
            <w:tcW w:w="913" w:type="pct"/>
            <w:shd w:val="clear" w:color="auto" w:fill="auto"/>
            <w:vAlign w:val="center"/>
          </w:tcPr>
          <w:p w:rsidR="000C5659" w:rsidRDefault="000E33C4">
            <w:pPr>
              <w:jc w:val="right"/>
              <w:textAlignment w:val="top"/>
            </w:pPr>
            <w:r>
              <w:rPr>
                <w:rFonts w:hint="eastAsia"/>
                <w:color w:val="000000"/>
              </w:rPr>
              <w:t xml:space="preserve">6,168,651.52 </w:t>
            </w:r>
          </w:p>
        </w:tc>
        <w:tc>
          <w:tcPr>
            <w:tcW w:w="932" w:type="pct"/>
            <w:shd w:val="clear" w:color="auto" w:fill="auto"/>
            <w:vAlign w:val="center"/>
          </w:tcPr>
          <w:p w:rsidR="000C5659" w:rsidRDefault="000C5659">
            <w:pPr>
              <w:jc w:val="right"/>
            </w:pPr>
          </w:p>
        </w:tc>
        <w:tc>
          <w:tcPr>
            <w:tcW w:w="919" w:type="pct"/>
            <w:shd w:val="clear" w:color="auto" w:fill="auto"/>
            <w:vAlign w:val="center"/>
          </w:tcPr>
          <w:p w:rsidR="000C5659" w:rsidRDefault="000C5659">
            <w:pPr>
              <w:jc w:val="right"/>
            </w:pPr>
          </w:p>
        </w:tc>
      </w:tr>
      <w:tr w:rsidR="000C5659">
        <w:trPr>
          <w:trHeight w:val="285"/>
          <w:jc w:val="center"/>
        </w:trPr>
        <w:tc>
          <w:tcPr>
            <w:tcW w:w="1304" w:type="pct"/>
            <w:shd w:val="clear" w:color="auto" w:fill="auto"/>
          </w:tcPr>
          <w:p w:rsidR="000C5659" w:rsidRDefault="000E33C4">
            <w:pPr>
              <w:textAlignment w:val="top"/>
              <w:rPr>
                <w:color w:val="000000" w:themeColor="text1"/>
              </w:rPr>
            </w:pPr>
            <w:r>
              <w:rPr>
                <w:rFonts w:hint="eastAsia"/>
              </w:rPr>
              <w:t>业绩补偿确认的交易性金融资产计税基础与账面价值的差异</w:t>
            </w:r>
          </w:p>
        </w:tc>
        <w:tc>
          <w:tcPr>
            <w:tcW w:w="932" w:type="pct"/>
            <w:shd w:val="clear" w:color="auto" w:fill="auto"/>
            <w:vAlign w:val="center"/>
          </w:tcPr>
          <w:p w:rsidR="000C5659" w:rsidRDefault="000E33C4">
            <w:pPr>
              <w:jc w:val="right"/>
              <w:textAlignment w:val="top"/>
            </w:pPr>
            <w:r>
              <w:rPr>
                <w:rFonts w:hint="eastAsia"/>
                <w:color w:val="000000"/>
              </w:rPr>
              <w:t xml:space="preserve">38,200,000.00 </w:t>
            </w:r>
          </w:p>
        </w:tc>
        <w:tc>
          <w:tcPr>
            <w:tcW w:w="913" w:type="pct"/>
            <w:shd w:val="clear" w:color="auto" w:fill="auto"/>
            <w:vAlign w:val="center"/>
          </w:tcPr>
          <w:p w:rsidR="000C5659" w:rsidRDefault="000E33C4">
            <w:pPr>
              <w:jc w:val="right"/>
              <w:textAlignment w:val="top"/>
            </w:pPr>
            <w:r>
              <w:rPr>
                <w:rFonts w:hint="eastAsia"/>
                <w:color w:val="000000"/>
              </w:rPr>
              <w:t xml:space="preserve">9,550,000.00 </w:t>
            </w:r>
          </w:p>
        </w:tc>
        <w:tc>
          <w:tcPr>
            <w:tcW w:w="932" w:type="pct"/>
            <w:shd w:val="clear" w:color="auto" w:fill="auto"/>
            <w:vAlign w:val="center"/>
          </w:tcPr>
          <w:p w:rsidR="000C5659" w:rsidRDefault="000C5659">
            <w:pPr>
              <w:jc w:val="right"/>
            </w:pPr>
          </w:p>
        </w:tc>
        <w:tc>
          <w:tcPr>
            <w:tcW w:w="919" w:type="pct"/>
            <w:shd w:val="clear" w:color="auto" w:fill="auto"/>
            <w:vAlign w:val="center"/>
          </w:tcPr>
          <w:p w:rsidR="000C5659" w:rsidRDefault="000C5659">
            <w:pPr>
              <w:jc w:val="right"/>
            </w:pPr>
          </w:p>
        </w:tc>
      </w:tr>
      <w:tr w:rsidR="000C5659">
        <w:trPr>
          <w:trHeight w:val="285"/>
          <w:jc w:val="center"/>
        </w:trPr>
        <w:tc>
          <w:tcPr>
            <w:tcW w:w="1304" w:type="pct"/>
            <w:shd w:val="clear" w:color="auto" w:fill="auto"/>
            <w:vAlign w:val="center"/>
          </w:tcPr>
          <w:p w:rsidR="000C5659" w:rsidRDefault="000E33C4">
            <w:pPr>
              <w:textAlignment w:val="center"/>
              <w:rPr>
                <w:color w:val="000000" w:themeColor="text1"/>
              </w:rPr>
            </w:pPr>
            <w:r>
              <w:rPr>
                <w:rFonts w:hint="eastAsia"/>
                <w:color w:val="000000"/>
                <w:lang w:bidi="ar"/>
              </w:rPr>
              <w:t>固定资产加速折旧差额</w:t>
            </w:r>
          </w:p>
        </w:tc>
        <w:tc>
          <w:tcPr>
            <w:tcW w:w="932" w:type="pct"/>
            <w:shd w:val="clear" w:color="auto" w:fill="auto"/>
            <w:vAlign w:val="center"/>
          </w:tcPr>
          <w:p w:rsidR="000C5659" w:rsidRDefault="000E33C4">
            <w:pPr>
              <w:jc w:val="right"/>
              <w:textAlignment w:val="top"/>
            </w:pPr>
            <w:r>
              <w:rPr>
                <w:color w:val="000000"/>
              </w:rPr>
              <w:t>135,385,689.28</w:t>
            </w:r>
          </w:p>
        </w:tc>
        <w:tc>
          <w:tcPr>
            <w:tcW w:w="913" w:type="pct"/>
            <w:shd w:val="clear" w:color="auto" w:fill="auto"/>
            <w:vAlign w:val="center"/>
          </w:tcPr>
          <w:p w:rsidR="000C5659" w:rsidRDefault="000E33C4">
            <w:pPr>
              <w:jc w:val="right"/>
              <w:textAlignment w:val="top"/>
            </w:pPr>
            <w:r>
              <w:rPr>
                <w:rFonts w:hint="eastAsia"/>
                <w:color w:val="000000"/>
              </w:rPr>
              <w:t xml:space="preserve">28,734,594.46 </w:t>
            </w:r>
          </w:p>
        </w:tc>
        <w:tc>
          <w:tcPr>
            <w:tcW w:w="932" w:type="pct"/>
            <w:shd w:val="clear" w:color="auto" w:fill="auto"/>
            <w:vAlign w:val="center"/>
          </w:tcPr>
          <w:p w:rsidR="000C5659" w:rsidRDefault="000E33C4">
            <w:pPr>
              <w:jc w:val="right"/>
              <w:textAlignment w:val="top"/>
            </w:pPr>
            <w:r>
              <w:rPr>
                <w:rFonts w:hint="eastAsia"/>
                <w:color w:val="000000"/>
                <w:lang w:bidi="ar"/>
              </w:rPr>
              <w:t xml:space="preserve"> 126,091,901.84 </w:t>
            </w:r>
          </w:p>
        </w:tc>
        <w:tc>
          <w:tcPr>
            <w:tcW w:w="919" w:type="pct"/>
            <w:shd w:val="clear" w:color="auto" w:fill="auto"/>
            <w:vAlign w:val="center"/>
          </w:tcPr>
          <w:p w:rsidR="000C5659" w:rsidRDefault="000E33C4">
            <w:pPr>
              <w:jc w:val="right"/>
              <w:textAlignment w:val="top"/>
            </w:pPr>
            <w:r>
              <w:rPr>
                <w:rFonts w:hint="eastAsia"/>
                <w:color w:val="000000"/>
                <w:lang w:bidi="ar"/>
              </w:rPr>
              <w:t xml:space="preserve"> 26,551,630.03 </w:t>
            </w:r>
          </w:p>
        </w:tc>
      </w:tr>
      <w:tr w:rsidR="000C5659">
        <w:trPr>
          <w:trHeight w:val="285"/>
          <w:jc w:val="center"/>
        </w:trPr>
        <w:tc>
          <w:tcPr>
            <w:tcW w:w="1304" w:type="pct"/>
            <w:shd w:val="clear" w:color="auto" w:fill="auto"/>
            <w:vAlign w:val="center"/>
          </w:tcPr>
          <w:p w:rsidR="000C5659" w:rsidRDefault="000E33C4">
            <w:pPr>
              <w:textAlignment w:val="center"/>
              <w:rPr>
                <w:color w:val="000000" w:themeColor="text1"/>
              </w:rPr>
            </w:pPr>
            <w:r>
              <w:rPr>
                <w:rFonts w:hint="eastAsia"/>
                <w:color w:val="000000"/>
                <w:lang w:bidi="ar"/>
              </w:rPr>
              <w:t>金融资产公允价值变动</w:t>
            </w:r>
          </w:p>
        </w:tc>
        <w:tc>
          <w:tcPr>
            <w:tcW w:w="932" w:type="pct"/>
            <w:shd w:val="clear" w:color="auto" w:fill="auto"/>
            <w:vAlign w:val="center"/>
          </w:tcPr>
          <w:p w:rsidR="000C5659" w:rsidRDefault="000E33C4">
            <w:pPr>
              <w:jc w:val="right"/>
              <w:rPr>
                <w:color w:val="000000"/>
              </w:rPr>
            </w:pPr>
            <w:r>
              <w:rPr>
                <w:rFonts w:hint="eastAsia"/>
                <w:color w:val="000000"/>
              </w:rPr>
              <w:t xml:space="preserve">6,858,441.73 </w:t>
            </w:r>
          </w:p>
        </w:tc>
        <w:tc>
          <w:tcPr>
            <w:tcW w:w="913" w:type="pct"/>
            <w:shd w:val="clear" w:color="auto" w:fill="auto"/>
            <w:vAlign w:val="center"/>
          </w:tcPr>
          <w:p w:rsidR="000C5659" w:rsidRDefault="000E33C4">
            <w:pPr>
              <w:jc w:val="right"/>
              <w:rPr>
                <w:color w:val="000000"/>
              </w:rPr>
            </w:pPr>
            <w:r>
              <w:rPr>
                <w:rFonts w:hint="eastAsia"/>
                <w:color w:val="000000"/>
              </w:rPr>
              <w:t xml:space="preserve"> 1,725,284.42 </w:t>
            </w:r>
          </w:p>
        </w:tc>
        <w:tc>
          <w:tcPr>
            <w:tcW w:w="932" w:type="pct"/>
            <w:shd w:val="clear" w:color="auto" w:fill="auto"/>
            <w:vAlign w:val="center"/>
          </w:tcPr>
          <w:p w:rsidR="000C5659" w:rsidRDefault="000E33C4">
            <w:pPr>
              <w:jc w:val="right"/>
              <w:textAlignment w:val="top"/>
            </w:pPr>
            <w:r>
              <w:rPr>
                <w:rFonts w:hint="eastAsia"/>
                <w:color w:val="000000"/>
                <w:lang w:bidi="ar"/>
              </w:rPr>
              <w:t xml:space="preserve"> 6,510,693.19 </w:t>
            </w:r>
          </w:p>
        </w:tc>
        <w:tc>
          <w:tcPr>
            <w:tcW w:w="919" w:type="pct"/>
            <w:shd w:val="clear" w:color="auto" w:fill="auto"/>
            <w:vAlign w:val="center"/>
          </w:tcPr>
          <w:p w:rsidR="000C5659" w:rsidRDefault="000E33C4">
            <w:pPr>
              <w:jc w:val="right"/>
              <w:textAlignment w:val="top"/>
            </w:pPr>
            <w:r>
              <w:rPr>
                <w:rFonts w:hint="eastAsia"/>
                <w:color w:val="000000"/>
                <w:lang w:bidi="ar"/>
              </w:rPr>
              <w:t xml:space="preserve"> 1,627,673.30 </w:t>
            </w:r>
          </w:p>
        </w:tc>
      </w:tr>
      <w:tr w:rsidR="000C5659">
        <w:trPr>
          <w:trHeight w:val="285"/>
          <w:jc w:val="center"/>
        </w:trPr>
        <w:tc>
          <w:tcPr>
            <w:tcW w:w="1304" w:type="pct"/>
            <w:shd w:val="clear" w:color="auto" w:fill="auto"/>
            <w:vAlign w:val="center"/>
          </w:tcPr>
          <w:p w:rsidR="000C5659" w:rsidRDefault="000E33C4">
            <w:pPr>
              <w:textAlignment w:val="center"/>
            </w:pPr>
            <w:r>
              <w:rPr>
                <w:rFonts w:hint="eastAsia"/>
                <w:color w:val="000000"/>
                <w:lang w:bidi="ar"/>
              </w:rPr>
              <w:t>租赁资产</w:t>
            </w:r>
          </w:p>
        </w:tc>
        <w:tc>
          <w:tcPr>
            <w:tcW w:w="932" w:type="pct"/>
            <w:shd w:val="clear" w:color="auto" w:fill="auto"/>
            <w:vAlign w:val="center"/>
          </w:tcPr>
          <w:p w:rsidR="000C5659" w:rsidRDefault="000E33C4">
            <w:pPr>
              <w:jc w:val="right"/>
              <w:textAlignment w:val="top"/>
            </w:pPr>
            <w:r>
              <w:rPr>
                <w:rFonts w:hint="eastAsia"/>
                <w:color w:val="000000"/>
              </w:rPr>
              <w:t xml:space="preserve">3,024,292.20 </w:t>
            </w:r>
          </w:p>
        </w:tc>
        <w:tc>
          <w:tcPr>
            <w:tcW w:w="913" w:type="pct"/>
            <w:shd w:val="clear" w:color="auto" w:fill="auto"/>
            <w:vAlign w:val="center"/>
          </w:tcPr>
          <w:p w:rsidR="000C5659" w:rsidRDefault="000E33C4">
            <w:pPr>
              <w:jc w:val="right"/>
              <w:textAlignment w:val="top"/>
            </w:pPr>
            <w:r>
              <w:rPr>
                <w:rFonts w:hint="eastAsia"/>
                <w:color w:val="000000"/>
              </w:rPr>
              <w:t xml:space="preserve">453,643.83 </w:t>
            </w:r>
          </w:p>
        </w:tc>
        <w:tc>
          <w:tcPr>
            <w:tcW w:w="932" w:type="pct"/>
            <w:shd w:val="clear" w:color="auto" w:fill="auto"/>
            <w:vAlign w:val="center"/>
          </w:tcPr>
          <w:p w:rsidR="000C5659" w:rsidRDefault="000C5659">
            <w:pPr>
              <w:jc w:val="right"/>
            </w:pPr>
          </w:p>
        </w:tc>
        <w:tc>
          <w:tcPr>
            <w:tcW w:w="919" w:type="pct"/>
            <w:shd w:val="clear" w:color="auto" w:fill="auto"/>
            <w:vAlign w:val="center"/>
          </w:tcPr>
          <w:p w:rsidR="000C5659" w:rsidRDefault="000C5659">
            <w:pPr>
              <w:jc w:val="right"/>
            </w:pPr>
          </w:p>
        </w:tc>
      </w:tr>
      <w:tr w:rsidR="000C5659">
        <w:trPr>
          <w:trHeight w:val="285"/>
          <w:jc w:val="center"/>
        </w:trPr>
        <w:tc>
          <w:tcPr>
            <w:tcW w:w="1304" w:type="pct"/>
            <w:shd w:val="clear" w:color="auto" w:fill="auto"/>
            <w:vAlign w:val="center"/>
          </w:tcPr>
          <w:p w:rsidR="000C5659" w:rsidRDefault="000E33C4">
            <w:pPr>
              <w:jc w:val="center"/>
              <w:textAlignment w:val="center"/>
            </w:pPr>
            <w:r>
              <w:rPr>
                <w:rFonts w:hint="eastAsia"/>
                <w:color w:val="000000"/>
                <w:lang w:bidi="ar"/>
              </w:rPr>
              <w:t>合计</w:t>
            </w:r>
          </w:p>
        </w:tc>
        <w:tc>
          <w:tcPr>
            <w:tcW w:w="932" w:type="pct"/>
            <w:shd w:val="clear" w:color="auto" w:fill="auto"/>
            <w:vAlign w:val="center"/>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color w:val="000000"/>
              </w:rPr>
              <w:t xml:space="preserve"> 225,870,832.62 </w:t>
            </w:r>
          </w:p>
        </w:tc>
        <w:tc>
          <w:tcPr>
            <w:tcW w:w="913" w:type="pct"/>
            <w:shd w:val="clear" w:color="auto" w:fill="auto"/>
            <w:vAlign w:val="center"/>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color w:val="000000"/>
              </w:rPr>
              <w:t xml:space="preserve"> 50,322,753.60 </w:t>
            </w:r>
          </w:p>
        </w:tc>
        <w:tc>
          <w:tcPr>
            <w:tcW w:w="932" w:type="pct"/>
            <w:shd w:val="clear" w:color="auto" w:fill="auto"/>
            <w:vAlign w:val="center"/>
          </w:tcPr>
          <w:p w:rsidR="000C5659" w:rsidRDefault="000E33C4">
            <w:pPr>
              <w:jc w:val="right"/>
              <w:textAlignment w:val="top"/>
            </w:pPr>
            <w:r>
              <w:rPr>
                <w:rFonts w:hint="eastAsia"/>
                <w:color w:val="000000"/>
                <w:lang w:bidi="ar"/>
              </w:rPr>
              <w:t xml:space="preserve"> 132,602,595.03 </w:t>
            </w:r>
          </w:p>
        </w:tc>
        <w:tc>
          <w:tcPr>
            <w:tcW w:w="919" w:type="pct"/>
            <w:shd w:val="clear" w:color="auto" w:fill="auto"/>
            <w:vAlign w:val="center"/>
          </w:tcPr>
          <w:p w:rsidR="000C5659" w:rsidRDefault="000E33C4">
            <w:pPr>
              <w:jc w:val="right"/>
              <w:textAlignment w:val="top"/>
            </w:pPr>
            <w:r>
              <w:rPr>
                <w:rFonts w:hint="eastAsia"/>
                <w:color w:val="000000"/>
                <w:lang w:bidi="ar"/>
              </w:rPr>
              <w:t xml:space="preserve"> 28,179,303.33 </w:t>
            </w:r>
          </w:p>
        </w:tc>
      </w:tr>
    </w:tbl>
    <w:p w:rsidR="000C5659" w:rsidRDefault="000C5659">
      <w:pPr>
        <w:pStyle w:val="Style325"/>
      </w:pPr>
    </w:p>
    <w:p w:rsidR="000C5659" w:rsidRDefault="000E33C4" w:rsidP="000743DD">
      <w:pPr>
        <w:pStyle w:val="43"/>
        <w:numPr>
          <w:ilvl w:val="0"/>
          <w:numId w:val="75"/>
        </w:numPr>
        <w:tabs>
          <w:tab w:val="left" w:pos="588"/>
          <w:tab w:val="left" w:pos="616"/>
        </w:tabs>
        <w:rPr>
          <w:rFonts w:ascii="宋体" w:hAnsi="宋体"/>
          <w:color w:val="000000" w:themeColor="text1"/>
        </w:rPr>
      </w:pPr>
      <w:bookmarkStart w:id="296" w:name="_Hlk11160645"/>
      <w:bookmarkEnd w:id="294"/>
      <w:bookmarkEnd w:id="295"/>
      <w:r>
        <w:rPr>
          <w:rFonts w:ascii="宋体" w:hAnsi="宋体" w:hint="eastAsia"/>
          <w:color w:val="000000" w:themeColor="text1"/>
        </w:rPr>
        <w:t>以抵销后净额列示的递延所得税资产或负债</w:t>
      </w:r>
    </w:p>
    <w:sdt>
      <w:sdtPr>
        <w:rPr>
          <w:color w:val="000000" w:themeColor="text1"/>
        </w:rPr>
        <w:alias w:val="是否适用：以抵销后净额列示的递延所得税资产或负债[双击切换]"/>
        <w:tag w:val="_GBC_d6419a9d2dc94127a5f6aea72cb2a94d"/>
        <w:id w:val="-201390554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wordWrap w:val="0"/>
        <w:jc w:val="right"/>
        <w:rPr>
          <w:color w:val="000000" w:themeColor="text1"/>
        </w:rPr>
      </w:pPr>
      <w:r>
        <w:rPr>
          <w:rFonts w:hint="eastAsia"/>
          <w:color w:val="000000" w:themeColor="text1"/>
        </w:rPr>
        <w:t>单位：</w:t>
      </w:r>
      <w:sdt>
        <w:sdtPr>
          <w:rPr>
            <w:rFonts w:hint="eastAsia"/>
            <w:color w:val="000000" w:themeColor="text1"/>
          </w:rPr>
          <w:alias w:val="单位：财务附注：互抵后的递延所得税资产及负债的组成项目"/>
          <w:tag w:val="_GBC_87248a34ce3042a5abe2f7b24ba6f68f"/>
          <w:id w:val="-322715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互抵后的递延所得税资产及负债的组成项目"/>
          <w:tag w:val="_GBC_cd0e5c76f450471280579335020253cf"/>
          <w:id w:val="20366875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634"/>
        <w:gridCol w:w="1620"/>
        <w:gridCol w:w="1646"/>
        <w:gridCol w:w="1618"/>
      </w:tblGrid>
      <w:tr w:rsidR="000C5659">
        <w:sdt>
          <w:sdtPr>
            <w:rPr>
              <w:color w:val="000000" w:themeColor="text1"/>
            </w:rPr>
            <w:tag w:val="_PLD_8eec3f5c36d74a4f98b09e1d2c84ffe5"/>
            <w:id w:val="-593855276"/>
          </w:sdtPr>
          <w:sdtEndPr/>
          <w:sdtContent>
            <w:tc>
              <w:tcPr>
                <w:tcW w:w="1306" w:type="pct"/>
                <w:tcBorders>
                  <w:bottom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834fe5ba2d834f8f9b67482b5dbbbc14"/>
            <w:id w:val="855007897"/>
          </w:sdtPr>
          <w:sdtEndPr/>
          <w:sdtContent>
            <w:tc>
              <w:tcPr>
                <w:tcW w:w="926" w:type="pct"/>
                <w:tcBorders>
                  <w:bottom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递延所得税资产和负债期末互抵金额</w:t>
                </w:r>
              </w:p>
            </w:tc>
          </w:sdtContent>
        </w:sdt>
        <w:sdt>
          <w:sdtPr>
            <w:rPr>
              <w:color w:val="000000" w:themeColor="text1"/>
            </w:rPr>
            <w:tag w:val="_PLD_1d423a6acdc84a9b86a8f4cfef14d1bc"/>
            <w:id w:val="-479468618"/>
          </w:sdtPr>
          <w:sdtEndPr/>
          <w:sdtContent>
            <w:tc>
              <w:tcPr>
                <w:tcW w:w="918" w:type="pct"/>
                <w:tcBorders>
                  <w:bottom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抵销后递延所得税资产或负债期末余额</w:t>
                </w:r>
              </w:p>
            </w:tc>
          </w:sdtContent>
        </w:sdt>
        <w:sdt>
          <w:sdtPr>
            <w:rPr>
              <w:color w:val="000000" w:themeColor="text1"/>
            </w:rPr>
            <w:tag w:val="_PLD_7e951a92ca604006b07c34e19fd86c46"/>
            <w:id w:val="785084284"/>
          </w:sdtPr>
          <w:sdtEndPr/>
          <w:sdtContent>
            <w:tc>
              <w:tcPr>
                <w:tcW w:w="933" w:type="pct"/>
                <w:tcBorders>
                  <w:bottom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递延所得税资产和负债期初互抵金额</w:t>
                </w:r>
              </w:p>
            </w:tc>
          </w:sdtContent>
        </w:sdt>
        <w:sdt>
          <w:sdtPr>
            <w:rPr>
              <w:color w:val="000000" w:themeColor="text1"/>
            </w:rPr>
            <w:tag w:val="_PLD_357e55134bfb4d68a713600691a595cb"/>
            <w:id w:val="1154718584"/>
          </w:sdtPr>
          <w:sdtEndPr/>
          <w:sdtContent>
            <w:tc>
              <w:tcPr>
                <w:tcW w:w="918" w:type="pct"/>
                <w:tcBorders>
                  <w:bottom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抵销后递延所得税资产或负债期初余额</w:t>
                </w:r>
              </w:p>
            </w:tc>
          </w:sdtContent>
        </w:sdt>
      </w:tr>
      <w:tr w:rsidR="000C5659">
        <w:tc>
          <w:tcPr>
            <w:tcW w:w="1306" w:type="pct"/>
            <w:shd w:val="clear" w:color="auto" w:fill="auto"/>
          </w:tcPr>
          <w:p w:rsidR="000C5659" w:rsidRDefault="000E33C4">
            <w:pPr>
              <w:rPr>
                <w:color w:val="000000" w:themeColor="text1"/>
              </w:rPr>
            </w:pPr>
            <w:r>
              <w:rPr>
                <w:rFonts w:hint="eastAsia"/>
                <w:color w:val="000000" w:themeColor="text1"/>
              </w:rPr>
              <w:t>递延所得税资产</w:t>
            </w:r>
          </w:p>
        </w:tc>
        <w:tc>
          <w:tcPr>
            <w:tcW w:w="926" w:type="pct"/>
            <w:shd w:val="clear" w:color="auto" w:fill="auto"/>
          </w:tcPr>
          <w:p w:rsidR="000C5659" w:rsidRDefault="000E33C4">
            <w:pPr>
              <w:jc w:val="right"/>
            </w:pPr>
            <w:r>
              <w:rPr>
                <w:rFonts w:hint="eastAsia"/>
              </w:rPr>
              <w:t>10,883,643.75</w:t>
            </w:r>
          </w:p>
        </w:tc>
        <w:tc>
          <w:tcPr>
            <w:tcW w:w="918" w:type="pct"/>
            <w:shd w:val="clear" w:color="auto" w:fill="auto"/>
          </w:tcPr>
          <w:p w:rsidR="000C5659" w:rsidRDefault="000E33C4">
            <w:pPr>
              <w:jc w:val="right"/>
            </w:pPr>
            <w:r>
              <w:rPr>
                <w:rFonts w:hint="eastAsia"/>
              </w:rPr>
              <w:t>13,186,332.53</w:t>
            </w:r>
          </w:p>
        </w:tc>
        <w:tc>
          <w:tcPr>
            <w:tcW w:w="933" w:type="pct"/>
            <w:shd w:val="clear" w:color="auto" w:fill="auto"/>
          </w:tcPr>
          <w:p w:rsidR="000C5659" w:rsidRDefault="000E33C4">
            <w:pPr>
              <w:jc w:val="right"/>
            </w:pPr>
            <w:r>
              <w:rPr>
                <w:rFonts w:hint="eastAsia"/>
                <w:szCs w:val="18"/>
              </w:rPr>
              <w:t>10,179,476.13</w:t>
            </w:r>
          </w:p>
        </w:tc>
        <w:tc>
          <w:tcPr>
            <w:tcW w:w="918" w:type="pct"/>
            <w:shd w:val="clear" w:color="auto" w:fill="auto"/>
          </w:tcPr>
          <w:p w:rsidR="000C5659" w:rsidRDefault="000E33C4">
            <w:pPr>
              <w:jc w:val="right"/>
            </w:pPr>
            <w:r>
              <w:t>10,103,698.54</w:t>
            </w:r>
          </w:p>
        </w:tc>
      </w:tr>
      <w:tr w:rsidR="000C5659">
        <w:tc>
          <w:tcPr>
            <w:tcW w:w="1306" w:type="pct"/>
            <w:shd w:val="clear" w:color="auto" w:fill="auto"/>
          </w:tcPr>
          <w:p w:rsidR="000C5659" w:rsidRDefault="000E33C4">
            <w:pPr>
              <w:rPr>
                <w:color w:val="000000" w:themeColor="text1"/>
              </w:rPr>
            </w:pPr>
            <w:r>
              <w:rPr>
                <w:rFonts w:hint="eastAsia"/>
                <w:color w:val="000000" w:themeColor="text1"/>
              </w:rPr>
              <w:t>递延所得税负债</w:t>
            </w:r>
          </w:p>
        </w:tc>
        <w:tc>
          <w:tcPr>
            <w:tcW w:w="926" w:type="pct"/>
            <w:shd w:val="clear" w:color="auto" w:fill="auto"/>
          </w:tcPr>
          <w:p w:rsidR="000C5659" w:rsidRDefault="000E33C4">
            <w:pPr>
              <w:jc w:val="right"/>
            </w:pPr>
            <w:r>
              <w:rPr>
                <w:rFonts w:hint="eastAsia"/>
              </w:rPr>
              <w:t>10,883,643.75</w:t>
            </w:r>
          </w:p>
        </w:tc>
        <w:tc>
          <w:tcPr>
            <w:tcW w:w="918" w:type="pct"/>
            <w:shd w:val="clear" w:color="auto" w:fill="auto"/>
          </w:tcPr>
          <w:p w:rsidR="000C5659" w:rsidRDefault="000E33C4">
            <w:pPr>
              <w:jc w:val="right"/>
            </w:pPr>
            <w:r>
              <w:rPr>
                <w:rFonts w:hint="eastAsia"/>
              </w:rPr>
              <w:t>39,439,109.85</w:t>
            </w:r>
          </w:p>
        </w:tc>
        <w:tc>
          <w:tcPr>
            <w:tcW w:w="933" w:type="pct"/>
            <w:shd w:val="clear" w:color="auto" w:fill="auto"/>
          </w:tcPr>
          <w:p w:rsidR="000C5659" w:rsidRDefault="000E33C4">
            <w:pPr>
              <w:jc w:val="right"/>
            </w:pPr>
            <w:r>
              <w:rPr>
                <w:rFonts w:hint="eastAsia"/>
                <w:szCs w:val="18"/>
              </w:rPr>
              <w:t>10,179,476.13</w:t>
            </w:r>
          </w:p>
        </w:tc>
        <w:tc>
          <w:tcPr>
            <w:tcW w:w="918" w:type="pct"/>
            <w:shd w:val="clear" w:color="auto" w:fill="auto"/>
          </w:tcPr>
          <w:p w:rsidR="000C5659" w:rsidRDefault="000E33C4">
            <w:pPr>
              <w:jc w:val="right"/>
            </w:pPr>
            <w:r>
              <w:t>17,999,827.20</w:t>
            </w:r>
          </w:p>
        </w:tc>
      </w:tr>
    </w:tbl>
    <w:p w:rsidR="000C5659" w:rsidRDefault="000C5659">
      <w:pPr>
        <w:pStyle w:val="Style325"/>
      </w:pPr>
    </w:p>
    <w:p w:rsidR="000C5659" w:rsidRDefault="000E33C4" w:rsidP="000743DD">
      <w:pPr>
        <w:pStyle w:val="43"/>
        <w:numPr>
          <w:ilvl w:val="0"/>
          <w:numId w:val="75"/>
        </w:numPr>
        <w:tabs>
          <w:tab w:val="left" w:pos="588"/>
          <w:tab w:val="left" w:pos="616"/>
        </w:tabs>
        <w:rPr>
          <w:rFonts w:ascii="宋体" w:hAnsi="宋体"/>
          <w:color w:val="000000" w:themeColor="text1"/>
        </w:rPr>
      </w:pPr>
      <w:bookmarkStart w:id="297" w:name="_Hlk11160660"/>
      <w:bookmarkEnd w:id="296"/>
      <w:r>
        <w:rPr>
          <w:rFonts w:ascii="宋体" w:hAnsi="宋体" w:hint="eastAsia"/>
          <w:color w:val="000000" w:themeColor="text1"/>
        </w:rPr>
        <w:t>未确认递延所得税资产明细</w:t>
      </w:r>
    </w:p>
    <w:sdt>
      <w:sdtPr>
        <w:rPr>
          <w:color w:val="000000" w:themeColor="text1"/>
        </w:rPr>
        <w:alias w:val="是否适用：未确认递延所得税资产明细[双击切换]"/>
        <w:tag w:val="_GBC_f210878b05204277b5f70ed9ae786ea7"/>
        <w:id w:val="-113571811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75"/>
        </w:numPr>
        <w:tabs>
          <w:tab w:val="left" w:pos="588"/>
          <w:tab w:val="left" w:pos="616"/>
        </w:tabs>
        <w:rPr>
          <w:rFonts w:ascii="宋体" w:hAnsi="宋体"/>
          <w:color w:val="000000" w:themeColor="text1"/>
        </w:rPr>
      </w:pPr>
      <w:bookmarkStart w:id="298" w:name="_Hlk11160672"/>
      <w:bookmarkEnd w:id="297"/>
      <w:r>
        <w:rPr>
          <w:rFonts w:ascii="宋体" w:hAnsi="宋体" w:hint="eastAsia"/>
          <w:color w:val="000000" w:themeColor="text1"/>
        </w:rPr>
        <w:t>未确认递延所得税资产的可抵扣亏损将于以下年度到期</w:t>
      </w:r>
    </w:p>
    <w:sdt>
      <w:sdtPr>
        <w:rPr>
          <w:color w:val="000000" w:themeColor="text1"/>
        </w:rPr>
        <w:alias w:val="是否适用：未确认递延所得税资产的可抵扣亏损将于以下年度到期[双击切换]"/>
        <w:tag w:val="_GBC_10d31911cedc4147b90ab71d35742bf4"/>
        <w:id w:val="-56694731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298"/>
    <w:p w:rsidR="000C5659" w:rsidRDefault="000E33C4">
      <w:pPr>
        <w:rPr>
          <w:color w:val="000000" w:themeColor="text1"/>
        </w:rPr>
      </w:pPr>
      <w:r>
        <w:rPr>
          <w:rFonts w:hint="eastAsia"/>
          <w:color w:val="000000" w:themeColor="text1"/>
        </w:rPr>
        <w:t>其他说明：</w:t>
      </w:r>
    </w:p>
    <w:sdt>
      <w:sdtPr>
        <w:rPr>
          <w:color w:val="000000" w:themeColor="text1"/>
        </w:rPr>
        <w:alias w:val="是否适用：递延所得税资产和递延所得税负债的说明[双击切换]"/>
        <w:tag w:val="_GBC_06478ceb6b7447a791a4a5cbf8cc7e95"/>
        <w:id w:val="-116301106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299" w:name="_Hlk10535308"/>
      <w:r>
        <w:rPr>
          <w:color w:val="000000" w:themeColor="text1"/>
          <w:szCs w:val="21"/>
        </w:rPr>
        <w:t>其他非流动资产</w:t>
      </w:r>
    </w:p>
    <w:sdt>
      <w:sdtPr>
        <w:rPr>
          <w:color w:val="000000" w:themeColor="text1"/>
        </w:rPr>
        <w:alias w:val="是否适用：其他非流动资产[双击切换]"/>
        <w:tag w:val="_GBC_227882aeaa9b4aa98d6af8bcac2af7a5"/>
        <w:id w:val="81013423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color w:val="000000" w:themeColor="text1"/>
          </w:rPr>
          <w:alias w:val="单位：财务附注：其他非流动资产"/>
          <w:tag w:val="_GBC_5fd172528c7e4c4c8619b250ae90cdb4"/>
          <w:id w:val="11753758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非流动资产"/>
          <w:tag w:val="_GBC_4cd5c26035ba4f7384dee597c98f0cb6"/>
          <w:id w:val="-13167228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9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48"/>
        <w:gridCol w:w="1591"/>
        <w:gridCol w:w="792"/>
        <w:gridCol w:w="1591"/>
        <w:gridCol w:w="1591"/>
        <w:gridCol w:w="792"/>
        <w:gridCol w:w="1591"/>
      </w:tblGrid>
      <w:tr w:rsidR="000C5659">
        <w:sdt>
          <w:sdtPr>
            <w:rPr>
              <w:color w:val="000000" w:themeColor="text1"/>
            </w:rPr>
            <w:tag w:val="_PLD_a0072e7adb6c49bb95cec91e0b7ec491"/>
            <w:id w:val="-1110280238"/>
          </w:sdtPr>
          <w:sdtEndPr/>
          <w:sdtContent>
            <w:tc>
              <w:tcPr>
                <w:tcW w:w="832" w:type="pct"/>
                <w:vMerge w:val="restar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9557fd4b49c84b3db8c9ae69c7346562"/>
            <w:id w:val="-8447113"/>
          </w:sdtPr>
          <w:sdtEndPr/>
          <w:sdtContent>
            <w:tc>
              <w:tcPr>
                <w:tcW w:w="2072" w:type="pct"/>
                <w:gridSpan w:val="3"/>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dad73a13c6c344aaa0bec642175f96c3"/>
            <w:id w:val="-21624006"/>
          </w:sdtPr>
          <w:sdtEndPr/>
          <w:sdtContent>
            <w:tc>
              <w:tcPr>
                <w:tcW w:w="2096" w:type="pct"/>
                <w:gridSpan w:val="3"/>
                <w:vAlign w:val="center"/>
              </w:tcPr>
              <w:p w:rsidR="000C5659" w:rsidRDefault="000E33C4">
                <w:pPr>
                  <w:jc w:val="center"/>
                  <w:rPr>
                    <w:color w:val="000000" w:themeColor="text1"/>
                  </w:rPr>
                </w:pPr>
                <w:r>
                  <w:rPr>
                    <w:rFonts w:hint="eastAsia"/>
                    <w:color w:val="000000" w:themeColor="text1"/>
                  </w:rPr>
                  <w:t>期初余额</w:t>
                </w:r>
              </w:p>
            </w:tc>
          </w:sdtContent>
        </w:sdt>
      </w:tr>
      <w:tr w:rsidR="000C5659">
        <w:tc>
          <w:tcPr>
            <w:tcW w:w="832" w:type="pct"/>
            <w:vMerge/>
            <w:shd w:val="clear" w:color="auto" w:fill="auto"/>
            <w:vAlign w:val="center"/>
          </w:tcPr>
          <w:p w:rsidR="000C5659" w:rsidRDefault="000C5659">
            <w:pPr>
              <w:jc w:val="center"/>
              <w:rPr>
                <w:color w:val="000000" w:themeColor="text1"/>
              </w:rPr>
            </w:pPr>
          </w:p>
        </w:tc>
        <w:tc>
          <w:tcPr>
            <w:tcW w:w="691" w:type="pct"/>
            <w:vAlign w:val="center"/>
          </w:tcPr>
          <w:sdt>
            <w:sdtPr>
              <w:rPr>
                <w:rFonts w:hint="eastAsia"/>
                <w:color w:val="000000" w:themeColor="text1"/>
              </w:rPr>
              <w:tag w:val="_PLD_93d316b5ed8d45ea95cfce051b0f999d"/>
              <w:id w:val="47196300"/>
            </w:sdtPr>
            <w:sdtEndPr/>
            <w:sdtContent>
              <w:p w:rsidR="000C5659" w:rsidRDefault="000E33C4">
                <w:pPr>
                  <w:jc w:val="center"/>
                  <w:rPr>
                    <w:color w:val="000000" w:themeColor="text1"/>
                  </w:rPr>
                </w:pPr>
                <w:r>
                  <w:rPr>
                    <w:rFonts w:hint="eastAsia"/>
                    <w:color w:val="000000" w:themeColor="text1"/>
                  </w:rPr>
                  <w:t>账面余额</w:t>
                </w:r>
              </w:p>
            </w:sdtContent>
          </w:sdt>
        </w:tc>
        <w:tc>
          <w:tcPr>
            <w:tcW w:w="690" w:type="pct"/>
            <w:vAlign w:val="center"/>
          </w:tcPr>
          <w:sdt>
            <w:sdtPr>
              <w:rPr>
                <w:color w:val="000000" w:themeColor="text1"/>
              </w:rPr>
              <w:tag w:val="_PLD_ce9573e9b47f4859912e77c530974f87"/>
              <w:id w:val="-774556220"/>
            </w:sdtPr>
            <w:sdtEndPr/>
            <w:sdtContent>
              <w:p w:rsidR="000C5659" w:rsidRDefault="000E33C4">
                <w:pPr>
                  <w:jc w:val="center"/>
                  <w:rPr>
                    <w:color w:val="000000" w:themeColor="text1"/>
                  </w:rPr>
                </w:pPr>
                <w:r>
                  <w:rPr>
                    <w:color w:val="000000" w:themeColor="text1"/>
                  </w:rPr>
                  <w:t>减值准备</w:t>
                </w:r>
              </w:p>
            </w:sdtContent>
          </w:sdt>
        </w:tc>
        <w:tc>
          <w:tcPr>
            <w:tcW w:w="691" w:type="pct"/>
            <w:shd w:val="clear" w:color="auto" w:fill="auto"/>
            <w:vAlign w:val="center"/>
          </w:tcPr>
          <w:sdt>
            <w:sdtPr>
              <w:rPr>
                <w:color w:val="000000" w:themeColor="text1"/>
              </w:rPr>
              <w:tag w:val="_PLD_4b72c2cb7df84a3a9384f2eaa1acaf3a"/>
              <w:id w:val="-290290286"/>
            </w:sdtPr>
            <w:sdtEndPr/>
            <w:sdtContent>
              <w:p w:rsidR="000C5659" w:rsidRDefault="000E33C4">
                <w:pPr>
                  <w:jc w:val="center"/>
                  <w:rPr>
                    <w:color w:val="000000" w:themeColor="text1"/>
                  </w:rPr>
                </w:pPr>
                <w:r>
                  <w:rPr>
                    <w:color w:val="000000" w:themeColor="text1"/>
                  </w:rPr>
                  <w:t>账面价值</w:t>
                </w:r>
              </w:p>
            </w:sdtContent>
          </w:sdt>
        </w:tc>
        <w:tc>
          <w:tcPr>
            <w:tcW w:w="690" w:type="pct"/>
            <w:vAlign w:val="center"/>
          </w:tcPr>
          <w:sdt>
            <w:sdtPr>
              <w:rPr>
                <w:color w:val="000000" w:themeColor="text1"/>
              </w:rPr>
              <w:tag w:val="_PLD_31abd03025c54702bba8f28fbcd435be"/>
              <w:id w:val="-1682120471"/>
            </w:sdtPr>
            <w:sdtEndPr/>
            <w:sdtContent>
              <w:p w:rsidR="000C5659" w:rsidRDefault="000E33C4">
                <w:pPr>
                  <w:jc w:val="center"/>
                  <w:rPr>
                    <w:color w:val="000000" w:themeColor="text1"/>
                  </w:rPr>
                </w:pPr>
                <w:r>
                  <w:rPr>
                    <w:color w:val="000000" w:themeColor="text1"/>
                  </w:rPr>
                  <w:t>账面余额</w:t>
                </w:r>
              </w:p>
            </w:sdtContent>
          </w:sdt>
        </w:tc>
        <w:tc>
          <w:tcPr>
            <w:tcW w:w="689" w:type="pct"/>
            <w:vAlign w:val="center"/>
          </w:tcPr>
          <w:sdt>
            <w:sdtPr>
              <w:rPr>
                <w:color w:val="000000" w:themeColor="text1"/>
              </w:rPr>
              <w:tag w:val="_PLD_5650816a035d4b9d999e9f87d1506d3b"/>
              <w:id w:val="78107138"/>
            </w:sdtPr>
            <w:sdtEndPr/>
            <w:sdtContent>
              <w:p w:rsidR="000C5659" w:rsidRDefault="000E33C4">
                <w:pPr>
                  <w:jc w:val="center"/>
                  <w:rPr>
                    <w:color w:val="000000" w:themeColor="text1"/>
                  </w:rPr>
                </w:pPr>
                <w:r>
                  <w:rPr>
                    <w:color w:val="000000" w:themeColor="text1"/>
                  </w:rPr>
                  <w:t>减值准备</w:t>
                </w:r>
              </w:p>
            </w:sdtContent>
          </w:sdt>
        </w:tc>
        <w:tc>
          <w:tcPr>
            <w:tcW w:w="718" w:type="pct"/>
            <w:shd w:val="clear" w:color="auto" w:fill="auto"/>
            <w:vAlign w:val="center"/>
          </w:tcPr>
          <w:sdt>
            <w:sdtPr>
              <w:rPr>
                <w:color w:val="000000" w:themeColor="text1"/>
              </w:rPr>
              <w:tag w:val="_PLD_76b67d2d1c1543c0b22ec33e5ae8e28a"/>
              <w:id w:val="167922274"/>
            </w:sdtPr>
            <w:sdtEndPr/>
            <w:sdtContent>
              <w:p w:rsidR="000C5659" w:rsidRDefault="000E33C4">
                <w:pPr>
                  <w:jc w:val="center"/>
                  <w:rPr>
                    <w:color w:val="000000" w:themeColor="text1"/>
                  </w:rPr>
                </w:pPr>
                <w:r>
                  <w:rPr>
                    <w:color w:val="000000" w:themeColor="text1"/>
                  </w:rPr>
                  <w:t>账面价值</w:t>
                </w:r>
              </w:p>
            </w:sdtContent>
          </w:sdt>
        </w:tc>
      </w:tr>
      <w:tr w:rsidR="000C5659">
        <w:tc>
          <w:tcPr>
            <w:tcW w:w="832" w:type="pct"/>
            <w:shd w:val="clear" w:color="auto" w:fill="auto"/>
            <w:vAlign w:val="center"/>
          </w:tcPr>
          <w:p w:rsidR="000C5659" w:rsidRDefault="000E33C4">
            <w:pPr>
              <w:jc w:val="both"/>
              <w:rPr>
                <w:color w:val="000000" w:themeColor="text1"/>
              </w:rPr>
            </w:pPr>
            <w:r>
              <w:rPr>
                <w:rFonts w:hint="eastAsia"/>
                <w:color w:val="000000" w:themeColor="text1"/>
              </w:rPr>
              <w:t>合同取得成本</w:t>
            </w:r>
          </w:p>
        </w:tc>
        <w:tc>
          <w:tcPr>
            <w:tcW w:w="691" w:type="pct"/>
            <w:vAlign w:val="center"/>
          </w:tcPr>
          <w:p w:rsidR="000C5659" w:rsidRDefault="000C5659">
            <w:pPr>
              <w:jc w:val="right"/>
            </w:pPr>
          </w:p>
        </w:tc>
        <w:tc>
          <w:tcPr>
            <w:tcW w:w="690" w:type="pct"/>
            <w:vAlign w:val="center"/>
          </w:tcPr>
          <w:p w:rsidR="000C5659" w:rsidRDefault="000C5659">
            <w:pPr>
              <w:jc w:val="right"/>
            </w:pPr>
          </w:p>
        </w:tc>
        <w:tc>
          <w:tcPr>
            <w:tcW w:w="691" w:type="pct"/>
            <w:shd w:val="clear" w:color="auto" w:fill="auto"/>
            <w:vAlign w:val="center"/>
          </w:tcPr>
          <w:p w:rsidR="000C5659" w:rsidRDefault="000C5659">
            <w:pPr>
              <w:jc w:val="right"/>
            </w:pPr>
          </w:p>
        </w:tc>
        <w:tc>
          <w:tcPr>
            <w:tcW w:w="690" w:type="pct"/>
            <w:vAlign w:val="center"/>
          </w:tcPr>
          <w:p w:rsidR="000C5659" w:rsidRDefault="000C5659">
            <w:pPr>
              <w:jc w:val="right"/>
            </w:pPr>
          </w:p>
        </w:tc>
        <w:tc>
          <w:tcPr>
            <w:tcW w:w="689" w:type="pct"/>
            <w:vAlign w:val="center"/>
          </w:tcPr>
          <w:p w:rsidR="000C5659" w:rsidRDefault="000C5659">
            <w:pPr>
              <w:jc w:val="right"/>
            </w:pPr>
          </w:p>
        </w:tc>
        <w:tc>
          <w:tcPr>
            <w:tcW w:w="718" w:type="pct"/>
            <w:shd w:val="clear" w:color="auto" w:fill="auto"/>
            <w:vAlign w:val="center"/>
          </w:tcPr>
          <w:p w:rsidR="000C5659" w:rsidRDefault="000C5659">
            <w:pPr>
              <w:jc w:val="right"/>
            </w:pPr>
          </w:p>
        </w:tc>
      </w:tr>
      <w:tr w:rsidR="000C5659">
        <w:tc>
          <w:tcPr>
            <w:tcW w:w="832" w:type="pct"/>
            <w:shd w:val="clear" w:color="auto" w:fill="auto"/>
            <w:vAlign w:val="center"/>
          </w:tcPr>
          <w:p w:rsidR="000C5659" w:rsidRDefault="000E33C4">
            <w:pPr>
              <w:jc w:val="both"/>
              <w:rPr>
                <w:color w:val="000000" w:themeColor="text1"/>
              </w:rPr>
            </w:pPr>
            <w:r>
              <w:rPr>
                <w:rFonts w:hint="eastAsia"/>
                <w:color w:val="000000" w:themeColor="text1"/>
              </w:rPr>
              <w:t>合同履约成本</w:t>
            </w:r>
          </w:p>
        </w:tc>
        <w:tc>
          <w:tcPr>
            <w:tcW w:w="691" w:type="pct"/>
            <w:vAlign w:val="center"/>
          </w:tcPr>
          <w:p w:rsidR="000C5659" w:rsidRDefault="000C5659">
            <w:pPr>
              <w:jc w:val="right"/>
            </w:pPr>
          </w:p>
        </w:tc>
        <w:tc>
          <w:tcPr>
            <w:tcW w:w="690" w:type="pct"/>
            <w:vAlign w:val="center"/>
          </w:tcPr>
          <w:p w:rsidR="000C5659" w:rsidRDefault="000C5659">
            <w:pPr>
              <w:jc w:val="right"/>
            </w:pPr>
          </w:p>
        </w:tc>
        <w:tc>
          <w:tcPr>
            <w:tcW w:w="691" w:type="pct"/>
            <w:shd w:val="clear" w:color="auto" w:fill="auto"/>
            <w:vAlign w:val="center"/>
          </w:tcPr>
          <w:p w:rsidR="000C5659" w:rsidRDefault="000C5659">
            <w:pPr>
              <w:jc w:val="right"/>
            </w:pPr>
          </w:p>
        </w:tc>
        <w:tc>
          <w:tcPr>
            <w:tcW w:w="690" w:type="pct"/>
            <w:vAlign w:val="center"/>
          </w:tcPr>
          <w:p w:rsidR="000C5659" w:rsidRDefault="000C5659">
            <w:pPr>
              <w:jc w:val="right"/>
            </w:pPr>
          </w:p>
        </w:tc>
        <w:tc>
          <w:tcPr>
            <w:tcW w:w="689" w:type="pct"/>
            <w:vAlign w:val="center"/>
          </w:tcPr>
          <w:p w:rsidR="000C5659" w:rsidRDefault="000C5659">
            <w:pPr>
              <w:jc w:val="right"/>
            </w:pPr>
          </w:p>
        </w:tc>
        <w:tc>
          <w:tcPr>
            <w:tcW w:w="718" w:type="pct"/>
            <w:shd w:val="clear" w:color="auto" w:fill="auto"/>
            <w:vAlign w:val="center"/>
          </w:tcPr>
          <w:p w:rsidR="000C5659" w:rsidRDefault="000C5659">
            <w:pPr>
              <w:jc w:val="right"/>
            </w:pPr>
          </w:p>
        </w:tc>
      </w:tr>
      <w:tr w:rsidR="000C5659">
        <w:tc>
          <w:tcPr>
            <w:tcW w:w="832" w:type="pct"/>
            <w:shd w:val="clear" w:color="auto" w:fill="auto"/>
            <w:vAlign w:val="center"/>
          </w:tcPr>
          <w:p w:rsidR="000C5659" w:rsidRDefault="000E33C4">
            <w:pPr>
              <w:jc w:val="both"/>
              <w:rPr>
                <w:color w:val="000000" w:themeColor="text1"/>
              </w:rPr>
            </w:pPr>
            <w:r>
              <w:rPr>
                <w:rFonts w:hint="eastAsia"/>
                <w:color w:val="000000" w:themeColor="text1"/>
              </w:rPr>
              <w:lastRenderedPageBreak/>
              <w:t>应收退货成本</w:t>
            </w:r>
          </w:p>
        </w:tc>
        <w:tc>
          <w:tcPr>
            <w:tcW w:w="691" w:type="pct"/>
            <w:vAlign w:val="center"/>
          </w:tcPr>
          <w:p w:rsidR="000C5659" w:rsidRDefault="000C5659">
            <w:pPr>
              <w:jc w:val="right"/>
            </w:pPr>
          </w:p>
        </w:tc>
        <w:tc>
          <w:tcPr>
            <w:tcW w:w="690" w:type="pct"/>
            <w:vAlign w:val="center"/>
          </w:tcPr>
          <w:p w:rsidR="000C5659" w:rsidRDefault="000C5659">
            <w:pPr>
              <w:jc w:val="right"/>
            </w:pPr>
          </w:p>
        </w:tc>
        <w:tc>
          <w:tcPr>
            <w:tcW w:w="691" w:type="pct"/>
            <w:shd w:val="clear" w:color="auto" w:fill="auto"/>
            <w:vAlign w:val="center"/>
          </w:tcPr>
          <w:p w:rsidR="000C5659" w:rsidRDefault="000C5659">
            <w:pPr>
              <w:jc w:val="right"/>
            </w:pPr>
          </w:p>
        </w:tc>
        <w:tc>
          <w:tcPr>
            <w:tcW w:w="690" w:type="pct"/>
            <w:vAlign w:val="center"/>
          </w:tcPr>
          <w:p w:rsidR="000C5659" w:rsidRDefault="000C5659">
            <w:pPr>
              <w:jc w:val="right"/>
            </w:pPr>
          </w:p>
        </w:tc>
        <w:tc>
          <w:tcPr>
            <w:tcW w:w="689" w:type="pct"/>
            <w:vAlign w:val="center"/>
          </w:tcPr>
          <w:p w:rsidR="000C5659" w:rsidRDefault="000C5659">
            <w:pPr>
              <w:jc w:val="right"/>
            </w:pPr>
          </w:p>
        </w:tc>
        <w:tc>
          <w:tcPr>
            <w:tcW w:w="718" w:type="pct"/>
            <w:shd w:val="clear" w:color="auto" w:fill="auto"/>
            <w:vAlign w:val="center"/>
          </w:tcPr>
          <w:p w:rsidR="000C5659" w:rsidRDefault="000C5659">
            <w:pPr>
              <w:jc w:val="right"/>
            </w:pPr>
          </w:p>
        </w:tc>
      </w:tr>
      <w:tr w:rsidR="000C5659">
        <w:tc>
          <w:tcPr>
            <w:tcW w:w="1536" w:type="dxa"/>
            <w:shd w:val="clear" w:color="auto" w:fill="auto"/>
            <w:vAlign w:val="center"/>
          </w:tcPr>
          <w:p w:rsidR="000C5659" w:rsidRDefault="000E33C4">
            <w:pPr>
              <w:textAlignment w:val="center"/>
              <w:rPr>
                <w:color w:val="000000" w:themeColor="text1"/>
              </w:rPr>
            </w:pPr>
            <w:r>
              <w:rPr>
                <w:rFonts w:hint="eastAsia"/>
                <w:color w:val="000000"/>
                <w:lang w:bidi="ar"/>
              </w:rPr>
              <w:t>采购固定资产预付款</w:t>
            </w:r>
          </w:p>
        </w:tc>
        <w:tc>
          <w:tcPr>
            <w:tcW w:w="1276" w:type="dxa"/>
            <w:vAlign w:val="center"/>
          </w:tcPr>
          <w:p w:rsidR="000C5659" w:rsidRDefault="000E33C4">
            <w:pPr>
              <w:jc w:val="right"/>
              <w:textAlignment w:val="center"/>
            </w:pPr>
            <w:r>
              <w:rPr>
                <w:rFonts w:hint="eastAsia"/>
                <w:color w:val="000000"/>
                <w:lang w:bidi="ar"/>
              </w:rPr>
              <w:t>15,207,579.28</w:t>
            </w:r>
          </w:p>
        </w:tc>
        <w:tc>
          <w:tcPr>
            <w:tcW w:w="1275" w:type="dxa"/>
            <w:vAlign w:val="center"/>
          </w:tcPr>
          <w:p w:rsidR="000C5659" w:rsidRDefault="000C5659">
            <w:pPr>
              <w:jc w:val="right"/>
            </w:pPr>
          </w:p>
        </w:tc>
        <w:tc>
          <w:tcPr>
            <w:tcW w:w="1277" w:type="dxa"/>
            <w:shd w:val="clear" w:color="auto" w:fill="auto"/>
            <w:vAlign w:val="center"/>
          </w:tcPr>
          <w:p w:rsidR="000C5659" w:rsidRDefault="000E33C4">
            <w:pPr>
              <w:jc w:val="right"/>
              <w:textAlignment w:val="center"/>
            </w:pPr>
            <w:r>
              <w:rPr>
                <w:rFonts w:hint="eastAsia"/>
                <w:color w:val="000000"/>
                <w:lang w:bidi="ar"/>
              </w:rPr>
              <w:t>15,207,579.28</w:t>
            </w:r>
          </w:p>
        </w:tc>
        <w:tc>
          <w:tcPr>
            <w:tcW w:w="1275" w:type="dxa"/>
            <w:vAlign w:val="center"/>
          </w:tcPr>
          <w:p w:rsidR="000C5659" w:rsidRDefault="000E33C4">
            <w:pPr>
              <w:jc w:val="right"/>
              <w:textAlignment w:val="center"/>
            </w:pPr>
            <w:r>
              <w:rPr>
                <w:rFonts w:hint="eastAsia"/>
                <w:color w:val="000000"/>
                <w:lang w:bidi="ar"/>
              </w:rPr>
              <w:t>5,899,787.92</w:t>
            </w:r>
          </w:p>
        </w:tc>
        <w:tc>
          <w:tcPr>
            <w:tcW w:w="1273" w:type="dxa"/>
            <w:vAlign w:val="center"/>
          </w:tcPr>
          <w:p w:rsidR="000C5659" w:rsidRDefault="000C5659">
            <w:pPr>
              <w:jc w:val="right"/>
            </w:pPr>
          </w:p>
        </w:tc>
        <w:tc>
          <w:tcPr>
            <w:tcW w:w="1325" w:type="dxa"/>
            <w:shd w:val="clear" w:color="auto" w:fill="auto"/>
            <w:vAlign w:val="center"/>
          </w:tcPr>
          <w:p w:rsidR="000C5659" w:rsidRDefault="000E33C4">
            <w:pPr>
              <w:jc w:val="right"/>
              <w:textAlignment w:val="center"/>
            </w:pPr>
            <w:r>
              <w:rPr>
                <w:rFonts w:hint="eastAsia"/>
                <w:color w:val="000000"/>
                <w:lang w:bidi="ar"/>
              </w:rPr>
              <w:t>5,899,787.92</w:t>
            </w:r>
          </w:p>
        </w:tc>
      </w:tr>
      <w:tr w:rsidR="000C5659">
        <w:tc>
          <w:tcPr>
            <w:tcW w:w="1536" w:type="dxa"/>
            <w:shd w:val="clear" w:color="auto" w:fill="auto"/>
            <w:vAlign w:val="center"/>
          </w:tcPr>
          <w:p w:rsidR="000C5659" w:rsidRDefault="000E33C4">
            <w:pPr>
              <w:textAlignment w:val="center"/>
            </w:pPr>
            <w:r>
              <w:rPr>
                <w:rFonts w:hint="eastAsia"/>
                <w:color w:val="000000"/>
                <w:lang w:bidi="ar"/>
              </w:rPr>
              <w:t>购置无形资产预付款</w:t>
            </w:r>
          </w:p>
        </w:tc>
        <w:tc>
          <w:tcPr>
            <w:tcW w:w="1276" w:type="dxa"/>
            <w:vAlign w:val="center"/>
          </w:tcPr>
          <w:p w:rsidR="000C5659" w:rsidRDefault="000E33C4">
            <w:pPr>
              <w:jc w:val="right"/>
              <w:textAlignment w:val="center"/>
            </w:pPr>
            <w:r>
              <w:rPr>
                <w:rFonts w:hint="eastAsia"/>
                <w:color w:val="000000"/>
                <w:lang w:bidi="ar"/>
              </w:rPr>
              <w:t>776,699.04</w:t>
            </w:r>
          </w:p>
        </w:tc>
        <w:tc>
          <w:tcPr>
            <w:tcW w:w="1275" w:type="dxa"/>
            <w:vAlign w:val="center"/>
          </w:tcPr>
          <w:p w:rsidR="000C5659" w:rsidRDefault="000C5659">
            <w:pPr>
              <w:jc w:val="right"/>
            </w:pPr>
          </w:p>
        </w:tc>
        <w:tc>
          <w:tcPr>
            <w:tcW w:w="1277" w:type="dxa"/>
            <w:shd w:val="clear" w:color="auto" w:fill="auto"/>
            <w:vAlign w:val="center"/>
          </w:tcPr>
          <w:p w:rsidR="000C5659" w:rsidRDefault="000E33C4">
            <w:pPr>
              <w:jc w:val="right"/>
              <w:textAlignment w:val="center"/>
            </w:pPr>
            <w:r>
              <w:rPr>
                <w:rFonts w:hint="eastAsia"/>
                <w:color w:val="000000"/>
                <w:lang w:bidi="ar"/>
              </w:rPr>
              <w:t>776,699.04</w:t>
            </w:r>
          </w:p>
        </w:tc>
        <w:tc>
          <w:tcPr>
            <w:tcW w:w="1275" w:type="dxa"/>
            <w:vAlign w:val="center"/>
          </w:tcPr>
          <w:p w:rsidR="000C5659" w:rsidRDefault="000E33C4">
            <w:pPr>
              <w:jc w:val="right"/>
              <w:textAlignment w:val="center"/>
            </w:pPr>
            <w:r>
              <w:rPr>
                <w:rFonts w:hint="eastAsia"/>
                <w:color w:val="000000"/>
                <w:lang w:bidi="ar"/>
              </w:rPr>
              <w:t>679,611.66</w:t>
            </w:r>
          </w:p>
        </w:tc>
        <w:tc>
          <w:tcPr>
            <w:tcW w:w="1273" w:type="dxa"/>
            <w:vAlign w:val="center"/>
          </w:tcPr>
          <w:p w:rsidR="000C5659" w:rsidRDefault="000C5659">
            <w:pPr>
              <w:jc w:val="right"/>
            </w:pPr>
          </w:p>
        </w:tc>
        <w:tc>
          <w:tcPr>
            <w:tcW w:w="1325" w:type="dxa"/>
            <w:shd w:val="clear" w:color="auto" w:fill="auto"/>
            <w:vAlign w:val="center"/>
          </w:tcPr>
          <w:p w:rsidR="000C5659" w:rsidRDefault="000E33C4">
            <w:pPr>
              <w:jc w:val="right"/>
              <w:textAlignment w:val="center"/>
            </w:pPr>
            <w:r>
              <w:rPr>
                <w:rFonts w:hint="eastAsia"/>
                <w:color w:val="000000"/>
                <w:lang w:bidi="ar"/>
              </w:rPr>
              <w:t>679,611.66</w:t>
            </w:r>
          </w:p>
        </w:tc>
      </w:tr>
      <w:tr w:rsidR="000C5659">
        <w:tc>
          <w:tcPr>
            <w:tcW w:w="1536" w:type="dxa"/>
            <w:shd w:val="clear" w:color="auto" w:fill="auto"/>
            <w:vAlign w:val="center"/>
          </w:tcPr>
          <w:p w:rsidR="000C5659" w:rsidRDefault="000E33C4">
            <w:pPr>
              <w:textAlignment w:val="center"/>
            </w:pPr>
            <w:r>
              <w:rPr>
                <w:rFonts w:hint="eastAsia"/>
                <w:color w:val="000000"/>
                <w:lang w:bidi="ar"/>
              </w:rPr>
              <w:t>股权购买预付款</w:t>
            </w:r>
          </w:p>
        </w:tc>
        <w:tc>
          <w:tcPr>
            <w:tcW w:w="1276" w:type="dxa"/>
            <w:vAlign w:val="center"/>
          </w:tcPr>
          <w:p w:rsidR="000C5659" w:rsidRDefault="000E33C4">
            <w:pPr>
              <w:jc w:val="right"/>
              <w:textAlignment w:val="center"/>
            </w:pPr>
            <w:r>
              <w:rPr>
                <w:rFonts w:hint="eastAsia"/>
                <w:color w:val="000000"/>
                <w:lang w:bidi="ar"/>
              </w:rPr>
              <w:t>25,314,730.00</w:t>
            </w:r>
          </w:p>
        </w:tc>
        <w:tc>
          <w:tcPr>
            <w:tcW w:w="1275" w:type="dxa"/>
            <w:vAlign w:val="center"/>
          </w:tcPr>
          <w:p w:rsidR="000C5659" w:rsidRDefault="000C5659">
            <w:pPr>
              <w:jc w:val="right"/>
            </w:pPr>
          </w:p>
        </w:tc>
        <w:tc>
          <w:tcPr>
            <w:tcW w:w="1277" w:type="dxa"/>
            <w:shd w:val="clear" w:color="auto" w:fill="auto"/>
            <w:vAlign w:val="center"/>
          </w:tcPr>
          <w:p w:rsidR="000C5659" w:rsidRDefault="000E33C4">
            <w:pPr>
              <w:jc w:val="right"/>
              <w:textAlignment w:val="center"/>
            </w:pPr>
            <w:r>
              <w:rPr>
                <w:rFonts w:hint="eastAsia"/>
                <w:color w:val="000000"/>
                <w:lang w:bidi="ar"/>
              </w:rPr>
              <w:t>25,314,730.00</w:t>
            </w:r>
          </w:p>
        </w:tc>
        <w:tc>
          <w:tcPr>
            <w:tcW w:w="1275" w:type="dxa"/>
            <w:vAlign w:val="center"/>
          </w:tcPr>
          <w:p w:rsidR="000C5659" w:rsidRDefault="000E33C4">
            <w:pPr>
              <w:jc w:val="right"/>
              <w:textAlignment w:val="center"/>
            </w:pPr>
            <w:r>
              <w:rPr>
                <w:rFonts w:hint="eastAsia"/>
                <w:color w:val="000000"/>
                <w:lang w:bidi="ar"/>
              </w:rPr>
              <w:t>36,406,407.98</w:t>
            </w:r>
          </w:p>
        </w:tc>
        <w:tc>
          <w:tcPr>
            <w:tcW w:w="1273" w:type="dxa"/>
            <w:vAlign w:val="center"/>
          </w:tcPr>
          <w:p w:rsidR="000C5659" w:rsidRDefault="000C5659">
            <w:pPr>
              <w:jc w:val="right"/>
            </w:pPr>
          </w:p>
        </w:tc>
        <w:tc>
          <w:tcPr>
            <w:tcW w:w="1325" w:type="dxa"/>
            <w:shd w:val="clear" w:color="auto" w:fill="auto"/>
            <w:vAlign w:val="center"/>
          </w:tcPr>
          <w:p w:rsidR="000C5659" w:rsidRDefault="000E33C4">
            <w:pPr>
              <w:jc w:val="right"/>
              <w:textAlignment w:val="center"/>
            </w:pPr>
            <w:r>
              <w:rPr>
                <w:rFonts w:hint="eastAsia"/>
                <w:color w:val="000000"/>
                <w:lang w:bidi="ar"/>
              </w:rPr>
              <w:t>36,406,407.98</w:t>
            </w:r>
          </w:p>
        </w:tc>
      </w:tr>
      <w:tr w:rsidR="000C5659">
        <w:tc>
          <w:tcPr>
            <w:tcW w:w="1536" w:type="dxa"/>
            <w:shd w:val="clear" w:color="auto" w:fill="auto"/>
            <w:vAlign w:val="center"/>
          </w:tcPr>
          <w:p w:rsidR="000C5659" w:rsidRDefault="000E33C4">
            <w:pPr>
              <w:jc w:val="center"/>
              <w:textAlignment w:val="center"/>
              <w:rPr>
                <w:color w:val="000000" w:themeColor="text1"/>
              </w:rPr>
            </w:pPr>
            <w:r>
              <w:rPr>
                <w:rFonts w:hint="eastAsia"/>
                <w:color w:val="000000"/>
                <w:lang w:bidi="ar"/>
              </w:rPr>
              <w:t>合计</w:t>
            </w:r>
          </w:p>
        </w:tc>
        <w:tc>
          <w:tcPr>
            <w:tcW w:w="1276" w:type="dxa"/>
            <w:vAlign w:val="center"/>
          </w:tcPr>
          <w:p w:rsidR="000C5659" w:rsidRDefault="000E33C4">
            <w:pPr>
              <w:jc w:val="right"/>
              <w:textAlignment w:val="center"/>
            </w:pPr>
            <w:r>
              <w:rPr>
                <w:rFonts w:hint="eastAsia"/>
                <w:color w:val="000000"/>
                <w:lang w:bidi="ar"/>
              </w:rPr>
              <w:t>41,299,008.32</w:t>
            </w:r>
          </w:p>
        </w:tc>
        <w:tc>
          <w:tcPr>
            <w:tcW w:w="1275" w:type="dxa"/>
            <w:vAlign w:val="center"/>
          </w:tcPr>
          <w:p w:rsidR="000C5659" w:rsidRDefault="000C5659">
            <w:pPr>
              <w:jc w:val="right"/>
            </w:pPr>
          </w:p>
        </w:tc>
        <w:tc>
          <w:tcPr>
            <w:tcW w:w="1277" w:type="dxa"/>
            <w:shd w:val="clear" w:color="auto" w:fill="auto"/>
            <w:vAlign w:val="center"/>
          </w:tcPr>
          <w:p w:rsidR="000C5659" w:rsidRDefault="000E33C4">
            <w:pPr>
              <w:jc w:val="right"/>
              <w:textAlignment w:val="center"/>
            </w:pPr>
            <w:r>
              <w:rPr>
                <w:rFonts w:hint="eastAsia"/>
                <w:color w:val="000000"/>
                <w:lang w:bidi="ar"/>
              </w:rPr>
              <w:t>41,299,008.32</w:t>
            </w:r>
          </w:p>
        </w:tc>
        <w:tc>
          <w:tcPr>
            <w:tcW w:w="1275" w:type="dxa"/>
            <w:vAlign w:val="center"/>
          </w:tcPr>
          <w:p w:rsidR="000C5659" w:rsidRDefault="000E33C4">
            <w:pPr>
              <w:jc w:val="right"/>
              <w:textAlignment w:val="center"/>
            </w:pPr>
            <w:r>
              <w:rPr>
                <w:rFonts w:hint="eastAsia"/>
                <w:color w:val="000000"/>
                <w:lang w:bidi="ar"/>
              </w:rPr>
              <w:t>42,985,807.56</w:t>
            </w:r>
          </w:p>
        </w:tc>
        <w:tc>
          <w:tcPr>
            <w:tcW w:w="1273" w:type="dxa"/>
            <w:vAlign w:val="center"/>
          </w:tcPr>
          <w:p w:rsidR="000C5659" w:rsidRDefault="000C5659">
            <w:pPr>
              <w:jc w:val="right"/>
            </w:pPr>
          </w:p>
        </w:tc>
        <w:tc>
          <w:tcPr>
            <w:tcW w:w="1325" w:type="dxa"/>
            <w:shd w:val="clear" w:color="auto" w:fill="auto"/>
            <w:vAlign w:val="center"/>
          </w:tcPr>
          <w:p w:rsidR="000C5659" w:rsidRDefault="000E33C4">
            <w:pPr>
              <w:jc w:val="right"/>
              <w:textAlignment w:val="center"/>
            </w:pPr>
            <w:r>
              <w:rPr>
                <w:rFonts w:hint="eastAsia"/>
                <w:color w:val="000000"/>
                <w:lang w:bidi="ar"/>
              </w:rPr>
              <w:t>42,985,807.56</w:t>
            </w:r>
          </w:p>
        </w:tc>
      </w:tr>
    </w:tbl>
    <w:p w:rsidR="000C5659" w:rsidRDefault="000E33C4">
      <w:pPr>
        <w:rPr>
          <w:color w:val="000000" w:themeColor="text1"/>
        </w:rPr>
      </w:pPr>
      <w:r>
        <w:rPr>
          <w:rFonts w:hint="eastAsia"/>
          <w:color w:val="000000" w:themeColor="text1"/>
        </w:rPr>
        <w:t>其他说明：</w:t>
      </w:r>
    </w:p>
    <w:sdt>
      <w:sdtPr>
        <w:rPr>
          <w:color w:val="000000" w:themeColor="text1"/>
        </w:rPr>
        <w:alias w:val="其他长期资产的说明"/>
        <w:tag w:val="_GBC_c90d49970b64411f909938927f41ebe5"/>
        <w:id w:val="-669633438"/>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p w:rsidR="000C5659" w:rsidRDefault="000C5659">
          <w:pPr>
            <w:rPr>
              <w:color w:val="000000" w:themeColor="text1"/>
            </w:rPr>
            <w:sectPr w:rsidR="000C5659">
              <w:pgSz w:w="11906" w:h="16838"/>
              <w:pgMar w:top="1525" w:right="1276" w:bottom="1440" w:left="1797" w:header="856" w:footer="992" w:gutter="0"/>
              <w:cols w:space="425"/>
              <w:docGrid w:linePitch="312"/>
            </w:sectPr>
          </w:pPr>
        </w:p>
        <w:p w:rsidR="000C5659" w:rsidRDefault="00220B84">
          <w:pPr>
            <w:rPr>
              <w:color w:val="000000" w:themeColor="text1"/>
            </w:rPr>
          </w:pPr>
        </w:p>
      </w:sdtContent>
    </w:sdt>
    <w:p w:rsidR="000C5659" w:rsidRDefault="000E33C4" w:rsidP="000743DD">
      <w:pPr>
        <w:pStyle w:val="35"/>
        <w:numPr>
          <w:ilvl w:val="0"/>
          <w:numId w:val="50"/>
        </w:numPr>
        <w:rPr>
          <w:color w:val="000000" w:themeColor="text1"/>
          <w:szCs w:val="21"/>
        </w:rPr>
      </w:pPr>
      <w:bookmarkStart w:id="300" w:name="_Hlk167960140"/>
      <w:bookmarkEnd w:id="299"/>
      <w:r>
        <w:rPr>
          <w:color w:val="000000" w:themeColor="text1"/>
          <w:szCs w:val="21"/>
        </w:rPr>
        <w:t>所有权或使用权受限资产</w:t>
      </w:r>
    </w:p>
    <w:sdt>
      <w:sdtPr>
        <w:rPr>
          <w:color w:val="000000" w:themeColor="text1"/>
        </w:rPr>
        <w:alias w:val="是否适用：所有权或使用权受到限制的资产[双击切换]"/>
        <w:tag w:val="_GBC_006357d26b6d46ec8496596e5de014f0"/>
        <w:id w:val="-40976826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a7102ff3db4e4d8a94bd9f34e41fd91f"/>
          <w:id w:val="10840290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所有权或使用权受到限制的资产"/>
          <w:tag w:val="_GBC_95c4fec9be7647a5baa402b14dcb9f69"/>
          <w:id w:val="-8901166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2"/>
        <w:tblW w:w="5000" w:type="pct"/>
        <w:tblLook w:val="04A0" w:firstRow="1" w:lastRow="0" w:firstColumn="1" w:lastColumn="0" w:noHBand="0" w:noVBand="1"/>
      </w:tblPr>
      <w:tblGrid>
        <w:gridCol w:w="1315"/>
        <w:gridCol w:w="1686"/>
        <w:gridCol w:w="1686"/>
        <w:gridCol w:w="1073"/>
        <w:gridCol w:w="2505"/>
        <w:gridCol w:w="1686"/>
        <w:gridCol w:w="1686"/>
        <w:gridCol w:w="783"/>
        <w:gridCol w:w="1443"/>
      </w:tblGrid>
      <w:tr w:rsidR="000C5659">
        <w:sdt>
          <w:sdtPr>
            <w:rPr>
              <w:rFonts w:ascii="Times New Roman" w:hAnsi="Times New Roman" w:hint="eastAsia"/>
              <w:color w:val="000000" w:themeColor="text1"/>
            </w:rPr>
            <w:tag w:val="_PLD_1faeb04f4bf14b349ad8c59d6667b0fb"/>
            <w:id w:val="-231317926"/>
          </w:sdtPr>
          <w:sdtEndPr/>
          <w:sdtContent>
            <w:tc>
              <w:tcPr>
                <w:tcW w:w="490" w:type="pct"/>
                <w:vMerge w:val="restart"/>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项目</w:t>
                </w:r>
              </w:p>
            </w:tc>
          </w:sdtContent>
        </w:sdt>
        <w:sdt>
          <w:sdtPr>
            <w:rPr>
              <w:rFonts w:ascii="Times New Roman" w:hAnsi="Times New Roman" w:hint="eastAsia"/>
              <w:color w:val="000000" w:themeColor="text1"/>
            </w:rPr>
            <w:tag w:val="_PLD_c2f91c04994b44019d90769d6b563b17"/>
            <w:id w:val="-278731898"/>
          </w:sdtPr>
          <w:sdtEndPr/>
          <w:sdtContent>
            <w:tc>
              <w:tcPr>
                <w:tcW w:w="2480" w:type="pct"/>
                <w:gridSpan w:val="4"/>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期末</w:t>
                </w:r>
              </w:p>
            </w:tc>
          </w:sdtContent>
        </w:sdt>
        <w:sdt>
          <w:sdtPr>
            <w:rPr>
              <w:rFonts w:ascii="Times New Roman" w:hAnsi="Times New Roman" w:hint="eastAsia"/>
              <w:color w:val="000000" w:themeColor="text1"/>
            </w:rPr>
            <w:tag w:val="_PLD_a4db33e8a01e48af856e896d9a21aa2b"/>
            <w:id w:val="-17933588"/>
          </w:sdtPr>
          <w:sdtEndPr/>
          <w:sdtContent>
            <w:tc>
              <w:tcPr>
                <w:tcW w:w="2031" w:type="pct"/>
                <w:gridSpan w:val="4"/>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期初</w:t>
                </w:r>
              </w:p>
            </w:tc>
          </w:sdtContent>
        </w:sdt>
      </w:tr>
      <w:tr w:rsidR="000C5659">
        <w:trPr>
          <w:trHeight w:val="70"/>
        </w:trPr>
        <w:tc>
          <w:tcPr>
            <w:tcW w:w="490" w:type="pct"/>
            <w:vMerge/>
            <w:vAlign w:val="center"/>
          </w:tcPr>
          <w:p w:rsidR="000C5659" w:rsidRDefault="000C5659">
            <w:pPr>
              <w:rPr>
                <w:rFonts w:ascii="Times New Roman" w:hAnsi="Times New Roman"/>
                <w:color w:val="000000" w:themeColor="text1"/>
              </w:rPr>
            </w:pPr>
          </w:p>
        </w:tc>
        <w:sdt>
          <w:sdtPr>
            <w:rPr>
              <w:rFonts w:ascii="Times New Roman" w:hAnsi="Times New Roman"/>
              <w:color w:val="000000" w:themeColor="text1"/>
            </w:rPr>
            <w:tag w:val="_PLD_4ba4c960e2ab4b31a1704a41594547f5"/>
            <w:id w:val="1905252376"/>
          </w:sdtPr>
          <w:sdtEndPr/>
          <w:sdtContent>
            <w:tc>
              <w:tcPr>
                <w:tcW w:w="561"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账面余额</w:t>
                </w:r>
              </w:p>
            </w:tc>
          </w:sdtContent>
        </w:sdt>
        <w:sdt>
          <w:sdtPr>
            <w:rPr>
              <w:rFonts w:ascii="Times New Roman" w:hAnsi="Times New Roman"/>
              <w:color w:val="000000" w:themeColor="text1"/>
            </w:rPr>
            <w:tag w:val="_PLD_73e1cd74d6d14f48b88c0ac46580634a"/>
            <w:id w:val="2091420454"/>
          </w:sdtPr>
          <w:sdtEndPr/>
          <w:sdtContent>
            <w:tc>
              <w:tcPr>
                <w:tcW w:w="597"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账面价值</w:t>
                </w:r>
              </w:p>
            </w:tc>
          </w:sdtContent>
        </w:sdt>
        <w:sdt>
          <w:sdtPr>
            <w:rPr>
              <w:rFonts w:ascii="Times New Roman" w:hAnsi="Times New Roman"/>
              <w:color w:val="000000" w:themeColor="text1"/>
            </w:rPr>
            <w:tag w:val="_PLD_7e2b8d1452f04530979fb1795878387b"/>
            <w:id w:val="-2054685684"/>
          </w:sdtPr>
          <w:sdtEndPr/>
          <w:sdtContent>
            <w:tc>
              <w:tcPr>
                <w:tcW w:w="403"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受限类型</w:t>
                </w:r>
              </w:p>
            </w:tc>
          </w:sdtContent>
        </w:sdt>
        <w:sdt>
          <w:sdtPr>
            <w:rPr>
              <w:rFonts w:ascii="Times New Roman" w:hAnsi="Times New Roman"/>
              <w:color w:val="000000" w:themeColor="text1"/>
            </w:rPr>
            <w:tag w:val="_PLD_85649273a58f4daebca471b337c689b7"/>
            <w:id w:val="-1072578991"/>
          </w:sdtPr>
          <w:sdtEndPr/>
          <w:sdtContent>
            <w:tc>
              <w:tcPr>
                <w:tcW w:w="919"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受限情况</w:t>
                </w:r>
              </w:p>
            </w:tc>
          </w:sdtContent>
        </w:sdt>
        <w:sdt>
          <w:sdtPr>
            <w:rPr>
              <w:rFonts w:ascii="Times New Roman" w:hAnsi="Times New Roman"/>
              <w:color w:val="000000" w:themeColor="text1"/>
            </w:rPr>
            <w:tag w:val="_PLD_185f68e2333346e5b0c53a9ec276e404"/>
            <w:id w:val="-1816331170"/>
          </w:sdtPr>
          <w:sdtEndPr/>
          <w:sdtContent>
            <w:tc>
              <w:tcPr>
                <w:tcW w:w="598"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账面余额</w:t>
                </w:r>
              </w:p>
            </w:tc>
          </w:sdtContent>
        </w:sdt>
        <w:sdt>
          <w:sdtPr>
            <w:rPr>
              <w:rFonts w:ascii="Times New Roman" w:hAnsi="Times New Roman"/>
              <w:color w:val="000000" w:themeColor="text1"/>
            </w:rPr>
            <w:tag w:val="_PLD_c92ffe9b652b42a095b39310603e580a"/>
            <w:id w:val="140861039"/>
          </w:sdtPr>
          <w:sdtEndPr/>
          <w:sdtContent>
            <w:tc>
              <w:tcPr>
                <w:tcW w:w="598"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账面价值</w:t>
                </w:r>
              </w:p>
            </w:tc>
          </w:sdtContent>
        </w:sdt>
        <w:sdt>
          <w:sdtPr>
            <w:rPr>
              <w:rFonts w:ascii="Times New Roman" w:hAnsi="Times New Roman"/>
              <w:color w:val="000000" w:themeColor="text1"/>
            </w:rPr>
            <w:tag w:val="_PLD_8acb0a1b50e14924933495ec38dd30e1"/>
            <w:id w:val="456155119"/>
          </w:sdtPr>
          <w:sdtEndPr/>
          <w:sdtContent>
            <w:tc>
              <w:tcPr>
                <w:tcW w:w="298"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受限类型</w:t>
                </w:r>
              </w:p>
            </w:tc>
          </w:sdtContent>
        </w:sdt>
        <w:sdt>
          <w:sdtPr>
            <w:rPr>
              <w:rFonts w:ascii="Times New Roman" w:hAnsi="Times New Roman"/>
              <w:color w:val="000000" w:themeColor="text1"/>
            </w:rPr>
            <w:tag w:val="_PLD_6297a0a81c884eab9519ec385b0b6dbe"/>
            <w:id w:val="-1266765046"/>
          </w:sdtPr>
          <w:sdtEndPr/>
          <w:sdtContent>
            <w:tc>
              <w:tcPr>
                <w:tcW w:w="536" w:type="pct"/>
                <w:vAlign w:val="center"/>
              </w:tcPr>
              <w:p w:rsidR="000C5659" w:rsidRDefault="000E33C4">
                <w:pPr>
                  <w:jc w:val="center"/>
                  <w:rPr>
                    <w:rFonts w:ascii="Times New Roman" w:hAnsi="Times New Roman"/>
                    <w:color w:val="000000" w:themeColor="text1"/>
                  </w:rPr>
                </w:pPr>
                <w:r>
                  <w:rPr>
                    <w:rFonts w:ascii="Times New Roman" w:hAnsi="Times New Roman"/>
                    <w:color w:val="000000" w:themeColor="text1"/>
                  </w:rPr>
                  <w:t>受限情况</w:t>
                </w:r>
              </w:p>
            </w:tc>
          </w:sdtContent>
        </w:sdt>
      </w:tr>
      <w:tr w:rsidR="000C5659">
        <w:trPr>
          <w:trHeight w:val="1485"/>
        </w:trPr>
        <w:tc>
          <w:tcPr>
            <w:tcW w:w="490" w:type="pct"/>
            <w:vMerge w:val="restart"/>
            <w:vAlign w:val="center"/>
          </w:tcPr>
          <w:p w:rsidR="000C5659" w:rsidRDefault="000E33C4">
            <w:pPr>
              <w:snapToGrid w:val="0"/>
              <w:rPr>
                <w:rFonts w:ascii="Times New Roman" w:hAnsi="Times New Roman"/>
                <w:color w:val="000000" w:themeColor="text1"/>
              </w:rPr>
            </w:pPr>
            <w:r>
              <w:rPr>
                <w:szCs w:val="18"/>
              </w:rPr>
              <w:t>货币资金</w:t>
            </w:r>
          </w:p>
        </w:tc>
        <w:tc>
          <w:tcPr>
            <w:tcW w:w="561" w:type="pct"/>
            <w:vMerge w:val="restar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16,551,711.05</w:t>
            </w:r>
          </w:p>
        </w:tc>
        <w:tc>
          <w:tcPr>
            <w:tcW w:w="597" w:type="pct"/>
            <w:vMerge w:val="restar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16,551,711.05</w:t>
            </w:r>
          </w:p>
        </w:tc>
        <w:sdt>
          <w:sdtPr>
            <w:rPr>
              <w:rFonts w:ascii="Times New Roman" w:hAnsi="Times New Roman"/>
              <w:color w:val="000000" w:themeColor="text1"/>
            </w:rPr>
            <w:alias w:val="所有权或使用权受到限制的资产中货币资金受限类型"/>
            <w:tag w:val="_GBC_8cc22d65983f45c5b27d977237a92b9b"/>
            <w:id w:val="-27725768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403" w:type="pct"/>
                <w:vMerge w:val="restart"/>
                <w:vAlign w:val="center"/>
              </w:tcPr>
              <w:p w:rsidR="000C5659" w:rsidRDefault="00B708C8">
                <w:pPr>
                  <w:rPr>
                    <w:rFonts w:ascii="Times New Roman" w:hAnsi="Times New Roman"/>
                    <w:color w:val="000000" w:themeColor="text1"/>
                  </w:rPr>
                </w:pPr>
                <w:r>
                  <w:rPr>
                    <w:rFonts w:ascii="Times New Roman" w:hAnsi="Times New Roman" w:hint="eastAsia"/>
                    <w:color w:val="000000" w:themeColor="text1"/>
                  </w:rPr>
                  <w:t>冻结</w:t>
                </w:r>
              </w:p>
            </w:tc>
          </w:sdtContent>
        </w:sdt>
        <w:tc>
          <w:tcPr>
            <w:tcW w:w="919" w:type="pct"/>
            <w:vMerge w:val="restart"/>
            <w:vAlign w:val="center"/>
          </w:tcPr>
          <w:p w:rsidR="000C5659" w:rsidRDefault="000E33C4">
            <w:pPr>
              <w:rPr>
                <w:rFonts w:ascii="Times New Roman" w:hAnsi="Times New Roman"/>
              </w:rPr>
            </w:pPr>
            <w:r>
              <w:t>用于银行承兑汇票保证金、远期外汇保证金以及信用证保证金等</w:t>
            </w:r>
          </w:p>
        </w:tc>
        <w:tc>
          <w:tcPr>
            <w:tcW w:w="598" w:type="pct"/>
            <w:vAlign w:val="center"/>
          </w:tcPr>
          <w:p w:rsidR="000C5659" w:rsidRDefault="000E33C4">
            <w:pPr>
              <w:jc w:val="right"/>
              <w:rPr>
                <w:rFonts w:ascii="Times New Roman" w:hAnsi="Times New Roman"/>
              </w:rPr>
            </w:pPr>
            <w:r>
              <w:t>20,142,956.84</w:t>
            </w:r>
          </w:p>
        </w:tc>
        <w:tc>
          <w:tcPr>
            <w:tcW w:w="598" w:type="pct"/>
            <w:vAlign w:val="center"/>
          </w:tcPr>
          <w:p w:rsidR="000C5659" w:rsidRDefault="000E33C4">
            <w:pPr>
              <w:jc w:val="right"/>
              <w:rPr>
                <w:rFonts w:ascii="Times New Roman" w:hAnsi="Times New Roman"/>
              </w:rPr>
            </w:pPr>
            <w:r>
              <w:t>20,142,956.84</w:t>
            </w:r>
          </w:p>
        </w:tc>
        <w:sdt>
          <w:sdtPr>
            <w:rPr>
              <w:rFonts w:ascii="Times New Roman" w:hAnsi="Times New Roman"/>
              <w:color w:val="000000" w:themeColor="text1"/>
            </w:rPr>
            <w:alias w:val="所有权或使用权受到限制的资产中货币资金受限类型"/>
            <w:tag w:val="_GBC_688a2cf08119461992fafe5efc0252ae"/>
            <w:id w:val="-59054065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298" w:type="pct"/>
                <w:vAlign w:val="center"/>
              </w:tcPr>
              <w:p w:rsidR="000C5659" w:rsidRDefault="00B708C8">
                <w:pPr>
                  <w:rPr>
                    <w:rFonts w:ascii="Times New Roman" w:hAnsi="Times New Roman"/>
                    <w:color w:val="000000" w:themeColor="text1"/>
                  </w:rPr>
                </w:pPr>
                <w:r>
                  <w:rPr>
                    <w:rFonts w:ascii="Times New Roman" w:hAnsi="Times New Roman" w:hint="eastAsia"/>
                    <w:color w:val="000000" w:themeColor="text1"/>
                  </w:rPr>
                  <w:t>冻结</w:t>
                </w:r>
              </w:p>
            </w:tc>
          </w:sdtContent>
        </w:sdt>
        <w:tc>
          <w:tcPr>
            <w:tcW w:w="536" w:type="pct"/>
            <w:vAlign w:val="center"/>
          </w:tcPr>
          <w:p w:rsidR="000C5659" w:rsidRDefault="000E33C4">
            <w:pPr>
              <w:rPr>
                <w:rFonts w:ascii="Times New Roman" w:hAnsi="Times New Roman"/>
              </w:rPr>
            </w:pPr>
            <w:r>
              <w:t>用于银行承兑汇票保证金、远期外汇保证金以及信用证保证金等</w:t>
            </w:r>
          </w:p>
        </w:tc>
      </w:tr>
      <w:tr w:rsidR="000C5659">
        <w:trPr>
          <w:trHeight w:val="589"/>
        </w:trPr>
        <w:tc>
          <w:tcPr>
            <w:tcW w:w="490" w:type="pct"/>
            <w:vMerge/>
            <w:vAlign w:val="center"/>
          </w:tcPr>
          <w:p w:rsidR="000C5659" w:rsidRDefault="000C5659"/>
        </w:tc>
        <w:tc>
          <w:tcPr>
            <w:tcW w:w="561" w:type="pct"/>
            <w:vMerge/>
            <w:vAlign w:val="center"/>
          </w:tcPr>
          <w:p w:rsidR="000C5659" w:rsidRDefault="000C5659">
            <w:pPr>
              <w:jc w:val="right"/>
              <w:rPr>
                <w:rFonts w:asciiTheme="minorEastAsia" w:eastAsiaTheme="minorEastAsia" w:hAnsiTheme="minorEastAsia"/>
              </w:rPr>
            </w:pPr>
          </w:p>
        </w:tc>
        <w:tc>
          <w:tcPr>
            <w:tcW w:w="597" w:type="pct"/>
            <w:vMerge/>
            <w:vAlign w:val="center"/>
          </w:tcPr>
          <w:p w:rsidR="000C5659" w:rsidRDefault="000C5659">
            <w:pPr>
              <w:jc w:val="right"/>
              <w:rPr>
                <w:rFonts w:asciiTheme="minorEastAsia" w:eastAsiaTheme="minorEastAsia" w:hAnsiTheme="minorEastAsia"/>
              </w:rPr>
            </w:pPr>
          </w:p>
        </w:tc>
        <w:tc>
          <w:tcPr>
            <w:tcW w:w="403" w:type="pct"/>
            <w:vMerge/>
            <w:vAlign w:val="center"/>
          </w:tcPr>
          <w:p w:rsidR="000C5659" w:rsidRDefault="000C5659"/>
        </w:tc>
        <w:tc>
          <w:tcPr>
            <w:tcW w:w="919" w:type="pct"/>
            <w:vMerge/>
            <w:vAlign w:val="center"/>
          </w:tcPr>
          <w:p w:rsidR="000C5659" w:rsidRDefault="000C5659"/>
        </w:tc>
        <w:tc>
          <w:tcPr>
            <w:tcW w:w="598" w:type="pct"/>
            <w:vAlign w:val="center"/>
          </w:tcPr>
          <w:p w:rsidR="000C5659" w:rsidRDefault="000E33C4">
            <w:pPr>
              <w:jc w:val="right"/>
            </w:pPr>
            <w:r>
              <w:t>3,510,000.00</w:t>
            </w:r>
          </w:p>
        </w:tc>
        <w:tc>
          <w:tcPr>
            <w:tcW w:w="598" w:type="pct"/>
            <w:vAlign w:val="center"/>
          </w:tcPr>
          <w:p w:rsidR="000C5659" w:rsidRDefault="000E33C4">
            <w:pPr>
              <w:jc w:val="right"/>
            </w:pPr>
            <w:r>
              <w:t>3,510,000.00</w:t>
            </w:r>
          </w:p>
        </w:tc>
        <w:tc>
          <w:tcPr>
            <w:tcW w:w="298" w:type="pct"/>
            <w:vAlign w:val="center"/>
          </w:tcPr>
          <w:p w:rsidR="000C5659" w:rsidRDefault="000E33C4">
            <w:r>
              <w:t>质押</w:t>
            </w:r>
          </w:p>
        </w:tc>
        <w:tc>
          <w:tcPr>
            <w:tcW w:w="536" w:type="pct"/>
            <w:vAlign w:val="center"/>
          </w:tcPr>
          <w:p w:rsidR="000C5659" w:rsidRDefault="000E33C4">
            <w:r>
              <w:t>质押用于开立应付票据</w:t>
            </w:r>
          </w:p>
        </w:tc>
      </w:tr>
      <w:tr w:rsidR="000C5659">
        <w:tc>
          <w:tcPr>
            <w:tcW w:w="490" w:type="pct"/>
            <w:vAlign w:val="center"/>
          </w:tcPr>
          <w:p w:rsidR="000C5659" w:rsidRDefault="000E33C4">
            <w:pPr>
              <w:snapToGrid w:val="0"/>
              <w:rPr>
                <w:rFonts w:ascii="Times New Roman" w:hAnsi="Times New Roman"/>
                <w:color w:val="000000" w:themeColor="text1"/>
              </w:rPr>
            </w:pPr>
            <w:r>
              <w:rPr>
                <w:szCs w:val="18"/>
              </w:rPr>
              <w:t>固定资产</w:t>
            </w:r>
          </w:p>
        </w:tc>
        <w:tc>
          <w:tcPr>
            <w:tcW w:w="561" w:type="pc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101,484,327.52</w:t>
            </w:r>
          </w:p>
        </w:tc>
        <w:tc>
          <w:tcPr>
            <w:tcW w:w="597" w:type="pc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101,484,327.52</w:t>
            </w:r>
          </w:p>
        </w:tc>
        <w:sdt>
          <w:sdtPr>
            <w:rPr>
              <w:rFonts w:ascii="Times New Roman" w:hAnsi="Times New Roman"/>
              <w:color w:val="000000" w:themeColor="text1"/>
            </w:rPr>
            <w:alias w:val="所有权或使用权受到限制的资产中应收票据受限类型"/>
            <w:tag w:val="_GBC_43876f266a7d4dd78f6d830558390706"/>
            <w:id w:val="148551458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403" w:type="pct"/>
                <w:vAlign w:val="center"/>
              </w:tcPr>
              <w:p w:rsidR="000C5659" w:rsidRDefault="00B708C8">
                <w:pPr>
                  <w:rPr>
                    <w:rFonts w:ascii="Times New Roman" w:hAnsi="Times New Roman"/>
                    <w:color w:val="000000" w:themeColor="text1"/>
                  </w:rPr>
                </w:pPr>
                <w:r>
                  <w:rPr>
                    <w:rFonts w:ascii="Times New Roman" w:hAnsi="Times New Roman" w:hint="eastAsia"/>
                    <w:color w:val="000000" w:themeColor="text1"/>
                  </w:rPr>
                  <w:t>抵押</w:t>
                </w:r>
              </w:p>
            </w:tc>
          </w:sdtContent>
        </w:sdt>
        <w:tc>
          <w:tcPr>
            <w:tcW w:w="919" w:type="pct"/>
            <w:vAlign w:val="center"/>
          </w:tcPr>
          <w:p w:rsidR="000C5659" w:rsidRDefault="000E33C4">
            <w:pPr>
              <w:rPr>
                <w:rFonts w:ascii="Times New Roman" w:hAnsi="Times New Roman"/>
              </w:rPr>
            </w:pPr>
            <w:r>
              <w:rPr>
                <w:rFonts w:ascii="Times New Roman" w:hAnsi="Times New Roman" w:hint="eastAsia"/>
              </w:rPr>
              <w:t>抵押用于借款以及开具银行承兑汇票等</w:t>
            </w:r>
          </w:p>
        </w:tc>
        <w:tc>
          <w:tcPr>
            <w:tcW w:w="598" w:type="pct"/>
            <w:vAlign w:val="center"/>
          </w:tcPr>
          <w:p w:rsidR="000C5659" w:rsidRDefault="000E33C4">
            <w:pPr>
              <w:snapToGrid w:val="0"/>
              <w:jc w:val="right"/>
              <w:rPr>
                <w:rFonts w:ascii="Times New Roman" w:hAnsi="Times New Roman"/>
              </w:rPr>
            </w:pPr>
            <w:r>
              <w:rPr>
                <w:szCs w:val="18"/>
              </w:rPr>
              <w:t>105,007,402.57</w:t>
            </w:r>
          </w:p>
        </w:tc>
        <w:tc>
          <w:tcPr>
            <w:tcW w:w="598" w:type="pct"/>
            <w:vAlign w:val="center"/>
          </w:tcPr>
          <w:p w:rsidR="000C5659" w:rsidRDefault="000E33C4">
            <w:pPr>
              <w:snapToGrid w:val="0"/>
              <w:jc w:val="right"/>
              <w:rPr>
                <w:rFonts w:ascii="Times New Roman" w:hAnsi="Times New Roman"/>
              </w:rPr>
            </w:pPr>
            <w:r>
              <w:rPr>
                <w:szCs w:val="18"/>
              </w:rPr>
              <w:t>105,007,402.57</w:t>
            </w:r>
          </w:p>
        </w:tc>
        <w:tc>
          <w:tcPr>
            <w:tcW w:w="298" w:type="pct"/>
            <w:vAlign w:val="center"/>
          </w:tcPr>
          <w:p w:rsidR="000C5659" w:rsidRDefault="000E33C4">
            <w:pPr>
              <w:snapToGrid w:val="0"/>
              <w:rPr>
                <w:rFonts w:ascii="Times New Roman" w:hAnsi="Times New Roman"/>
                <w:color w:val="000000" w:themeColor="text1"/>
              </w:rPr>
            </w:pPr>
            <w:r>
              <w:rPr>
                <w:rFonts w:asciiTheme="minorEastAsia" w:eastAsiaTheme="minorEastAsia" w:hAnsiTheme="minorEastAsia"/>
              </w:rPr>
              <w:t>抵押</w:t>
            </w:r>
          </w:p>
        </w:tc>
        <w:tc>
          <w:tcPr>
            <w:tcW w:w="536" w:type="pct"/>
            <w:vAlign w:val="center"/>
          </w:tcPr>
          <w:p w:rsidR="000C5659" w:rsidRDefault="000E33C4">
            <w:pPr>
              <w:snapToGrid w:val="0"/>
              <w:rPr>
                <w:rFonts w:ascii="Times New Roman" w:hAnsi="Times New Roman"/>
              </w:rPr>
            </w:pPr>
            <w:r>
              <w:rPr>
                <w:rFonts w:asciiTheme="minorEastAsia" w:eastAsiaTheme="minorEastAsia" w:hAnsiTheme="minorEastAsia"/>
              </w:rPr>
              <w:t>抵押用于借款以及开具银行承兑汇票等</w:t>
            </w:r>
          </w:p>
        </w:tc>
      </w:tr>
      <w:tr w:rsidR="000C5659">
        <w:tc>
          <w:tcPr>
            <w:tcW w:w="490" w:type="pct"/>
            <w:vAlign w:val="center"/>
          </w:tcPr>
          <w:p w:rsidR="000C5659" w:rsidRDefault="000E33C4">
            <w:pPr>
              <w:snapToGrid w:val="0"/>
              <w:rPr>
                <w:rFonts w:ascii="Times New Roman" w:hAnsi="Times New Roman"/>
                <w:color w:val="000000" w:themeColor="text1"/>
              </w:rPr>
            </w:pPr>
            <w:r>
              <w:rPr>
                <w:szCs w:val="18"/>
              </w:rPr>
              <w:t>无形资产</w:t>
            </w:r>
          </w:p>
        </w:tc>
        <w:tc>
          <w:tcPr>
            <w:tcW w:w="561" w:type="pc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22,207,307.39</w:t>
            </w:r>
          </w:p>
        </w:tc>
        <w:tc>
          <w:tcPr>
            <w:tcW w:w="597" w:type="pc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22,207,307.39</w:t>
            </w:r>
          </w:p>
        </w:tc>
        <w:sdt>
          <w:sdtPr>
            <w:rPr>
              <w:rFonts w:ascii="Times New Roman" w:hAnsi="Times New Roman"/>
              <w:color w:val="000000" w:themeColor="text1"/>
            </w:rPr>
            <w:alias w:val="所有权或使用权受到限制的资产中存货受限类型"/>
            <w:tag w:val="_GBC_9e79407b88be4a4e82932075dcc95f72"/>
            <w:id w:val="-119730862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403" w:type="pct"/>
                <w:vAlign w:val="center"/>
              </w:tcPr>
              <w:p w:rsidR="000C5659" w:rsidRDefault="00B708C8">
                <w:pPr>
                  <w:rPr>
                    <w:rFonts w:ascii="Times New Roman" w:hAnsi="Times New Roman"/>
                    <w:color w:val="000000" w:themeColor="text1"/>
                  </w:rPr>
                </w:pPr>
                <w:r>
                  <w:rPr>
                    <w:rFonts w:ascii="Times New Roman" w:hAnsi="Times New Roman" w:hint="eastAsia"/>
                    <w:color w:val="000000" w:themeColor="text1"/>
                  </w:rPr>
                  <w:t>抵押</w:t>
                </w:r>
              </w:p>
            </w:tc>
          </w:sdtContent>
        </w:sdt>
        <w:tc>
          <w:tcPr>
            <w:tcW w:w="919" w:type="pct"/>
            <w:vAlign w:val="center"/>
          </w:tcPr>
          <w:p w:rsidR="000C5659" w:rsidRDefault="000E33C4">
            <w:pPr>
              <w:rPr>
                <w:rFonts w:ascii="Times New Roman" w:hAnsi="Times New Roman"/>
              </w:rPr>
            </w:pPr>
            <w:r>
              <w:rPr>
                <w:rFonts w:ascii="Times New Roman" w:hAnsi="Times New Roman" w:hint="eastAsia"/>
              </w:rPr>
              <w:t>抵押用于借款以及开具银行承兑汇票等</w:t>
            </w:r>
          </w:p>
        </w:tc>
        <w:tc>
          <w:tcPr>
            <w:tcW w:w="598" w:type="pct"/>
            <w:vAlign w:val="center"/>
          </w:tcPr>
          <w:p w:rsidR="000C5659" w:rsidRDefault="000E33C4">
            <w:pPr>
              <w:snapToGrid w:val="0"/>
              <w:jc w:val="right"/>
              <w:rPr>
                <w:rFonts w:ascii="Times New Roman" w:hAnsi="Times New Roman"/>
              </w:rPr>
            </w:pPr>
            <w:r>
              <w:rPr>
                <w:szCs w:val="18"/>
              </w:rPr>
              <w:t>22,484,108.65</w:t>
            </w:r>
          </w:p>
        </w:tc>
        <w:tc>
          <w:tcPr>
            <w:tcW w:w="598" w:type="pct"/>
            <w:vAlign w:val="center"/>
          </w:tcPr>
          <w:p w:rsidR="000C5659" w:rsidRDefault="000E33C4">
            <w:pPr>
              <w:snapToGrid w:val="0"/>
              <w:jc w:val="right"/>
              <w:rPr>
                <w:rFonts w:ascii="Times New Roman" w:hAnsi="Times New Roman"/>
              </w:rPr>
            </w:pPr>
            <w:r>
              <w:rPr>
                <w:szCs w:val="18"/>
              </w:rPr>
              <w:t>22,484,108.65</w:t>
            </w:r>
          </w:p>
        </w:tc>
        <w:tc>
          <w:tcPr>
            <w:tcW w:w="298" w:type="pct"/>
            <w:vAlign w:val="center"/>
          </w:tcPr>
          <w:p w:rsidR="000C5659" w:rsidRDefault="000E33C4">
            <w:pPr>
              <w:snapToGrid w:val="0"/>
              <w:rPr>
                <w:rFonts w:ascii="Times New Roman" w:hAnsi="Times New Roman"/>
                <w:color w:val="000000" w:themeColor="text1"/>
              </w:rPr>
            </w:pPr>
            <w:r>
              <w:rPr>
                <w:rFonts w:asciiTheme="minorEastAsia" w:eastAsiaTheme="minorEastAsia" w:hAnsiTheme="minorEastAsia"/>
              </w:rPr>
              <w:t>抵押</w:t>
            </w:r>
          </w:p>
        </w:tc>
        <w:tc>
          <w:tcPr>
            <w:tcW w:w="536" w:type="pct"/>
            <w:vAlign w:val="center"/>
          </w:tcPr>
          <w:p w:rsidR="000C5659" w:rsidRDefault="000E33C4">
            <w:pPr>
              <w:snapToGrid w:val="0"/>
              <w:rPr>
                <w:rFonts w:ascii="Times New Roman" w:hAnsi="Times New Roman"/>
              </w:rPr>
            </w:pPr>
            <w:r>
              <w:rPr>
                <w:rFonts w:asciiTheme="minorEastAsia" w:eastAsiaTheme="minorEastAsia" w:hAnsiTheme="minorEastAsia"/>
              </w:rPr>
              <w:t>抵押用于借款以及开具银行承兑汇票等</w:t>
            </w:r>
          </w:p>
        </w:tc>
      </w:tr>
      <w:tr w:rsidR="000C5659">
        <w:tc>
          <w:tcPr>
            <w:tcW w:w="490" w:type="pct"/>
            <w:vAlign w:val="center"/>
          </w:tcPr>
          <w:p w:rsidR="000C5659" w:rsidRDefault="000E33C4">
            <w:pPr>
              <w:rPr>
                <w:rFonts w:ascii="Times New Roman" w:hAnsi="Times New Roman"/>
                <w:color w:val="000000" w:themeColor="text1"/>
              </w:rPr>
            </w:pPr>
            <w:r>
              <w:rPr>
                <w:rFonts w:ascii="Times New Roman" w:hAnsi="Times New Roman"/>
                <w:color w:val="000000" w:themeColor="text1"/>
              </w:rPr>
              <w:t>合计</w:t>
            </w:r>
          </w:p>
        </w:tc>
        <w:tc>
          <w:tcPr>
            <w:tcW w:w="561" w:type="pc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140,243,345.96</w:t>
            </w:r>
          </w:p>
        </w:tc>
        <w:tc>
          <w:tcPr>
            <w:tcW w:w="597" w:type="pct"/>
            <w:vAlign w:val="center"/>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140,243,345.96</w:t>
            </w:r>
          </w:p>
        </w:tc>
        <w:tc>
          <w:tcPr>
            <w:tcW w:w="403" w:type="pct"/>
            <w:vAlign w:val="center"/>
          </w:tcPr>
          <w:p w:rsidR="000C5659" w:rsidRDefault="000E33C4">
            <w:pPr>
              <w:rPr>
                <w:rFonts w:ascii="Times New Roman" w:hAnsi="Times New Roman"/>
                <w:color w:val="000000" w:themeColor="text1"/>
              </w:rPr>
            </w:pPr>
            <w:r>
              <w:rPr>
                <w:rFonts w:ascii="Times New Roman" w:hAnsi="Times New Roman"/>
                <w:color w:val="000000" w:themeColor="text1"/>
              </w:rPr>
              <w:t>/</w:t>
            </w:r>
          </w:p>
        </w:tc>
        <w:tc>
          <w:tcPr>
            <w:tcW w:w="919" w:type="pct"/>
            <w:vAlign w:val="center"/>
          </w:tcPr>
          <w:p w:rsidR="000C5659" w:rsidRDefault="000E33C4">
            <w:pPr>
              <w:rPr>
                <w:rFonts w:ascii="Times New Roman" w:hAnsi="Times New Roman"/>
                <w:color w:val="000000" w:themeColor="text1"/>
              </w:rPr>
            </w:pPr>
            <w:r>
              <w:rPr>
                <w:rFonts w:ascii="Times New Roman" w:hAnsi="Times New Roman"/>
                <w:color w:val="000000" w:themeColor="text1"/>
              </w:rPr>
              <w:t>/</w:t>
            </w:r>
          </w:p>
        </w:tc>
        <w:tc>
          <w:tcPr>
            <w:tcW w:w="598" w:type="pct"/>
            <w:vAlign w:val="center"/>
          </w:tcPr>
          <w:p w:rsidR="000C5659" w:rsidRDefault="000E33C4">
            <w:pPr>
              <w:snapToGrid w:val="0"/>
              <w:jc w:val="right"/>
              <w:rPr>
                <w:rFonts w:ascii="Times New Roman" w:hAnsi="Times New Roman"/>
              </w:rPr>
            </w:pPr>
            <w:r>
              <w:rPr>
                <w:szCs w:val="18"/>
              </w:rPr>
              <w:t>151,144,468.06</w:t>
            </w:r>
          </w:p>
        </w:tc>
        <w:tc>
          <w:tcPr>
            <w:tcW w:w="598" w:type="pct"/>
            <w:vAlign w:val="center"/>
          </w:tcPr>
          <w:p w:rsidR="000C5659" w:rsidRDefault="000E33C4">
            <w:pPr>
              <w:snapToGrid w:val="0"/>
              <w:jc w:val="right"/>
              <w:rPr>
                <w:rFonts w:ascii="Times New Roman" w:hAnsi="Times New Roman"/>
              </w:rPr>
            </w:pPr>
            <w:r>
              <w:rPr>
                <w:szCs w:val="18"/>
              </w:rPr>
              <w:t>151,144,468.06</w:t>
            </w:r>
          </w:p>
        </w:tc>
        <w:tc>
          <w:tcPr>
            <w:tcW w:w="298" w:type="pct"/>
            <w:vAlign w:val="center"/>
          </w:tcPr>
          <w:p w:rsidR="000C5659" w:rsidRDefault="000E33C4">
            <w:pPr>
              <w:snapToGrid w:val="0"/>
              <w:rPr>
                <w:rFonts w:ascii="Times New Roman" w:hAnsi="Times New Roman"/>
                <w:color w:val="000000" w:themeColor="text1"/>
              </w:rPr>
            </w:pPr>
            <w:r>
              <w:rPr>
                <w:rFonts w:ascii="Times New Roman" w:hAnsi="Times New Roman"/>
                <w:color w:val="000000" w:themeColor="text1"/>
              </w:rPr>
              <w:t>/</w:t>
            </w:r>
          </w:p>
        </w:tc>
        <w:tc>
          <w:tcPr>
            <w:tcW w:w="536" w:type="pct"/>
            <w:vAlign w:val="center"/>
          </w:tcPr>
          <w:p w:rsidR="000C5659" w:rsidRDefault="000E33C4">
            <w:pPr>
              <w:snapToGrid w:val="0"/>
              <w:rPr>
                <w:rFonts w:ascii="Times New Roman" w:hAnsi="Times New Roman"/>
                <w:color w:val="000000" w:themeColor="text1"/>
              </w:rPr>
            </w:pPr>
            <w:r>
              <w:rPr>
                <w:rFonts w:ascii="Times New Roman" w:hAnsi="Times New Roman"/>
                <w:color w:val="000000" w:themeColor="text1"/>
              </w:rPr>
              <w:t>/</w:t>
            </w:r>
          </w:p>
        </w:tc>
      </w:tr>
    </w:tbl>
    <w:p w:rsidR="000C5659" w:rsidRDefault="000C5659">
      <w:pPr>
        <w:pStyle w:val="Style325"/>
        <w:sectPr w:rsidR="000C5659">
          <w:pgSz w:w="16838" w:h="11906" w:orient="landscape"/>
          <w:pgMar w:top="1797" w:right="1525" w:bottom="1276" w:left="1440" w:header="856" w:footer="992" w:gutter="0"/>
          <w:cols w:space="425"/>
          <w:docGrid w:linePitch="312"/>
        </w:sectPr>
      </w:pPr>
    </w:p>
    <w:p w:rsidR="000C5659" w:rsidRDefault="000E33C4">
      <w:pPr>
        <w:spacing w:before="60" w:after="60"/>
        <w:rPr>
          <w:color w:val="000000" w:themeColor="text1"/>
        </w:rPr>
      </w:pPr>
      <w:r>
        <w:rPr>
          <w:rFonts w:hint="eastAsia"/>
          <w:color w:val="000000" w:themeColor="text1"/>
        </w:rPr>
        <w:lastRenderedPageBreak/>
        <w:t>其他说明：</w:t>
      </w:r>
    </w:p>
    <w:sdt>
      <w:sdtPr>
        <w:rPr>
          <w:color w:val="000000" w:themeColor="text1"/>
        </w:rPr>
        <w:alias w:val="所有权或使用权受到限制的资产的其他说明"/>
        <w:tag w:val="_GBC_571ebdda2c564d648db287965351cd50"/>
        <w:id w:val="1166056865"/>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bookmarkEnd w:id="300"/>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短期借款</w:t>
      </w:r>
    </w:p>
    <w:p w:rsidR="000C5659" w:rsidRDefault="000E33C4" w:rsidP="000743DD">
      <w:pPr>
        <w:pStyle w:val="43"/>
        <w:numPr>
          <w:ilvl w:val="0"/>
          <w:numId w:val="76"/>
        </w:numPr>
        <w:tabs>
          <w:tab w:val="left" w:pos="630"/>
        </w:tabs>
        <w:rPr>
          <w:rFonts w:ascii="宋体" w:hAnsi="宋体"/>
          <w:color w:val="000000" w:themeColor="text1"/>
          <w:szCs w:val="21"/>
        </w:rPr>
      </w:pPr>
      <w:r>
        <w:rPr>
          <w:rFonts w:ascii="宋体" w:hAnsi="宋体" w:hint="eastAsia"/>
          <w:color w:val="000000" w:themeColor="text1"/>
          <w:szCs w:val="21"/>
        </w:rPr>
        <w:t>短期借款分类</w:t>
      </w:r>
    </w:p>
    <w:sdt>
      <w:sdtPr>
        <w:rPr>
          <w:color w:val="000000" w:themeColor="text1"/>
        </w:rPr>
        <w:alias w:val="是否适用：短期借款分类[双击切换]"/>
        <w:tag w:val="_GBC_1074387a68b64f6b9270b522de53ad85"/>
        <w:id w:val="-194614060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短期借款分类"/>
          <w:tag w:val="_GBC_f3353209b65c4921b63143340e11aac9"/>
          <w:id w:val="-3329263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短期借款分类"/>
          <w:tag w:val="_GBC_b3a1802faad14eae96cfab316b25f639"/>
          <w:id w:val="-473752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8"/>
        <w:gridCol w:w="2979"/>
        <w:gridCol w:w="2996"/>
      </w:tblGrid>
      <w:tr w:rsidR="000C5659">
        <w:trPr>
          <w:cantSplit/>
        </w:trPr>
        <w:sdt>
          <w:sdtPr>
            <w:rPr>
              <w:color w:val="000000" w:themeColor="text1"/>
            </w:rPr>
            <w:tag w:val="_PLD_3476605067da474199aa03dc83e3d88c"/>
            <w:id w:val="1798868438"/>
          </w:sdtPr>
          <w:sdtEndPr/>
          <w:sdtContent>
            <w:tc>
              <w:tcPr>
                <w:tcW w:w="1614" w:type="pct"/>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ccd6dc2751cc421e8a2f26f78a44b4c5"/>
            <w:id w:val="-1315554695"/>
          </w:sdtPr>
          <w:sdtEndPr/>
          <w:sdtContent>
            <w:tc>
              <w:tcPr>
                <w:tcW w:w="1688" w:type="pct"/>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c16f582c583d4324abc605c4bc563081"/>
            <w:id w:val="-1860971935"/>
          </w:sdtPr>
          <w:sdtEndPr/>
          <w:sdtContent>
            <w:tc>
              <w:tcPr>
                <w:tcW w:w="1698" w:type="pct"/>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1614" w:type="pct"/>
            <w:shd w:val="clear" w:color="auto" w:fill="auto"/>
            <w:vAlign w:val="center"/>
          </w:tcPr>
          <w:p w:rsidR="000C5659" w:rsidRDefault="000E33C4">
            <w:pPr>
              <w:snapToGrid w:val="0"/>
              <w:rPr>
                <w:color w:val="000000" w:themeColor="text1"/>
              </w:rPr>
            </w:pPr>
            <w:r>
              <w:rPr>
                <w:szCs w:val="18"/>
              </w:rPr>
              <w:t>国内信用证或福费廷已提前议付</w:t>
            </w:r>
          </w:p>
        </w:tc>
        <w:tc>
          <w:tcPr>
            <w:tcW w:w="1688" w:type="pct"/>
            <w:shd w:val="clear" w:color="auto" w:fill="auto"/>
          </w:tcPr>
          <w:p w:rsidR="000C5659" w:rsidRDefault="000E33C4">
            <w:pPr>
              <w:autoSpaceDE w:val="0"/>
              <w:autoSpaceDN w:val="0"/>
              <w:adjustRightInd w:val="0"/>
              <w:snapToGrid w:val="0"/>
              <w:spacing w:line="240" w:lineRule="atLeast"/>
              <w:ind w:right="180"/>
              <w:jc w:val="right"/>
            </w:pPr>
            <w:r>
              <w:rPr>
                <w:rFonts w:hint="eastAsia"/>
              </w:rPr>
              <w:t>10,510,000.00</w:t>
            </w:r>
          </w:p>
        </w:tc>
        <w:tc>
          <w:tcPr>
            <w:tcW w:w="1698" w:type="pct"/>
            <w:shd w:val="clear" w:color="auto" w:fill="auto"/>
          </w:tcPr>
          <w:p w:rsidR="000C5659" w:rsidRDefault="000E33C4">
            <w:pPr>
              <w:autoSpaceDE w:val="0"/>
              <w:autoSpaceDN w:val="0"/>
              <w:adjustRightInd w:val="0"/>
              <w:snapToGrid w:val="0"/>
              <w:spacing w:line="240" w:lineRule="atLeast"/>
              <w:ind w:right="180"/>
              <w:jc w:val="right"/>
            </w:pPr>
            <w:r>
              <w:t>9,690,000.00</w:t>
            </w:r>
          </w:p>
        </w:tc>
      </w:tr>
      <w:tr w:rsidR="000C5659">
        <w:trPr>
          <w:cantSplit/>
        </w:trPr>
        <w:tc>
          <w:tcPr>
            <w:tcW w:w="1614" w:type="pct"/>
            <w:shd w:val="clear" w:color="auto" w:fill="auto"/>
            <w:vAlign w:val="center"/>
          </w:tcPr>
          <w:p w:rsidR="000C5659" w:rsidRDefault="000E33C4">
            <w:pPr>
              <w:snapToGrid w:val="0"/>
              <w:rPr>
                <w:color w:val="000000" w:themeColor="text1"/>
              </w:rPr>
            </w:pPr>
            <w:r>
              <w:rPr>
                <w:szCs w:val="18"/>
              </w:rPr>
              <w:t>抵押借款</w:t>
            </w:r>
          </w:p>
        </w:tc>
        <w:tc>
          <w:tcPr>
            <w:tcW w:w="1688" w:type="pct"/>
            <w:shd w:val="clear" w:color="auto" w:fill="auto"/>
          </w:tcPr>
          <w:p w:rsidR="000C5659" w:rsidRDefault="000E33C4">
            <w:pPr>
              <w:autoSpaceDE w:val="0"/>
              <w:autoSpaceDN w:val="0"/>
              <w:adjustRightInd w:val="0"/>
              <w:snapToGrid w:val="0"/>
              <w:spacing w:line="240" w:lineRule="atLeast"/>
              <w:ind w:right="180"/>
              <w:jc w:val="right"/>
            </w:pPr>
            <w:r>
              <w:rPr>
                <w:rFonts w:hint="eastAsia"/>
              </w:rPr>
              <w:t>163,600,000.00</w:t>
            </w:r>
          </w:p>
        </w:tc>
        <w:tc>
          <w:tcPr>
            <w:tcW w:w="1698" w:type="pct"/>
            <w:shd w:val="clear" w:color="auto" w:fill="auto"/>
          </w:tcPr>
          <w:p w:rsidR="000C5659" w:rsidRDefault="000E33C4">
            <w:pPr>
              <w:autoSpaceDE w:val="0"/>
              <w:autoSpaceDN w:val="0"/>
              <w:adjustRightInd w:val="0"/>
              <w:snapToGrid w:val="0"/>
              <w:spacing w:line="240" w:lineRule="atLeast"/>
              <w:ind w:right="180"/>
              <w:jc w:val="right"/>
            </w:pPr>
            <w:r>
              <w:t>120,200,000.00</w:t>
            </w:r>
          </w:p>
        </w:tc>
      </w:tr>
      <w:tr w:rsidR="000C5659">
        <w:trPr>
          <w:cantSplit/>
        </w:trPr>
        <w:tc>
          <w:tcPr>
            <w:tcW w:w="1614" w:type="pct"/>
            <w:shd w:val="clear" w:color="auto" w:fill="auto"/>
            <w:vAlign w:val="center"/>
          </w:tcPr>
          <w:p w:rsidR="000C5659" w:rsidRDefault="000E33C4">
            <w:pPr>
              <w:snapToGrid w:val="0"/>
              <w:rPr>
                <w:color w:val="000000" w:themeColor="text1"/>
              </w:rPr>
            </w:pPr>
            <w:r>
              <w:rPr>
                <w:szCs w:val="18"/>
              </w:rPr>
              <w:t>保证借款</w:t>
            </w:r>
          </w:p>
        </w:tc>
        <w:tc>
          <w:tcPr>
            <w:tcW w:w="1688" w:type="pct"/>
            <w:shd w:val="clear" w:color="auto" w:fill="auto"/>
          </w:tcPr>
          <w:p w:rsidR="000C5659" w:rsidRDefault="000E33C4">
            <w:pPr>
              <w:autoSpaceDE w:val="0"/>
              <w:autoSpaceDN w:val="0"/>
              <w:adjustRightInd w:val="0"/>
              <w:snapToGrid w:val="0"/>
              <w:spacing w:line="240" w:lineRule="atLeast"/>
              <w:ind w:right="180"/>
              <w:jc w:val="right"/>
            </w:pPr>
            <w:r>
              <w:rPr>
                <w:rFonts w:hint="eastAsia"/>
              </w:rPr>
              <w:t>213,377,777.8</w:t>
            </w:r>
          </w:p>
        </w:tc>
        <w:tc>
          <w:tcPr>
            <w:tcW w:w="1698" w:type="pct"/>
            <w:shd w:val="clear" w:color="auto" w:fill="auto"/>
          </w:tcPr>
          <w:p w:rsidR="000C5659" w:rsidRDefault="000E33C4">
            <w:pPr>
              <w:autoSpaceDE w:val="0"/>
              <w:autoSpaceDN w:val="0"/>
              <w:adjustRightInd w:val="0"/>
              <w:snapToGrid w:val="0"/>
              <w:spacing w:line="240" w:lineRule="atLeast"/>
              <w:ind w:right="180"/>
              <w:jc w:val="right"/>
            </w:pPr>
            <w:r>
              <w:t>216,600,000.00</w:t>
            </w:r>
          </w:p>
        </w:tc>
      </w:tr>
      <w:tr w:rsidR="000C5659">
        <w:trPr>
          <w:cantSplit/>
          <w:trHeight w:val="237"/>
        </w:trPr>
        <w:tc>
          <w:tcPr>
            <w:tcW w:w="1614" w:type="pct"/>
            <w:shd w:val="clear" w:color="auto" w:fill="auto"/>
            <w:vAlign w:val="center"/>
          </w:tcPr>
          <w:p w:rsidR="000C5659" w:rsidRDefault="000E33C4">
            <w:pPr>
              <w:snapToGrid w:val="0"/>
              <w:rPr>
                <w:color w:val="000000" w:themeColor="text1"/>
              </w:rPr>
            </w:pPr>
            <w:r>
              <w:rPr>
                <w:szCs w:val="18"/>
              </w:rPr>
              <w:t>信用借款</w:t>
            </w:r>
          </w:p>
        </w:tc>
        <w:tc>
          <w:tcPr>
            <w:tcW w:w="1688" w:type="pct"/>
            <w:shd w:val="clear" w:color="auto" w:fill="auto"/>
          </w:tcPr>
          <w:p w:rsidR="000C5659" w:rsidRDefault="000C5659">
            <w:pPr>
              <w:autoSpaceDE w:val="0"/>
              <w:autoSpaceDN w:val="0"/>
              <w:adjustRightInd w:val="0"/>
              <w:snapToGrid w:val="0"/>
              <w:spacing w:line="240" w:lineRule="atLeast"/>
              <w:ind w:right="180"/>
              <w:jc w:val="right"/>
            </w:pPr>
          </w:p>
        </w:tc>
        <w:tc>
          <w:tcPr>
            <w:tcW w:w="1698" w:type="pct"/>
            <w:shd w:val="clear" w:color="auto" w:fill="auto"/>
          </w:tcPr>
          <w:p w:rsidR="000C5659" w:rsidRDefault="000C5659">
            <w:pPr>
              <w:autoSpaceDE w:val="0"/>
              <w:autoSpaceDN w:val="0"/>
              <w:adjustRightInd w:val="0"/>
              <w:snapToGrid w:val="0"/>
              <w:spacing w:line="240" w:lineRule="atLeast"/>
              <w:ind w:right="180"/>
              <w:jc w:val="right"/>
            </w:pPr>
          </w:p>
        </w:tc>
      </w:tr>
      <w:tr w:rsidR="000C5659">
        <w:trPr>
          <w:cantSplit/>
        </w:trPr>
        <w:tc>
          <w:tcPr>
            <w:tcW w:w="1614" w:type="pct"/>
            <w:vAlign w:val="center"/>
          </w:tcPr>
          <w:p w:rsidR="000C5659" w:rsidRDefault="000E33C4">
            <w:pPr>
              <w:snapToGrid w:val="0"/>
            </w:pPr>
            <w:r>
              <w:rPr>
                <w:szCs w:val="18"/>
              </w:rPr>
              <w:t>利息调整</w:t>
            </w:r>
          </w:p>
        </w:tc>
        <w:tc>
          <w:tcPr>
            <w:tcW w:w="1688" w:type="pct"/>
          </w:tcPr>
          <w:p w:rsidR="000C5659" w:rsidRDefault="000E33C4">
            <w:pPr>
              <w:autoSpaceDE w:val="0"/>
              <w:autoSpaceDN w:val="0"/>
              <w:adjustRightInd w:val="0"/>
              <w:snapToGrid w:val="0"/>
              <w:spacing w:line="240" w:lineRule="atLeast"/>
              <w:ind w:right="180"/>
              <w:jc w:val="right"/>
            </w:pPr>
            <w:r>
              <w:rPr>
                <w:rFonts w:hint="eastAsia"/>
              </w:rPr>
              <w:t>351,370.46</w:t>
            </w:r>
          </w:p>
        </w:tc>
        <w:tc>
          <w:tcPr>
            <w:tcW w:w="1698" w:type="pct"/>
          </w:tcPr>
          <w:p w:rsidR="000C5659" w:rsidRDefault="000E33C4">
            <w:pPr>
              <w:autoSpaceDE w:val="0"/>
              <w:autoSpaceDN w:val="0"/>
              <w:adjustRightInd w:val="0"/>
              <w:snapToGrid w:val="0"/>
              <w:spacing w:line="240" w:lineRule="atLeast"/>
              <w:ind w:right="180"/>
              <w:jc w:val="right"/>
            </w:pPr>
            <w:r>
              <w:t>306,461.12</w:t>
            </w:r>
          </w:p>
        </w:tc>
      </w:tr>
      <w:tr w:rsidR="000C5659">
        <w:trPr>
          <w:cantSplit/>
        </w:trPr>
        <w:tc>
          <w:tcPr>
            <w:tcW w:w="1614" w:type="pct"/>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88" w:type="pct"/>
          </w:tcPr>
          <w:p w:rsidR="000C5659" w:rsidRDefault="000E33C4">
            <w:pPr>
              <w:autoSpaceDE w:val="0"/>
              <w:autoSpaceDN w:val="0"/>
              <w:adjustRightInd w:val="0"/>
              <w:snapToGrid w:val="0"/>
              <w:spacing w:line="240" w:lineRule="atLeast"/>
              <w:ind w:right="180"/>
              <w:jc w:val="right"/>
            </w:pPr>
            <w:r>
              <w:rPr>
                <w:rFonts w:hint="eastAsia"/>
              </w:rPr>
              <w:t>387,839,148.26</w:t>
            </w:r>
          </w:p>
        </w:tc>
        <w:tc>
          <w:tcPr>
            <w:tcW w:w="1698" w:type="pct"/>
          </w:tcPr>
          <w:p w:rsidR="000C5659" w:rsidRDefault="000E33C4">
            <w:pPr>
              <w:autoSpaceDE w:val="0"/>
              <w:autoSpaceDN w:val="0"/>
              <w:adjustRightInd w:val="0"/>
              <w:snapToGrid w:val="0"/>
              <w:spacing w:line="240" w:lineRule="atLeast"/>
              <w:ind w:right="180"/>
              <w:jc w:val="right"/>
            </w:pPr>
            <w:r>
              <w:t>346,796,461.12</w:t>
            </w:r>
          </w:p>
        </w:tc>
      </w:tr>
    </w:tbl>
    <w:p w:rsidR="000C5659" w:rsidRDefault="000C5659">
      <w:pPr>
        <w:pStyle w:val="Style325"/>
      </w:pPr>
    </w:p>
    <w:p w:rsidR="000C5659" w:rsidRDefault="000E33C4">
      <w:pPr>
        <w:snapToGrid w:val="0"/>
        <w:spacing w:line="240" w:lineRule="atLeast"/>
        <w:rPr>
          <w:color w:val="000000" w:themeColor="text1"/>
        </w:rPr>
      </w:pPr>
      <w:r>
        <w:rPr>
          <w:rFonts w:hint="eastAsia"/>
          <w:color w:val="000000" w:themeColor="text1"/>
        </w:rPr>
        <w:t>短期借款分类的说明：</w:t>
      </w:r>
    </w:p>
    <w:sdt>
      <w:sdtPr>
        <w:rPr>
          <w:color w:val="000000" w:themeColor="text1"/>
        </w:rPr>
        <w:alias w:val="短期借款分类的说明"/>
        <w:tag w:val="_GBC_fc19e133dd4f4dbdb9d583e76175b714"/>
        <w:id w:val="786004977"/>
        <w:placeholder>
          <w:docPart w:val="GBC22222222222222222222222222222"/>
        </w:placeholder>
      </w:sdtPr>
      <w:sdtEndPr/>
      <w:sdtContent>
        <w:p w:rsidR="000C5659" w:rsidRDefault="000E33C4">
          <w:pPr>
            <w:snapToGrid w:val="0"/>
            <w:spacing w:line="240" w:lineRule="atLeast"/>
            <w:rPr>
              <w:color w:val="000000" w:themeColor="text1"/>
            </w:rPr>
          </w:pPr>
          <w:r>
            <w:rPr>
              <w:rFonts w:hint="eastAsia"/>
              <w:color w:val="000000" w:themeColor="text1"/>
            </w:rPr>
            <w:t>无</w:t>
          </w:r>
        </w:p>
      </w:sdtContent>
    </w:sdt>
    <w:p w:rsidR="000C5659" w:rsidRDefault="000C5659">
      <w:pPr>
        <w:snapToGrid w:val="0"/>
        <w:spacing w:line="240" w:lineRule="atLeast"/>
        <w:ind w:rightChars="-73" w:right="-153"/>
        <w:rPr>
          <w:b/>
          <w:color w:val="000000" w:themeColor="text1"/>
        </w:rPr>
      </w:pPr>
    </w:p>
    <w:p w:rsidR="000C5659" w:rsidRDefault="000E33C4" w:rsidP="000743DD">
      <w:pPr>
        <w:pStyle w:val="43"/>
        <w:numPr>
          <w:ilvl w:val="0"/>
          <w:numId w:val="76"/>
        </w:numPr>
        <w:tabs>
          <w:tab w:val="left" w:pos="630"/>
        </w:tabs>
        <w:rPr>
          <w:rFonts w:ascii="宋体" w:hAnsi="宋体"/>
          <w:color w:val="000000" w:themeColor="text1"/>
          <w:szCs w:val="21"/>
        </w:rPr>
      </w:pPr>
      <w:r>
        <w:rPr>
          <w:rFonts w:ascii="宋体" w:hAnsi="宋体" w:hint="eastAsia"/>
          <w:color w:val="000000" w:themeColor="text1"/>
          <w:szCs w:val="21"/>
        </w:rPr>
        <w:t>已逾期未偿还的短期借款情况</w:t>
      </w:r>
    </w:p>
    <w:sdt>
      <w:sdtPr>
        <w:rPr>
          <w:color w:val="000000" w:themeColor="text1"/>
        </w:rPr>
        <w:alias w:val="是否适用：已逾期未偿还的短期借款情况[双击切换]"/>
        <w:tag w:val="_GBC_57f74ff95a304f19a7c06d7996fc30c7"/>
        <w:id w:val="83180533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短期借款的说明[双击切换]"/>
        <w:tag w:val="_GBC_663e3ee6df014147bb9c7daa18ccb062"/>
        <w:id w:val="-10304962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01" w:name="_Hlk533670147"/>
      <w:bookmarkStart w:id="302" w:name="_Hlk533422954"/>
      <w:bookmarkStart w:id="303" w:name="_Hlk167960253"/>
      <w:r>
        <w:rPr>
          <w:color w:val="000000" w:themeColor="text1"/>
          <w:szCs w:val="21"/>
        </w:rPr>
        <w:t>交易性金融负债</w:t>
      </w:r>
    </w:p>
    <w:sdt>
      <w:sdtPr>
        <w:rPr>
          <w:color w:val="000000" w:themeColor="text1"/>
        </w:rPr>
        <w:alias w:val="是否适用：交易性金融负债[双击切换]"/>
        <w:tag w:val="_GBC_c80a748cb25743768dff0a872a281bca"/>
        <w:id w:val="-147806892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是否适用：交易性金融负债的说明[双击切换]"/>
        <w:tag w:val="_GBC_692d0bb6340447f685684271256fa188"/>
        <w:id w:val="-171086916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301"/>
    <w:bookmarkEnd w:id="302"/>
    <w:bookmarkEnd w:id="303"/>
    <w:p w:rsidR="000C5659" w:rsidRDefault="000E33C4" w:rsidP="000743DD">
      <w:pPr>
        <w:pStyle w:val="35"/>
        <w:numPr>
          <w:ilvl w:val="0"/>
          <w:numId w:val="50"/>
        </w:numPr>
        <w:rPr>
          <w:color w:val="000000" w:themeColor="text1"/>
          <w:szCs w:val="21"/>
        </w:rPr>
      </w:pPr>
      <w:r>
        <w:rPr>
          <w:color w:val="000000" w:themeColor="text1"/>
          <w:szCs w:val="21"/>
        </w:rPr>
        <w:t>衍生金融负债</w:t>
      </w:r>
    </w:p>
    <w:sdt>
      <w:sdtPr>
        <w:rPr>
          <w:color w:val="000000" w:themeColor="text1"/>
        </w:rPr>
        <w:alias w:val="是否适用：衍生金融负债[双击切换]"/>
        <w:tag w:val="_GBC_3a60c0d3d0534eba80b93475b0a6411f"/>
        <w:id w:val="-4738362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应付票据</w:t>
      </w:r>
    </w:p>
    <w:sdt>
      <w:sdtPr>
        <w:rPr>
          <w:color w:val="000000" w:themeColor="text1"/>
        </w:rPr>
        <w:alias w:val="是否适用：应付票据[双击切换]"/>
        <w:tag w:val="_GBC_57c67181b34944e782b23a48b1843e8f"/>
        <w:id w:val="-1483618904"/>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bookmarkStart w:id="304" w:name="_Hlk167960344"/>
      <w:r>
        <w:rPr>
          <w:rFonts w:hint="eastAsia"/>
          <w:color w:val="000000" w:themeColor="text1"/>
        </w:rPr>
        <w:t>单位：</w:t>
      </w:r>
      <w:sdt>
        <w:sdtPr>
          <w:rPr>
            <w:rFonts w:hint="eastAsia"/>
            <w:color w:val="000000" w:themeColor="text1"/>
          </w:rPr>
          <w:alias w:val="单位：财务附注：应付票据"/>
          <w:tag w:val="_GBC_db69c246a0d14735805df636930e34ba"/>
          <w:id w:val="8391143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票据"/>
          <w:tag w:val="_GBC_f734b21fc72c43feb20eaf84762dfd7f"/>
          <w:id w:val="-8667558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291"/>
        <w:gridCol w:w="3310"/>
        <w:gridCol w:w="3216"/>
      </w:tblGrid>
      <w:tr w:rsidR="000C5659">
        <w:trPr>
          <w:cantSplit/>
        </w:trPr>
        <w:sdt>
          <w:sdtPr>
            <w:rPr>
              <w:color w:val="000000" w:themeColor="text1"/>
            </w:rPr>
            <w:tag w:val="_PLD_faa4f5cfe5ae4b0a9c786ca922191e7e"/>
            <w:id w:val="-1289820693"/>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种类</w:t>
                </w:r>
              </w:p>
            </w:tc>
          </w:sdtContent>
        </w:sdt>
        <w:sdt>
          <w:sdtPr>
            <w:rPr>
              <w:color w:val="000000" w:themeColor="text1"/>
            </w:rPr>
            <w:tag w:val="_PLD_b51f0f25994640289becfaca28eb1d5c"/>
            <w:id w:val="-662930650"/>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996d96c1a15e479289fa9e0699e2822e"/>
            <w:id w:val="-1312862568"/>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0C565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0C5659" w:rsidRDefault="000C5659">
            <w:pPr>
              <w:ind w:right="13"/>
              <w:jc w:val="right"/>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0C5659" w:rsidRDefault="000C5659">
            <w:pPr>
              <w:jc w:val="right"/>
            </w:pPr>
          </w:p>
        </w:tc>
      </w:tr>
      <w:tr w:rsidR="000C565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0C5659" w:rsidRDefault="000E33C4">
            <w:pPr>
              <w:ind w:right="13"/>
              <w:jc w:val="right"/>
            </w:pPr>
            <w:r>
              <w:rPr>
                <w:rFonts w:hint="eastAsia"/>
              </w:rPr>
              <w:t>82,203,494.89</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0C5659" w:rsidRDefault="000E33C4">
            <w:pPr>
              <w:jc w:val="right"/>
            </w:pPr>
            <w:r>
              <w:t>77,878,412.11</w:t>
            </w:r>
          </w:p>
        </w:tc>
      </w:tr>
      <w:tr w:rsidR="000C565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877" w:type="pct"/>
            <w:tcBorders>
              <w:top w:val="single" w:sz="6" w:space="0" w:color="auto"/>
              <w:left w:val="single" w:sz="6" w:space="0" w:color="auto"/>
              <w:bottom w:val="single" w:sz="6" w:space="0" w:color="auto"/>
              <w:right w:val="single" w:sz="6" w:space="0" w:color="auto"/>
            </w:tcBorders>
          </w:tcPr>
          <w:p w:rsidR="000C5659" w:rsidRDefault="000E33C4">
            <w:pPr>
              <w:jc w:val="right"/>
            </w:pPr>
            <w:r>
              <w:rPr>
                <w:rFonts w:hint="eastAsia"/>
              </w:rPr>
              <w:t>82,203,494.89</w:t>
            </w:r>
          </w:p>
        </w:tc>
        <w:tc>
          <w:tcPr>
            <w:tcW w:w="1824" w:type="pct"/>
            <w:tcBorders>
              <w:top w:val="single" w:sz="6" w:space="0" w:color="auto"/>
              <w:left w:val="single" w:sz="6" w:space="0" w:color="auto"/>
              <w:bottom w:val="single" w:sz="6" w:space="0" w:color="auto"/>
              <w:right w:val="single" w:sz="6" w:space="0" w:color="auto"/>
            </w:tcBorders>
          </w:tcPr>
          <w:p w:rsidR="000C5659" w:rsidRDefault="000E33C4">
            <w:pPr>
              <w:jc w:val="right"/>
            </w:pPr>
            <w:r>
              <w:t>77,878,412.11</w:t>
            </w:r>
          </w:p>
        </w:tc>
      </w:tr>
    </w:tbl>
    <w:p w:rsidR="000C5659" w:rsidRDefault="000C5659">
      <w:pPr>
        <w:pStyle w:val="Style325"/>
      </w:pPr>
    </w:p>
    <w:p w:rsidR="000C5659" w:rsidRDefault="000E33C4">
      <w:pPr>
        <w:snapToGrid w:val="0"/>
        <w:spacing w:line="240" w:lineRule="atLeast"/>
        <w:rPr>
          <w:color w:val="000000" w:themeColor="text1"/>
        </w:rPr>
      </w:pPr>
      <w:r>
        <w:rPr>
          <w:rFonts w:hint="eastAsia"/>
          <w:color w:val="000000" w:themeColor="text1"/>
        </w:rPr>
        <w:t>本期末已到期未支付的应付票据总额为</w:t>
      </w:r>
      <w:sdt>
        <w:sdtPr>
          <w:rPr>
            <w:rFonts w:hint="eastAsia"/>
            <w:color w:val="000000" w:themeColor="text1"/>
          </w:rPr>
          <w:alias w:val="已到期未支付的应付票据总额"/>
          <w:tag w:val="_GBC_c9651441e218453780f22db83f133e6a"/>
          <w:id w:val="1994827019"/>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元。到期未付的原因是</w:t>
      </w:r>
      <w:sdt>
        <w:sdtPr>
          <w:rPr>
            <w:rFonts w:hint="eastAsia"/>
            <w:color w:val="000000" w:themeColor="text1"/>
          </w:rPr>
          <w:alias w:val="应付票据到期未付的原因"/>
          <w:tag w:val="_GBC_73acd2fa7a344753a71cf43e98373b73"/>
          <w:id w:val="-70116374"/>
          <w:placeholder>
            <w:docPart w:val="GBC22222222222222222222222222222"/>
          </w:placeholder>
        </w:sdtPr>
        <w:sdtEndPr/>
        <w:sdtContent>
          <w:r>
            <w:rPr>
              <w:rFonts w:hint="eastAsia"/>
              <w:color w:val="000000" w:themeColor="text1"/>
            </w:rPr>
            <w:t>无</w:t>
          </w:r>
        </w:sdtContent>
      </w:sdt>
    </w:p>
    <w:p w:rsidR="000C5659" w:rsidRDefault="000C5659">
      <w:pPr>
        <w:snapToGrid w:val="0"/>
        <w:spacing w:line="240" w:lineRule="atLeast"/>
        <w:rPr>
          <w:color w:val="000000" w:themeColor="text1"/>
        </w:rPr>
      </w:pPr>
    </w:p>
    <w:bookmarkEnd w:id="304"/>
    <w:p w:rsidR="000C5659" w:rsidRDefault="000E33C4" w:rsidP="000743DD">
      <w:pPr>
        <w:pStyle w:val="35"/>
        <w:numPr>
          <w:ilvl w:val="0"/>
          <w:numId w:val="50"/>
        </w:numPr>
        <w:rPr>
          <w:color w:val="000000" w:themeColor="text1"/>
          <w:szCs w:val="21"/>
        </w:rPr>
      </w:pPr>
      <w:r>
        <w:rPr>
          <w:color w:val="000000" w:themeColor="text1"/>
          <w:szCs w:val="21"/>
        </w:rPr>
        <w:lastRenderedPageBreak/>
        <w:t>应付账款</w:t>
      </w:r>
    </w:p>
    <w:p w:rsidR="000C5659" w:rsidRDefault="000E33C4" w:rsidP="000743DD">
      <w:pPr>
        <w:pStyle w:val="43"/>
        <w:numPr>
          <w:ilvl w:val="0"/>
          <w:numId w:val="77"/>
        </w:numPr>
        <w:tabs>
          <w:tab w:val="left" w:pos="588"/>
        </w:tabs>
        <w:rPr>
          <w:rFonts w:ascii="宋体" w:hAnsi="宋体"/>
          <w:color w:val="000000" w:themeColor="text1"/>
          <w:szCs w:val="21"/>
        </w:rPr>
      </w:pPr>
      <w:r>
        <w:rPr>
          <w:rFonts w:ascii="宋体" w:hAnsi="宋体" w:hint="eastAsia"/>
          <w:color w:val="000000" w:themeColor="text1"/>
          <w:szCs w:val="21"/>
        </w:rPr>
        <w:t>应付账款列示</w:t>
      </w:r>
    </w:p>
    <w:sdt>
      <w:sdtPr>
        <w:rPr>
          <w:color w:val="000000" w:themeColor="text1"/>
        </w:rPr>
        <w:alias w:val="是否适用：应付账款列示[双击切换]"/>
        <w:tag w:val="_GBC_8531771c226a4fb0b98e3cdaf7271c71"/>
        <w:id w:val="87466467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应付账款情况"/>
          <w:tag w:val="_GBC_53c05e3ea1bb4f08bbe5cf204a0947b9"/>
          <w:id w:val="16473117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账款情况"/>
          <w:tag w:val="_GBC_e10cb0a664ca4400817c8a2bcf9247fc"/>
          <w:id w:val="4793545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0C5659">
        <w:trPr>
          <w:trHeight w:val="252"/>
        </w:trPr>
        <w:sdt>
          <w:sdtPr>
            <w:rPr>
              <w:color w:val="000000" w:themeColor="text1"/>
            </w:rPr>
            <w:tag w:val="_PLD_7dae27caeee34d74add24cd985083c75"/>
            <w:id w:val="898331172"/>
          </w:sdtPr>
          <w:sdtEndPr/>
          <w:sdtContent>
            <w:tc>
              <w:tcPr>
                <w:tcW w:w="1570" w:type="pct"/>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136ba417561e421ea02da8004fdf8b33"/>
            <w:id w:val="729966478"/>
          </w:sdtPr>
          <w:sdtEndPr/>
          <w:sdtContent>
            <w:tc>
              <w:tcPr>
                <w:tcW w:w="1584" w:type="pct"/>
                <w:shd w:val="clear" w:color="auto" w:fill="auto"/>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bc4b311c1ee54bd48b7b2ba2ab79c364"/>
            <w:id w:val="-92093738"/>
          </w:sdtPr>
          <w:sdtEndPr/>
          <w:sdtContent>
            <w:tc>
              <w:tcPr>
                <w:tcW w:w="1846" w:type="pct"/>
                <w:shd w:val="clear" w:color="auto" w:fill="auto"/>
              </w:tcPr>
              <w:p w:rsidR="000C5659" w:rsidRDefault="000E33C4">
                <w:pPr>
                  <w:jc w:val="center"/>
                  <w:rPr>
                    <w:color w:val="000000" w:themeColor="text1"/>
                  </w:rPr>
                </w:pPr>
                <w:r>
                  <w:rPr>
                    <w:rFonts w:hint="eastAsia"/>
                    <w:color w:val="000000" w:themeColor="text1"/>
                  </w:rPr>
                  <w:t>期初余额</w:t>
                </w:r>
              </w:p>
            </w:tc>
          </w:sdtContent>
        </w:sdt>
      </w:tr>
      <w:tr w:rsidR="000C5659">
        <w:tc>
          <w:tcPr>
            <w:tcW w:w="1570" w:type="pct"/>
            <w:shd w:val="clear" w:color="auto" w:fill="auto"/>
          </w:tcPr>
          <w:p w:rsidR="000C5659" w:rsidRDefault="000E33C4">
            <w:pPr>
              <w:pStyle w:val="Style325"/>
            </w:pPr>
            <w:r>
              <w:t>1年以内</w:t>
            </w:r>
          </w:p>
        </w:tc>
        <w:tc>
          <w:tcPr>
            <w:tcW w:w="1584" w:type="pct"/>
            <w:shd w:val="clear" w:color="auto" w:fill="auto"/>
          </w:tcPr>
          <w:p w:rsidR="000C5659" w:rsidRDefault="000E33C4">
            <w:pPr>
              <w:jc w:val="right"/>
              <w:textAlignment w:val="top"/>
              <w:rPr>
                <w:rFonts w:ascii="Arial" w:hAnsi="Arial" w:cs="Arial"/>
                <w:color w:val="000000"/>
                <w:sz w:val="20"/>
                <w:szCs w:val="20"/>
              </w:rPr>
            </w:pPr>
            <w:r>
              <w:rPr>
                <w:rFonts w:hint="eastAsia"/>
                <w:color w:val="000000"/>
              </w:rPr>
              <w:t>141,386,455.76</w:t>
            </w:r>
          </w:p>
        </w:tc>
        <w:tc>
          <w:tcPr>
            <w:tcW w:w="1846" w:type="pct"/>
            <w:shd w:val="clear" w:color="auto" w:fill="auto"/>
          </w:tcPr>
          <w:p w:rsidR="000C5659" w:rsidRDefault="000E33C4">
            <w:pPr>
              <w:jc w:val="right"/>
            </w:pPr>
            <w:r>
              <w:t>150,033,408.71</w:t>
            </w:r>
          </w:p>
        </w:tc>
      </w:tr>
      <w:tr w:rsidR="000C5659">
        <w:tc>
          <w:tcPr>
            <w:tcW w:w="1570" w:type="pct"/>
            <w:shd w:val="clear" w:color="auto" w:fill="auto"/>
          </w:tcPr>
          <w:p w:rsidR="000C5659" w:rsidRDefault="000E33C4">
            <w:pPr>
              <w:pStyle w:val="Style325"/>
            </w:pPr>
            <w:r>
              <w:t>1-2年</w:t>
            </w:r>
          </w:p>
        </w:tc>
        <w:tc>
          <w:tcPr>
            <w:tcW w:w="1584" w:type="pct"/>
            <w:shd w:val="clear" w:color="auto" w:fill="auto"/>
          </w:tcPr>
          <w:p w:rsidR="000C5659" w:rsidRDefault="000E33C4">
            <w:pPr>
              <w:jc w:val="right"/>
              <w:textAlignment w:val="top"/>
              <w:rPr>
                <w:color w:val="000000"/>
              </w:rPr>
            </w:pPr>
            <w:r>
              <w:rPr>
                <w:rFonts w:hint="eastAsia"/>
                <w:color w:val="000000"/>
              </w:rPr>
              <w:t>1,031,866.27</w:t>
            </w:r>
          </w:p>
        </w:tc>
        <w:tc>
          <w:tcPr>
            <w:tcW w:w="1846" w:type="pct"/>
            <w:shd w:val="clear" w:color="auto" w:fill="auto"/>
          </w:tcPr>
          <w:p w:rsidR="000C5659" w:rsidRDefault="000E33C4">
            <w:pPr>
              <w:jc w:val="right"/>
            </w:pPr>
            <w:r>
              <w:t>151,172.91</w:t>
            </w:r>
          </w:p>
        </w:tc>
      </w:tr>
      <w:tr w:rsidR="000C5659">
        <w:tc>
          <w:tcPr>
            <w:tcW w:w="1570" w:type="pct"/>
            <w:shd w:val="clear" w:color="auto" w:fill="auto"/>
          </w:tcPr>
          <w:p w:rsidR="000C5659" w:rsidRDefault="000E33C4">
            <w:pPr>
              <w:jc w:val="both"/>
              <w:rPr>
                <w:color w:val="000000" w:themeColor="text1"/>
              </w:rPr>
            </w:pPr>
            <w:r>
              <w:rPr>
                <w:rFonts w:hint="eastAsia"/>
                <w:color w:val="000000" w:themeColor="text1"/>
              </w:rPr>
              <w:t>2-3年</w:t>
            </w:r>
          </w:p>
        </w:tc>
        <w:tc>
          <w:tcPr>
            <w:tcW w:w="1584" w:type="pct"/>
            <w:shd w:val="clear" w:color="auto" w:fill="auto"/>
          </w:tcPr>
          <w:p w:rsidR="000C5659" w:rsidRDefault="000E33C4">
            <w:pPr>
              <w:jc w:val="right"/>
              <w:textAlignment w:val="top"/>
              <w:rPr>
                <w:color w:val="000000"/>
              </w:rPr>
            </w:pPr>
            <w:r>
              <w:rPr>
                <w:rFonts w:hint="eastAsia"/>
                <w:color w:val="000000"/>
              </w:rPr>
              <w:t>139,757.36</w:t>
            </w:r>
          </w:p>
        </w:tc>
        <w:tc>
          <w:tcPr>
            <w:tcW w:w="1846" w:type="pct"/>
            <w:shd w:val="clear" w:color="auto" w:fill="auto"/>
          </w:tcPr>
          <w:p w:rsidR="000C5659" w:rsidRDefault="000E33C4">
            <w:pPr>
              <w:jc w:val="right"/>
            </w:pPr>
            <w:r>
              <w:t>154,141.40</w:t>
            </w:r>
          </w:p>
        </w:tc>
      </w:tr>
      <w:tr w:rsidR="000C5659">
        <w:tc>
          <w:tcPr>
            <w:tcW w:w="1570" w:type="pct"/>
            <w:shd w:val="clear" w:color="auto" w:fill="auto"/>
          </w:tcPr>
          <w:p w:rsidR="000C5659" w:rsidRDefault="000E33C4">
            <w:pPr>
              <w:jc w:val="both"/>
              <w:rPr>
                <w:color w:val="000000" w:themeColor="text1"/>
              </w:rPr>
            </w:pPr>
            <w:r>
              <w:t>3年以上</w:t>
            </w:r>
          </w:p>
        </w:tc>
        <w:tc>
          <w:tcPr>
            <w:tcW w:w="1584" w:type="pct"/>
            <w:shd w:val="clear" w:color="auto" w:fill="auto"/>
          </w:tcPr>
          <w:p w:rsidR="000C5659" w:rsidRDefault="000E33C4">
            <w:pPr>
              <w:jc w:val="right"/>
              <w:textAlignment w:val="top"/>
              <w:rPr>
                <w:color w:val="000000"/>
              </w:rPr>
            </w:pPr>
            <w:r>
              <w:rPr>
                <w:rFonts w:hint="eastAsia"/>
                <w:color w:val="000000"/>
              </w:rPr>
              <w:t>140,962.28</w:t>
            </w:r>
          </w:p>
        </w:tc>
        <w:tc>
          <w:tcPr>
            <w:tcW w:w="1846" w:type="pct"/>
            <w:shd w:val="clear" w:color="auto" w:fill="auto"/>
          </w:tcPr>
          <w:p w:rsidR="000C5659" w:rsidRDefault="000E33C4">
            <w:pPr>
              <w:jc w:val="right"/>
            </w:pPr>
            <w:r>
              <w:t>14,261.48</w:t>
            </w:r>
          </w:p>
        </w:tc>
      </w:tr>
      <w:tr w:rsidR="000C5659">
        <w:tc>
          <w:tcPr>
            <w:tcW w:w="1570" w:type="pct"/>
            <w:shd w:val="clear" w:color="auto" w:fill="auto"/>
          </w:tcPr>
          <w:p w:rsidR="000C5659" w:rsidRDefault="000E33C4">
            <w:pPr>
              <w:jc w:val="both"/>
              <w:rPr>
                <w:color w:val="000000" w:themeColor="text1"/>
              </w:rPr>
            </w:pPr>
            <w:r>
              <w:rPr>
                <w:szCs w:val="18"/>
              </w:rPr>
              <w:t>合计</w:t>
            </w:r>
          </w:p>
        </w:tc>
        <w:tc>
          <w:tcPr>
            <w:tcW w:w="1584" w:type="pct"/>
            <w:shd w:val="clear" w:color="auto" w:fill="auto"/>
          </w:tcPr>
          <w:p w:rsidR="000C5659" w:rsidRDefault="000E33C4">
            <w:pPr>
              <w:jc w:val="right"/>
              <w:textAlignment w:val="top"/>
              <w:rPr>
                <w:color w:val="000000"/>
                <w:lang w:bidi="ar"/>
              </w:rPr>
            </w:pPr>
            <w:r>
              <w:rPr>
                <w:rFonts w:hint="eastAsia"/>
                <w:color w:val="000000"/>
                <w:lang w:bidi="ar"/>
              </w:rPr>
              <w:t>142,699,041.67</w:t>
            </w:r>
          </w:p>
        </w:tc>
        <w:tc>
          <w:tcPr>
            <w:tcW w:w="1846" w:type="pct"/>
            <w:shd w:val="clear" w:color="auto" w:fill="auto"/>
          </w:tcPr>
          <w:p w:rsidR="000C5659" w:rsidRDefault="000E33C4">
            <w:pPr>
              <w:jc w:val="right"/>
              <w:textAlignment w:val="top"/>
              <w:rPr>
                <w:color w:val="000000"/>
                <w:lang w:bidi="ar"/>
              </w:rPr>
            </w:pPr>
            <w:r>
              <w:rPr>
                <w:rFonts w:hint="eastAsia"/>
                <w:color w:val="000000"/>
                <w:lang w:bidi="ar"/>
              </w:rPr>
              <w:t>150,352,984.50</w:t>
            </w:r>
          </w:p>
        </w:tc>
      </w:tr>
    </w:tbl>
    <w:p w:rsidR="000C5659" w:rsidRDefault="000C5659">
      <w:pPr>
        <w:rPr>
          <w:color w:val="000000" w:themeColor="text1"/>
        </w:rPr>
      </w:pPr>
    </w:p>
    <w:p w:rsidR="000C5659" w:rsidRDefault="000E33C4" w:rsidP="000743DD">
      <w:pPr>
        <w:pStyle w:val="43"/>
        <w:numPr>
          <w:ilvl w:val="0"/>
          <w:numId w:val="77"/>
        </w:numPr>
        <w:tabs>
          <w:tab w:val="left" w:pos="588"/>
        </w:tabs>
        <w:rPr>
          <w:rFonts w:ascii="宋体" w:hAnsi="宋体"/>
          <w:color w:val="000000" w:themeColor="text1"/>
          <w:szCs w:val="21"/>
        </w:rPr>
      </w:pPr>
      <w:r>
        <w:rPr>
          <w:rFonts w:ascii="宋体" w:hAnsi="宋体" w:hint="eastAsia"/>
          <w:color w:val="000000" w:themeColor="text1"/>
          <w:szCs w:val="21"/>
        </w:rPr>
        <w:t>账龄超过1年或逾期的重要应付账款</w:t>
      </w:r>
    </w:p>
    <w:sdt>
      <w:sdtPr>
        <w:rPr>
          <w:color w:val="000000" w:themeColor="text1"/>
        </w:rPr>
        <w:alias w:val="是否适用：账龄超过1年的重要应付账款[双击切换]"/>
        <w:tag w:val="_GBC_02c6e7ed8ae149e8a09f5b80217deb89"/>
        <w:id w:val="47253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220B84">
      <w:pPr>
        <w:rPr>
          <w:color w:val="000000" w:themeColor="text1"/>
        </w:rPr>
      </w:pPr>
      <w:sdt>
        <w:sdtPr>
          <w:rPr>
            <w:color w:val="000000" w:themeColor="text1"/>
          </w:rPr>
          <w:alias w:val="是否适用：应付账款的其他说明[双击切换]"/>
          <w:tag w:val="_GBC_9a797e83ea1747e9aca4221e6cdfe89f"/>
          <w:id w:val="-1410525315"/>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snapToGrid w:val="0"/>
        <w:spacing w:line="240" w:lineRule="atLeast"/>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预收款项</w:t>
      </w:r>
    </w:p>
    <w:p w:rsidR="000C5659" w:rsidRDefault="000E33C4" w:rsidP="000743DD">
      <w:pPr>
        <w:pStyle w:val="43"/>
        <w:numPr>
          <w:ilvl w:val="0"/>
          <w:numId w:val="78"/>
        </w:numPr>
        <w:rPr>
          <w:rFonts w:ascii="宋体" w:hAnsi="宋体"/>
          <w:color w:val="000000" w:themeColor="text1"/>
          <w:szCs w:val="21"/>
        </w:rPr>
      </w:pPr>
      <w:r>
        <w:rPr>
          <w:rFonts w:ascii="宋体" w:hAnsi="宋体" w:hint="eastAsia"/>
          <w:color w:val="000000" w:themeColor="text1"/>
          <w:szCs w:val="21"/>
        </w:rPr>
        <w:t>预收账款项列示</w:t>
      </w:r>
    </w:p>
    <w:sdt>
      <w:sdtPr>
        <w:rPr>
          <w:color w:val="000000" w:themeColor="text1"/>
        </w:rPr>
        <w:alias w:val="是否适用：预收账款项列示[双击切换]"/>
        <w:tag w:val="_GBC_cf9ab7f5f12c4f788a9bbb6e3ef9c9de"/>
        <w:id w:val="152589956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78"/>
        </w:numPr>
        <w:rPr>
          <w:rFonts w:ascii="宋体" w:hAnsi="宋体"/>
          <w:color w:val="000000" w:themeColor="text1"/>
          <w:szCs w:val="21"/>
        </w:rPr>
      </w:pPr>
      <w:r>
        <w:rPr>
          <w:rFonts w:ascii="宋体" w:hAnsi="宋体" w:hint="eastAsia"/>
          <w:color w:val="000000" w:themeColor="text1"/>
          <w:szCs w:val="21"/>
        </w:rPr>
        <w:t>账龄超过1年的重要预收款项</w:t>
      </w:r>
    </w:p>
    <w:sdt>
      <w:sdtPr>
        <w:rPr>
          <w:color w:val="000000" w:themeColor="text1"/>
        </w:rPr>
        <w:alias w:val="是否适用：账龄超过1年的重要预收款项[双击切换]"/>
        <w:tag w:val="_GBC_ae7ea5bab4b04b2cb170af5020f86302"/>
        <w:id w:val="1975943916"/>
        <w:placeholder>
          <w:docPart w:val="GBC22222222222222222222222222222"/>
        </w:placeholder>
      </w:sdtPr>
      <w:sdtEndPr/>
      <w:sdtContent>
        <w:p w:rsidR="000C5659" w:rsidRDefault="000E33C4">
          <w:pPr>
            <w:tabs>
              <w:tab w:val="left" w:pos="8280"/>
              <w:tab w:val="left" w:pos="9720"/>
            </w:tabs>
            <w:ind w:rightChars="12" w:right="2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tabs>
          <w:tab w:val="left" w:pos="8280"/>
          <w:tab w:val="left" w:pos="9720"/>
        </w:tabs>
        <w:ind w:rightChars="12" w:right="25"/>
        <w:rPr>
          <w:color w:val="000000" w:themeColor="text1"/>
        </w:rPr>
      </w:pPr>
    </w:p>
    <w:p w:rsidR="000C5659" w:rsidRDefault="000E33C4" w:rsidP="000743DD">
      <w:pPr>
        <w:pStyle w:val="43"/>
        <w:numPr>
          <w:ilvl w:val="0"/>
          <w:numId w:val="78"/>
        </w:numPr>
        <w:rPr>
          <w:rFonts w:ascii="宋体" w:hAnsi="宋体"/>
          <w:color w:val="000000" w:themeColor="text1"/>
          <w:szCs w:val="21"/>
        </w:rPr>
      </w:pPr>
      <w:bookmarkStart w:id="305" w:name="_Hlk167960464"/>
      <w:r>
        <w:rPr>
          <w:rFonts w:ascii="宋体" w:hAnsi="宋体" w:hint="eastAsia"/>
          <w:color w:val="000000" w:themeColor="text1"/>
          <w:szCs w:val="21"/>
        </w:rPr>
        <w:t>报告期内账面价值发生重大变动的金额和原因</w:t>
      </w:r>
    </w:p>
    <w:sdt>
      <w:sdtPr>
        <w:rPr>
          <w:color w:val="000000" w:themeColor="text1"/>
        </w:rPr>
        <w:alias w:val="是否适用：预收款项账面价值发生重大变动的金额和原因?[双击切换]"/>
        <w:tag w:val="_GBC_e406dc580328407abd4af2aa60e13e28"/>
        <w:id w:val="63768172"/>
        <w:placeholder>
          <w:docPart w:val="GBC22222222222222222222222222222"/>
        </w:placeholder>
      </w:sdtPr>
      <w:sdtEndPr/>
      <w:sdtContent>
        <w:p w:rsidR="000C5659" w:rsidRDefault="000E33C4">
          <w:pPr>
            <w:tabs>
              <w:tab w:val="left" w:pos="8280"/>
              <w:tab w:val="left" w:pos="9720"/>
            </w:tabs>
            <w:ind w:rightChars="12" w:right="2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tabs>
          <w:tab w:val="left" w:pos="8280"/>
          <w:tab w:val="left" w:pos="9720"/>
        </w:tabs>
        <w:ind w:rightChars="12" w:right="25"/>
        <w:rPr>
          <w:color w:val="000000" w:themeColor="text1"/>
        </w:rPr>
      </w:pPr>
    </w:p>
    <w:bookmarkEnd w:id="305"/>
    <w:p w:rsidR="000C5659" w:rsidRDefault="000E33C4">
      <w:pPr>
        <w:rPr>
          <w:color w:val="000000" w:themeColor="text1"/>
        </w:rPr>
      </w:pPr>
      <w:r>
        <w:rPr>
          <w:rFonts w:hint="eastAsia"/>
          <w:color w:val="000000" w:themeColor="text1"/>
        </w:rPr>
        <w:t>其他说明：</w:t>
      </w:r>
    </w:p>
    <w:sdt>
      <w:sdtPr>
        <w:rPr>
          <w:color w:val="000000" w:themeColor="text1"/>
        </w:rPr>
        <w:alias w:val="是否适用：预收账款的其他说明[双击切换]"/>
        <w:tag w:val="_GBC_f473b6b28a104ffc812e6da4cf5177e5"/>
        <w:id w:val="-178302074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06" w:name="_Hlk10535609"/>
      <w:r>
        <w:rPr>
          <w:color w:val="000000" w:themeColor="text1"/>
          <w:szCs w:val="21"/>
        </w:rPr>
        <w:t>合同负债</w:t>
      </w:r>
    </w:p>
    <w:p w:rsidR="000C5659" w:rsidRDefault="000E33C4" w:rsidP="000743DD">
      <w:pPr>
        <w:pStyle w:val="43"/>
        <w:numPr>
          <w:ilvl w:val="0"/>
          <w:numId w:val="79"/>
        </w:numPr>
        <w:rPr>
          <w:rFonts w:ascii="宋体" w:hAnsi="宋体"/>
          <w:color w:val="000000" w:themeColor="text1"/>
        </w:rPr>
      </w:pPr>
      <w:r>
        <w:rPr>
          <w:rFonts w:ascii="宋体" w:hAnsi="宋体" w:hint="eastAsia"/>
          <w:color w:val="000000" w:themeColor="text1"/>
        </w:rPr>
        <w:t>合同负债情况</w:t>
      </w:r>
    </w:p>
    <w:sdt>
      <w:sdtPr>
        <w:rPr>
          <w:color w:val="000000" w:themeColor="text1"/>
        </w:rPr>
        <w:alias w:val="是否适用：合同负债情况[双击切换]"/>
        <w:tag w:val="_GBC_2b6238a8ea00438eab947f83a5f6451d"/>
        <w:id w:val="74160289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ind w:left="360"/>
        <w:jc w:val="right"/>
        <w:rPr>
          <w:color w:val="000000" w:themeColor="text1"/>
        </w:rPr>
      </w:pPr>
      <w:r>
        <w:rPr>
          <w:rFonts w:hint="eastAsia"/>
          <w:color w:val="000000" w:themeColor="text1"/>
        </w:rPr>
        <w:t>单位：</w:t>
      </w:r>
      <w:sdt>
        <w:sdtPr>
          <w:rPr>
            <w:rFonts w:hint="eastAsia"/>
            <w:color w:val="000000" w:themeColor="text1"/>
          </w:rPr>
          <w:alias w:val="单位：合同负债情况"/>
          <w:tag w:val="_GBC_0024c0ddc3514b009e8166b63dc10ae9"/>
          <w:id w:val="2020195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合同负债情况"/>
          <w:tag w:val="_GBC_154d9411b9764a4f8e1412d0a22c8375"/>
          <w:id w:val="7434546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0C5659">
        <w:sdt>
          <w:sdtPr>
            <w:rPr>
              <w:color w:val="000000" w:themeColor="text1"/>
            </w:rPr>
            <w:tag w:val="_PLD_c5e783ac966e416184ff57e436f98be2"/>
            <w:id w:val="-1211026141"/>
          </w:sdtPr>
          <w:sdtEndPr/>
          <w:sdtContent>
            <w:tc>
              <w:tcPr>
                <w:tcW w:w="1601" w:type="pct"/>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a4f8a9567271447e9f7bc01f59c6eed6"/>
            <w:id w:val="-1065327378"/>
          </w:sdtPr>
          <w:sdtEndPr/>
          <w:sdtContent>
            <w:tc>
              <w:tcPr>
                <w:tcW w:w="1701"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b8f751ec83834a96b0e87c862d2ae80b"/>
            <w:id w:val="1515273928"/>
          </w:sdtPr>
          <w:sdtEndPr/>
          <w:sdtContent>
            <w:tc>
              <w:tcPr>
                <w:tcW w:w="1698" w:type="pct"/>
                <w:shd w:val="clear" w:color="auto" w:fill="auto"/>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0C5659">
        <w:tc>
          <w:tcPr>
            <w:tcW w:w="1601" w:type="pct"/>
            <w:shd w:val="clear" w:color="auto" w:fill="auto"/>
          </w:tcPr>
          <w:p w:rsidR="000C5659" w:rsidRDefault="000E33C4">
            <w:pPr>
              <w:pStyle w:val="Style325"/>
            </w:pPr>
            <w:r>
              <w:rPr>
                <w:szCs w:val="18"/>
              </w:rPr>
              <w:t>预收货款</w:t>
            </w:r>
          </w:p>
        </w:tc>
        <w:tc>
          <w:tcPr>
            <w:tcW w:w="1701" w:type="pct"/>
            <w:shd w:val="clear" w:color="auto" w:fill="auto"/>
          </w:tcPr>
          <w:p w:rsidR="000C5659" w:rsidRDefault="000E33C4">
            <w:pPr>
              <w:jc w:val="right"/>
            </w:pPr>
            <w:r>
              <w:rPr>
                <w:rFonts w:hint="eastAsia"/>
              </w:rPr>
              <w:t>9,564,448.21</w:t>
            </w:r>
          </w:p>
        </w:tc>
        <w:tc>
          <w:tcPr>
            <w:tcW w:w="1698" w:type="pct"/>
            <w:shd w:val="clear" w:color="auto" w:fill="auto"/>
          </w:tcPr>
          <w:p w:rsidR="000C5659" w:rsidRDefault="000E33C4">
            <w:pPr>
              <w:jc w:val="right"/>
            </w:pPr>
            <w:r>
              <w:rPr>
                <w:szCs w:val="18"/>
              </w:rPr>
              <w:t>11,688,899.19</w:t>
            </w:r>
          </w:p>
        </w:tc>
      </w:tr>
      <w:tr w:rsidR="000C5659">
        <w:tc>
          <w:tcPr>
            <w:tcW w:w="1601" w:type="pct"/>
            <w:shd w:val="clear" w:color="auto" w:fill="auto"/>
          </w:tcPr>
          <w:p w:rsidR="000C5659" w:rsidRDefault="000E33C4">
            <w:pPr>
              <w:jc w:val="center"/>
              <w:rPr>
                <w:color w:val="000000" w:themeColor="text1"/>
              </w:rPr>
            </w:pPr>
            <w:r>
              <w:rPr>
                <w:rFonts w:hint="eastAsia"/>
                <w:color w:val="000000" w:themeColor="text1"/>
              </w:rPr>
              <w:t>合计</w:t>
            </w:r>
          </w:p>
        </w:tc>
        <w:tc>
          <w:tcPr>
            <w:tcW w:w="1701" w:type="pct"/>
            <w:shd w:val="clear" w:color="auto" w:fill="auto"/>
          </w:tcPr>
          <w:p w:rsidR="000C5659" w:rsidRDefault="000E33C4">
            <w:pPr>
              <w:jc w:val="right"/>
            </w:pPr>
            <w:r>
              <w:rPr>
                <w:rFonts w:hint="eastAsia"/>
              </w:rPr>
              <w:t>9,564,448.21</w:t>
            </w:r>
          </w:p>
        </w:tc>
        <w:tc>
          <w:tcPr>
            <w:tcW w:w="1698" w:type="pct"/>
            <w:shd w:val="clear" w:color="auto" w:fill="auto"/>
          </w:tcPr>
          <w:p w:rsidR="000C5659" w:rsidRDefault="000E33C4">
            <w:pPr>
              <w:jc w:val="right"/>
            </w:pPr>
            <w:r>
              <w:rPr>
                <w:szCs w:val="18"/>
              </w:rPr>
              <w:t>11,688,899.19</w:t>
            </w:r>
          </w:p>
        </w:tc>
      </w:tr>
    </w:tbl>
    <w:p w:rsidR="000C5659" w:rsidRDefault="000C5659">
      <w:pPr>
        <w:rPr>
          <w:color w:val="000000" w:themeColor="text1"/>
        </w:rPr>
      </w:pPr>
    </w:p>
    <w:p w:rsidR="000C5659" w:rsidRDefault="000E33C4" w:rsidP="000743DD">
      <w:pPr>
        <w:pStyle w:val="43"/>
        <w:numPr>
          <w:ilvl w:val="0"/>
          <w:numId w:val="79"/>
        </w:numPr>
        <w:rPr>
          <w:rFonts w:ascii="宋体" w:hAnsi="宋体"/>
          <w:color w:val="000000" w:themeColor="text1"/>
        </w:rPr>
      </w:pPr>
      <w:bookmarkStart w:id="307" w:name="_Hlk167960548"/>
      <w:bookmarkEnd w:id="306"/>
      <w:r>
        <w:rPr>
          <w:rFonts w:ascii="宋体" w:hAnsi="宋体" w:hint="eastAsia"/>
          <w:color w:val="000000" w:themeColor="text1"/>
        </w:rPr>
        <w:t>账龄超过1年的重要合同负债</w:t>
      </w:r>
    </w:p>
    <w:sdt>
      <w:sdtPr>
        <w:rPr>
          <w:color w:val="000000" w:themeColor="text1"/>
        </w:rPr>
        <w:alias w:val="是否适用：账龄超过1年的重要合同负债明细[双击切换]"/>
        <w:tag w:val="_GBC_aef24e08ea524c9a9a25ec0e93c6c574"/>
        <w:id w:val="-66702882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79"/>
        </w:numPr>
        <w:rPr>
          <w:rFonts w:ascii="宋体" w:hAnsi="宋体"/>
          <w:color w:val="000000" w:themeColor="text1"/>
        </w:rPr>
      </w:pPr>
      <w:bookmarkStart w:id="308" w:name="_Hlk10535674"/>
      <w:bookmarkEnd w:id="307"/>
      <w:r>
        <w:rPr>
          <w:rFonts w:ascii="宋体" w:hAnsi="宋体" w:hint="eastAsia"/>
          <w:color w:val="000000" w:themeColor="text1"/>
        </w:rPr>
        <w:t>报告期内账面价值发生重大变动的金额和原因</w:t>
      </w:r>
    </w:p>
    <w:sdt>
      <w:sdtPr>
        <w:rPr>
          <w:color w:val="000000" w:themeColor="text1"/>
        </w:rPr>
        <w:alias w:val="是否适用：合同负债账面价值发生重大变动[双击切换]"/>
        <w:tag w:val="_GBC_18d9cdd7095d4bda8f22860c58746248"/>
        <w:id w:val="-5537696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309" w:name="_Hlk10535687"/>
      <w:bookmarkStart w:id="310" w:name="_Hlk10535696"/>
      <w:bookmarkEnd w:id="308"/>
      <w:r>
        <w:rPr>
          <w:rFonts w:hint="eastAsia"/>
          <w:color w:val="000000" w:themeColor="text1"/>
        </w:rPr>
        <w:t>其他说明：</w:t>
      </w:r>
      <w:bookmarkEnd w:id="309"/>
    </w:p>
    <w:sdt>
      <w:sdtPr>
        <w:rPr>
          <w:color w:val="000000" w:themeColor="text1"/>
        </w:rPr>
        <w:alias w:val="是否适用：合同负债其他说明[双击切换]"/>
        <w:tag w:val="_GBC_f73cf097b72042508657c656d4dc0c08"/>
        <w:id w:val="135477161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310"/>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lastRenderedPageBreak/>
        <w:t>应付职工薪酬</w:t>
      </w:r>
    </w:p>
    <w:p w:rsidR="000C5659" w:rsidRDefault="000E33C4" w:rsidP="000743DD">
      <w:pPr>
        <w:pStyle w:val="43"/>
        <w:numPr>
          <w:ilvl w:val="0"/>
          <w:numId w:val="80"/>
        </w:numPr>
        <w:rPr>
          <w:rFonts w:ascii="宋体" w:hAnsi="宋体"/>
          <w:color w:val="000000" w:themeColor="text1"/>
        </w:rPr>
      </w:pPr>
      <w:r>
        <w:rPr>
          <w:rFonts w:ascii="宋体" w:hAnsi="宋体" w:hint="eastAsia"/>
          <w:color w:val="000000" w:themeColor="text1"/>
        </w:rPr>
        <w:t>应付职工薪酬列示</w:t>
      </w:r>
    </w:p>
    <w:sdt>
      <w:sdtPr>
        <w:rPr>
          <w:color w:val="000000" w:themeColor="text1"/>
        </w:rPr>
        <w:alias w:val="是否适用：应付职工薪酬列示[双击切换]"/>
        <w:tag w:val="_GBC_88faccc480a843dca589c1af0d3fee37"/>
        <w:id w:val="138576057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应付职工薪酬"/>
          <w:tag w:val="_GBC_5c4cdcd7cd924c4ca8e87f806bc459b0"/>
          <w:id w:val="4865178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职工薪酬"/>
          <w:tag w:val="_GBC_1b7f0fd0ca54470ca12f1037c092be9a"/>
          <w:id w:val="-15395851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581"/>
        <w:gridCol w:w="1476"/>
        <w:gridCol w:w="1686"/>
        <w:gridCol w:w="1686"/>
        <w:gridCol w:w="1581"/>
      </w:tblGrid>
      <w:tr w:rsidR="000C5659">
        <w:sdt>
          <w:sdtPr>
            <w:rPr>
              <w:color w:val="000000" w:themeColor="text1"/>
            </w:rPr>
            <w:tag w:val="_PLD_481bea2acb8f49ac9b4cfc92cd4a426e"/>
            <w:id w:val="737665637"/>
          </w:sdtPr>
          <w:sdtEndPr/>
          <w:sdtContent>
            <w:tc>
              <w:tcPr>
                <w:tcW w:w="0" w:type="auto"/>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ff27c0f5bcb94d9b932762b91edf2ff1"/>
            <w:id w:val="-1230991630"/>
          </w:sdtPr>
          <w:sdtEndPr/>
          <w:sdtContent>
            <w:tc>
              <w:tcPr>
                <w:tcW w:w="0" w:type="auto"/>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c>
          <w:tcPr>
            <w:tcW w:w="0" w:type="auto"/>
            <w:shd w:val="clear" w:color="auto" w:fill="auto"/>
            <w:vAlign w:val="center"/>
          </w:tcPr>
          <w:p w:rsidR="000C5659" w:rsidRDefault="000E33C4">
            <w:pPr>
              <w:jc w:val="center"/>
              <w:rPr>
                <w:color w:val="000000" w:themeColor="text1"/>
              </w:rPr>
            </w:pPr>
            <w:r>
              <w:rPr>
                <w:rFonts w:hint="eastAsia"/>
                <w:color w:val="000000" w:themeColor="text1"/>
              </w:rPr>
              <w:t>企业合并增加</w:t>
            </w:r>
          </w:p>
        </w:tc>
        <w:sdt>
          <w:sdtPr>
            <w:rPr>
              <w:color w:val="000000" w:themeColor="text1"/>
            </w:rPr>
            <w:tag w:val="_PLD_7274636f27ae4e048ade60bfddaa8164"/>
            <w:id w:val="1173452846"/>
          </w:sdtPr>
          <w:sdtEndPr/>
          <w:sdtContent>
            <w:tc>
              <w:tcPr>
                <w:tcW w:w="0" w:type="auto"/>
                <w:shd w:val="clear" w:color="auto" w:fill="auto"/>
                <w:vAlign w:val="center"/>
              </w:tcPr>
              <w:p w:rsidR="000C5659" w:rsidRDefault="000E33C4">
                <w:pPr>
                  <w:jc w:val="center"/>
                  <w:rPr>
                    <w:color w:val="000000" w:themeColor="text1"/>
                  </w:rPr>
                </w:pPr>
                <w:r>
                  <w:rPr>
                    <w:rFonts w:hint="eastAsia"/>
                    <w:color w:val="000000" w:themeColor="text1"/>
                  </w:rPr>
                  <w:t>本期增加</w:t>
                </w:r>
              </w:p>
            </w:tc>
          </w:sdtContent>
        </w:sdt>
        <w:sdt>
          <w:sdtPr>
            <w:rPr>
              <w:color w:val="000000" w:themeColor="text1"/>
            </w:rPr>
            <w:tag w:val="_PLD_07ae572963de436aa2308d649a28c23b"/>
            <w:id w:val="-502283441"/>
          </w:sdtPr>
          <w:sdtEndPr/>
          <w:sdtContent>
            <w:tc>
              <w:tcPr>
                <w:tcW w:w="0" w:type="auto"/>
                <w:shd w:val="clear" w:color="auto" w:fill="auto"/>
                <w:vAlign w:val="center"/>
              </w:tcPr>
              <w:p w:rsidR="000C5659" w:rsidRDefault="000E33C4">
                <w:pPr>
                  <w:jc w:val="center"/>
                  <w:rPr>
                    <w:color w:val="000000" w:themeColor="text1"/>
                  </w:rPr>
                </w:pPr>
                <w:r>
                  <w:rPr>
                    <w:rFonts w:hint="eastAsia"/>
                    <w:color w:val="000000" w:themeColor="text1"/>
                  </w:rPr>
                  <w:t>本期减少</w:t>
                </w:r>
              </w:p>
            </w:tc>
          </w:sdtContent>
        </w:sdt>
        <w:sdt>
          <w:sdtPr>
            <w:rPr>
              <w:color w:val="000000" w:themeColor="text1"/>
            </w:rPr>
            <w:tag w:val="_PLD_27069329d7654e34bc45ca7dee532204"/>
            <w:id w:val="642624671"/>
          </w:sdtPr>
          <w:sdtEndPr/>
          <w:sdtContent>
            <w:tc>
              <w:tcPr>
                <w:tcW w:w="0" w:type="auto"/>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tr>
      <w:tr w:rsidR="000C5659">
        <w:tc>
          <w:tcPr>
            <w:tcW w:w="0" w:type="auto"/>
            <w:shd w:val="clear" w:color="auto" w:fill="auto"/>
            <w:vAlign w:val="center"/>
          </w:tcPr>
          <w:p w:rsidR="000C5659" w:rsidRDefault="000E33C4">
            <w:pPr>
              <w:rPr>
                <w:color w:val="000000" w:themeColor="text1"/>
              </w:rPr>
            </w:pPr>
            <w:r>
              <w:rPr>
                <w:rFonts w:hint="eastAsia"/>
                <w:color w:val="000000" w:themeColor="text1"/>
              </w:rPr>
              <w:t>一、短期薪酬</w:t>
            </w:r>
          </w:p>
        </w:tc>
        <w:tc>
          <w:tcPr>
            <w:tcW w:w="0" w:type="auto"/>
            <w:shd w:val="clear" w:color="auto" w:fill="auto"/>
            <w:vAlign w:val="center"/>
          </w:tcPr>
          <w:p w:rsidR="000C5659" w:rsidRDefault="000E33C4">
            <w:pPr>
              <w:jc w:val="right"/>
            </w:pPr>
            <w:r>
              <w:t>33,587,223.37</w:t>
            </w:r>
          </w:p>
        </w:tc>
        <w:tc>
          <w:tcPr>
            <w:tcW w:w="0" w:type="auto"/>
            <w:shd w:val="clear" w:color="auto" w:fill="auto"/>
            <w:vAlign w:val="center"/>
          </w:tcPr>
          <w:p w:rsidR="000C5659" w:rsidRDefault="000E33C4">
            <w:pPr>
              <w:jc w:val="right"/>
            </w:pPr>
            <w:r>
              <w:t>1,696,574.53</w:t>
            </w:r>
          </w:p>
        </w:tc>
        <w:tc>
          <w:tcPr>
            <w:tcW w:w="0" w:type="auto"/>
            <w:shd w:val="clear" w:color="auto" w:fill="auto"/>
            <w:vAlign w:val="center"/>
          </w:tcPr>
          <w:p w:rsidR="000C5659" w:rsidRDefault="000E33C4">
            <w:pPr>
              <w:jc w:val="right"/>
            </w:pPr>
            <w:r>
              <w:t>130,121,071.02</w:t>
            </w:r>
          </w:p>
        </w:tc>
        <w:tc>
          <w:tcPr>
            <w:tcW w:w="0" w:type="auto"/>
            <w:shd w:val="clear" w:color="auto" w:fill="auto"/>
            <w:vAlign w:val="center"/>
          </w:tcPr>
          <w:p w:rsidR="000C5659" w:rsidRDefault="000E33C4">
            <w:pPr>
              <w:jc w:val="right"/>
            </w:pPr>
            <w:r>
              <w:t>136,315,375.81</w:t>
            </w:r>
          </w:p>
        </w:tc>
        <w:tc>
          <w:tcPr>
            <w:tcW w:w="0" w:type="auto"/>
            <w:shd w:val="clear" w:color="auto" w:fill="auto"/>
            <w:vAlign w:val="center"/>
          </w:tcPr>
          <w:p w:rsidR="000C5659" w:rsidRDefault="000E33C4">
            <w:pPr>
              <w:jc w:val="right"/>
            </w:pPr>
            <w:r>
              <w:rPr>
                <w:rFonts w:hint="eastAsia"/>
              </w:rPr>
              <w:t xml:space="preserve">29,089,493.11 </w:t>
            </w:r>
          </w:p>
        </w:tc>
      </w:tr>
      <w:tr w:rsidR="000C5659">
        <w:tc>
          <w:tcPr>
            <w:tcW w:w="0" w:type="auto"/>
            <w:shd w:val="clear" w:color="auto" w:fill="auto"/>
            <w:vAlign w:val="center"/>
          </w:tcPr>
          <w:p w:rsidR="000C5659" w:rsidRDefault="000E33C4">
            <w:pPr>
              <w:rPr>
                <w:color w:val="000000" w:themeColor="text1"/>
              </w:rPr>
            </w:pPr>
            <w:r>
              <w:rPr>
                <w:rFonts w:hint="eastAsia"/>
                <w:color w:val="000000" w:themeColor="text1"/>
              </w:rPr>
              <w:t>二、离职后福利-设定提存计划</w:t>
            </w:r>
          </w:p>
        </w:tc>
        <w:tc>
          <w:tcPr>
            <w:tcW w:w="0" w:type="auto"/>
            <w:shd w:val="clear" w:color="auto" w:fill="auto"/>
            <w:vAlign w:val="center"/>
          </w:tcPr>
          <w:p w:rsidR="000C5659" w:rsidRDefault="000E33C4">
            <w:pPr>
              <w:jc w:val="right"/>
            </w:pPr>
            <w:r>
              <w:t>30,259.67</w:t>
            </w:r>
          </w:p>
        </w:tc>
        <w:tc>
          <w:tcPr>
            <w:tcW w:w="0" w:type="auto"/>
            <w:shd w:val="clear" w:color="auto" w:fill="auto"/>
            <w:vAlign w:val="center"/>
          </w:tcPr>
          <w:p w:rsidR="000C5659" w:rsidRDefault="000E33C4">
            <w:pPr>
              <w:jc w:val="right"/>
            </w:pPr>
            <w:r>
              <w:rPr>
                <w:rFonts w:hint="eastAsia"/>
              </w:rPr>
              <w:t>8,469.29</w:t>
            </w:r>
          </w:p>
        </w:tc>
        <w:tc>
          <w:tcPr>
            <w:tcW w:w="0" w:type="auto"/>
            <w:shd w:val="clear" w:color="auto" w:fill="auto"/>
            <w:vAlign w:val="center"/>
          </w:tcPr>
          <w:p w:rsidR="000C5659" w:rsidRDefault="000E33C4">
            <w:pPr>
              <w:jc w:val="right"/>
            </w:pPr>
            <w:r>
              <w:t>6,877,413.59</w:t>
            </w:r>
          </w:p>
        </w:tc>
        <w:tc>
          <w:tcPr>
            <w:tcW w:w="0" w:type="auto"/>
            <w:shd w:val="clear" w:color="auto" w:fill="auto"/>
            <w:vAlign w:val="center"/>
          </w:tcPr>
          <w:p w:rsidR="000C5659" w:rsidRDefault="000E33C4">
            <w:pPr>
              <w:jc w:val="right"/>
            </w:pPr>
            <w:r>
              <w:t>6,861,665.00</w:t>
            </w:r>
          </w:p>
        </w:tc>
        <w:tc>
          <w:tcPr>
            <w:tcW w:w="0" w:type="auto"/>
            <w:shd w:val="clear" w:color="auto" w:fill="auto"/>
            <w:vAlign w:val="center"/>
          </w:tcPr>
          <w:p w:rsidR="000C5659" w:rsidRDefault="000E33C4">
            <w:pPr>
              <w:jc w:val="right"/>
            </w:pPr>
            <w:r>
              <w:rPr>
                <w:rFonts w:hint="eastAsia"/>
              </w:rPr>
              <w:t xml:space="preserve">54,477.55 </w:t>
            </w:r>
          </w:p>
        </w:tc>
      </w:tr>
      <w:tr w:rsidR="000C5659">
        <w:tc>
          <w:tcPr>
            <w:tcW w:w="0" w:type="auto"/>
            <w:shd w:val="clear" w:color="auto" w:fill="auto"/>
            <w:vAlign w:val="center"/>
          </w:tcPr>
          <w:p w:rsidR="000C5659" w:rsidRDefault="000E33C4">
            <w:pPr>
              <w:rPr>
                <w:color w:val="000000" w:themeColor="text1"/>
              </w:rPr>
            </w:pPr>
            <w:r>
              <w:rPr>
                <w:rFonts w:hint="eastAsia"/>
                <w:color w:val="000000" w:themeColor="text1"/>
              </w:rPr>
              <w:t>三、辞退福利</w:t>
            </w: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r>
      <w:tr w:rsidR="000C5659">
        <w:tc>
          <w:tcPr>
            <w:tcW w:w="0" w:type="auto"/>
            <w:shd w:val="clear" w:color="auto" w:fill="auto"/>
            <w:vAlign w:val="center"/>
          </w:tcPr>
          <w:p w:rsidR="000C5659" w:rsidRDefault="000E33C4">
            <w:pPr>
              <w:rPr>
                <w:color w:val="000000" w:themeColor="text1"/>
              </w:rPr>
            </w:pPr>
            <w:r>
              <w:rPr>
                <w:rFonts w:hint="eastAsia"/>
                <w:color w:val="000000" w:themeColor="text1"/>
              </w:rPr>
              <w:t>四、一年内到期的其他福利</w:t>
            </w: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c>
          <w:tcPr>
            <w:tcW w:w="0" w:type="auto"/>
            <w:shd w:val="clear" w:color="auto" w:fill="auto"/>
            <w:vAlign w:val="center"/>
          </w:tcPr>
          <w:p w:rsidR="000C5659" w:rsidRDefault="000C5659">
            <w:pPr>
              <w:jc w:val="right"/>
            </w:pPr>
          </w:p>
        </w:tc>
      </w:tr>
      <w:tr w:rsidR="000C5659">
        <w:tc>
          <w:tcPr>
            <w:tcW w:w="0" w:type="auto"/>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0" w:type="auto"/>
            <w:shd w:val="clear" w:color="auto" w:fill="auto"/>
            <w:vAlign w:val="center"/>
          </w:tcPr>
          <w:p w:rsidR="000C5659" w:rsidRDefault="000E33C4">
            <w:pPr>
              <w:jc w:val="right"/>
            </w:pPr>
            <w:r>
              <w:rPr>
                <w:rFonts w:hint="eastAsia"/>
              </w:rPr>
              <w:t>33,617,483.04</w:t>
            </w:r>
          </w:p>
        </w:tc>
        <w:tc>
          <w:tcPr>
            <w:tcW w:w="0" w:type="auto"/>
            <w:shd w:val="clear" w:color="auto" w:fill="auto"/>
            <w:vAlign w:val="center"/>
          </w:tcPr>
          <w:p w:rsidR="000C5659" w:rsidRDefault="000E33C4">
            <w:pPr>
              <w:jc w:val="right"/>
            </w:pPr>
            <w:r>
              <w:rPr>
                <w:rFonts w:hint="eastAsia"/>
              </w:rPr>
              <w:t>1,705,043.82</w:t>
            </w:r>
          </w:p>
        </w:tc>
        <w:tc>
          <w:tcPr>
            <w:tcW w:w="0" w:type="auto"/>
            <w:shd w:val="clear" w:color="auto" w:fill="auto"/>
            <w:vAlign w:val="center"/>
          </w:tcPr>
          <w:p w:rsidR="000C5659" w:rsidRDefault="000E33C4">
            <w:pPr>
              <w:jc w:val="right"/>
            </w:pPr>
            <w:r>
              <w:t>136,998,484.61</w:t>
            </w:r>
          </w:p>
        </w:tc>
        <w:tc>
          <w:tcPr>
            <w:tcW w:w="0" w:type="auto"/>
            <w:shd w:val="clear" w:color="auto" w:fill="auto"/>
            <w:vAlign w:val="center"/>
          </w:tcPr>
          <w:p w:rsidR="000C5659" w:rsidRDefault="000E33C4">
            <w:pPr>
              <w:jc w:val="right"/>
            </w:pPr>
            <w:r>
              <w:t>143,177,040.81</w:t>
            </w:r>
          </w:p>
        </w:tc>
        <w:tc>
          <w:tcPr>
            <w:tcW w:w="0" w:type="auto"/>
            <w:shd w:val="clear" w:color="auto" w:fill="auto"/>
            <w:vAlign w:val="center"/>
          </w:tcPr>
          <w:p w:rsidR="000C5659" w:rsidRDefault="000E33C4">
            <w:pPr>
              <w:jc w:val="right"/>
            </w:pPr>
            <w:r>
              <w:rPr>
                <w:rFonts w:hint="eastAsia"/>
              </w:rPr>
              <w:t xml:space="preserve">29,143,970.66 </w:t>
            </w:r>
          </w:p>
        </w:tc>
      </w:tr>
    </w:tbl>
    <w:p w:rsidR="000C5659" w:rsidRDefault="000C5659">
      <w:pPr>
        <w:rPr>
          <w:color w:val="000000" w:themeColor="text1"/>
        </w:rPr>
      </w:pPr>
    </w:p>
    <w:p w:rsidR="000C5659" w:rsidRDefault="000E33C4" w:rsidP="000743DD">
      <w:pPr>
        <w:pStyle w:val="43"/>
        <w:numPr>
          <w:ilvl w:val="0"/>
          <w:numId w:val="80"/>
        </w:numPr>
        <w:rPr>
          <w:rFonts w:ascii="宋体" w:hAnsi="宋体"/>
          <w:color w:val="000000" w:themeColor="text1"/>
        </w:rPr>
      </w:pPr>
      <w:r>
        <w:rPr>
          <w:rFonts w:ascii="宋体" w:hAnsi="宋体" w:hint="eastAsia"/>
          <w:color w:val="000000" w:themeColor="text1"/>
        </w:rPr>
        <w:t>短期薪酬列示</w:t>
      </w:r>
    </w:p>
    <w:sdt>
      <w:sdtPr>
        <w:rPr>
          <w:color w:val="000000" w:themeColor="text1"/>
        </w:rPr>
        <w:alias w:val="是否适用：短期薪酬列示[双击切换]"/>
        <w:tag w:val="_GBC_fe9cc4ffdf524f4695448b31c76167ce"/>
        <w:id w:val="-107928210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短期薪酬"/>
          <w:tag w:val="_GBC_f5a2a934147944d68f11ca2bcce4d80f"/>
          <w:id w:val="-14026762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短期薪酬"/>
          <w:tag w:val="_GBC_ded097d86a7d48b8a8b1d9689a73bd5d"/>
          <w:id w:val="-3416238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46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561"/>
        <w:gridCol w:w="1701"/>
        <w:gridCol w:w="1761"/>
        <w:gridCol w:w="1645"/>
      </w:tblGrid>
      <w:tr w:rsidR="00BB75E8" w:rsidTr="00BB75E8">
        <w:trPr>
          <w:jc w:val="center"/>
        </w:trPr>
        <w:sdt>
          <w:sdtPr>
            <w:rPr>
              <w:color w:val="000000" w:themeColor="text1"/>
            </w:rPr>
            <w:tag w:val="_PLD_7b5378bc64e24511ae79d643c80f9c98"/>
            <w:id w:val="-2080040834"/>
          </w:sdtPr>
          <w:sdtEndPr/>
          <w:sdtContent>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项目</w:t>
                </w:r>
              </w:p>
            </w:tc>
          </w:sdtContent>
        </w:sdt>
        <w:sdt>
          <w:sdtPr>
            <w:rPr>
              <w:color w:val="000000" w:themeColor="text1"/>
            </w:rPr>
            <w:tag w:val="_PLD_0144fa4bad154236aa75e1dcc0a89e56"/>
            <w:id w:val="-340010116"/>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期初余额</w:t>
                </w:r>
              </w:p>
            </w:tc>
          </w:sdtContent>
        </w:sdt>
        <w:tc>
          <w:tcPr>
            <w:tcW w:w="809"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企业合并增加</w:t>
            </w:r>
          </w:p>
        </w:tc>
        <w:sdt>
          <w:sdtPr>
            <w:rPr>
              <w:color w:val="000000" w:themeColor="text1"/>
            </w:rPr>
            <w:tag w:val="_PLD_2d15a4a9e10b4386a7ed67bc2137e04a"/>
            <w:id w:val="-1975897083"/>
          </w:sdtPr>
          <w:sdtEndPr/>
          <w:sdtContent>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本期增加</w:t>
                </w:r>
              </w:p>
            </w:tc>
          </w:sdtContent>
        </w:sdt>
        <w:sdt>
          <w:sdtPr>
            <w:rPr>
              <w:color w:val="000000" w:themeColor="text1"/>
            </w:rPr>
            <w:tag w:val="_PLD_12a2bbefe0874cde83fdb77f4a4158a1"/>
            <w:id w:val="-157461410"/>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color w:val="000000" w:themeColor="text1"/>
                  </w:rPr>
                  <w:t>本期减少</w:t>
                </w:r>
              </w:p>
            </w:tc>
          </w:sdtContent>
        </w:sdt>
        <w:sdt>
          <w:sdtPr>
            <w:rPr>
              <w:color w:val="000000" w:themeColor="text1"/>
            </w:rPr>
            <w:tag w:val="_PLD_190d6bcbbde148ffb48f230c6d9d7186"/>
            <w:id w:val="-325431637"/>
          </w:sdtPr>
          <w:sdtEndPr/>
          <w:sdtContent>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期末余额</w:t>
                </w:r>
              </w:p>
            </w:tc>
          </w:sdtContent>
        </w:sdt>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rPr>
                <w:color w:val="000000" w:themeColor="text1"/>
              </w:rPr>
            </w:pPr>
            <w:r>
              <w:rPr>
                <w:rFonts w:hint="eastAsia"/>
                <w:color w:val="000000" w:themeColor="text1"/>
              </w:rPr>
              <w:t>一、工资、奖金、津贴和补贴</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33,488,343.01</w:t>
            </w: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rPr>
                <w:rFonts w:hint="eastAsia"/>
              </w:rPr>
              <w:t>1,686,930.83</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123,033,582.28</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129,204,794.40</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textAlignment w:val="center"/>
            </w:pPr>
            <w:r>
              <w:rPr>
                <w:rFonts w:hint="eastAsia"/>
                <w:color w:val="000000"/>
                <w:lang w:bidi="ar"/>
              </w:rPr>
              <w:t>29,004,061.72</w:t>
            </w: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rPr>
                <w:color w:val="000000" w:themeColor="text1"/>
              </w:rPr>
            </w:pPr>
            <w:r>
              <w:rPr>
                <w:rFonts w:hint="eastAsia"/>
                <w:color w:val="000000" w:themeColor="text1"/>
              </w:rPr>
              <w:t>二、职工福利费</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2,117,257.14</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B4667C" w:rsidP="00BB75E8">
            <w:pPr>
              <w:jc w:val="right"/>
            </w:pPr>
            <w:r>
              <w:t>2,117,257.14</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textAlignment w:val="center"/>
            </w:pPr>
            <w:r>
              <w:rPr>
                <w:rFonts w:hint="eastAsia"/>
                <w:color w:val="000000"/>
                <w:lang w:bidi="ar"/>
              </w:rPr>
              <w:t>-</w:t>
            </w: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rPr>
                <w:color w:val="000000" w:themeColor="text1"/>
              </w:rPr>
            </w:pPr>
            <w:r>
              <w:rPr>
                <w:rFonts w:hint="eastAsia"/>
                <w:color w:val="000000" w:themeColor="text1"/>
              </w:rPr>
              <w:t>三、社会保险费</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19,845.36</w:t>
            </w: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4,708.57</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3,844,397.34</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3,834,321.92</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textAlignment w:val="center"/>
            </w:pPr>
            <w:r>
              <w:rPr>
                <w:rFonts w:hint="eastAsia"/>
                <w:color w:val="000000"/>
                <w:lang w:bidi="ar"/>
              </w:rPr>
              <w:t>34,629.35</w:t>
            </w: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其中：</w:t>
            </w:r>
            <w:r>
              <w:rPr>
                <w:color w:val="000000" w:themeColor="text1"/>
              </w:rPr>
              <w:t>医疗保险费</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19,171.27</w:t>
            </w: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4,551.29</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3,431,343.92</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3,421,663.22</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textAlignment w:val="center"/>
            </w:pPr>
            <w:r>
              <w:rPr>
                <w:rFonts w:hint="eastAsia"/>
                <w:color w:val="000000"/>
                <w:lang w:bidi="ar"/>
              </w:rPr>
              <w:t>33,403.26</w:t>
            </w: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工伤保险费</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674.09</w:t>
            </w: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B4667C" w:rsidP="00BB75E8">
            <w:pPr>
              <w:jc w:val="right"/>
            </w:pPr>
            <w:r>
              <w:t>157.28</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405,503.92</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405,109.20</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textAlignment w:val="center"/>
            </w:pPr>
            <w:r>
              <w:rPr>
                <w:rFonts w:hint="eastAsia"/>
                <w:color w:val="000000"/>
                <w:lang w:bidi="ar"/>
              </w:rPr>
              <w:t>1,226.09</w:t>
            </w: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rPr>
                <w:color w:val="000000" w:themeColor="text1"/>
              </w:rPr>
            </w:pPr>
            <w:r>
              <w:rPr>
                <w:rFonts w:hint="eastAsia"/>
                <w:color w:val="000000" w:themeColor="text1"/>
              </w:rPr>
              <w:t>生育保险费</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7,549.50</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7,549.50</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rPr>
                <w:color w:val="000000" w:themeColor="text1"/>
              </w:rPr>
            </w:pPr>
            <w:r>
              <w:rPr>
                <w:rFonts w:hint="eastAsia"/>
                <w:color w:val="000000" w:themeColor="text1"/>
              </w:rPr>
              <w:t>四、住房公积金</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2,301,192.00</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2,301,192.00</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rPr>
                <w:color w:val="000000" w:themeColor="text1"/>
              </w:rPr>
            </w:pPr>
            <w:r>
              <w:rPr>
                <w:rFonts w:hint="eastAsia"/>
                <w:color w:val="000000" w:themeColor="text1"/>
              </w:rPr>
              <w:t>五、工会经费和职工教育经费</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rPr>
                <w:rFonts w:hint="eastAsia"/>
              </w:rPr>
              <w:t>4,935.13</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16,812.29</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15,474.38</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6,273.04</w:t>
            </w: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rPr>
                <w:color w:val="000000" w:themeColor="text1"/>
              </w:rPr>
            </w:pPr>
            <w:r>
              <w:rPr>
                <w:rFonts w:hint="eastAsia"/>
                <w:color w:val="000000" w:themeColor="text1"/>
              </w:rPr>
              <w:t>六、辞退福利</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rPr>
                <w:rFonts w:hint="eastAsia"/>
              </w:rPr>
              <w:t>79,035.00</w:t>
            </w: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C5659" w:rsidP="00BB75E8">
            <w:pPr>
              <w:jc w:val="right"/>
            </w:pP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775,622.39</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810,128.39</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rPr>
                <w:rFonts w:hint="eastAsia"/>
              </w:rPr>
              <w:t>44,529.00</w:t>
            </w:r>
          </w:p>
        </w:tc>
      </w:tr>
      <w:tr w:rsidR="00BB75E8" w:rsidTr="00BB75E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合计</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rPr>
                <w:rFonts w:hint="eastAsia"/>
              </w:rPr>
              <w:t>33,587,223.37</w:t>
            </w:r>
          </w:p>
        </w:tc>
        <w:tc>
          <w:tcPr>
            <w:tcW w:w="809"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rPr>
                <w:rFonts w:hint="eastAsia"/>
              </w:rPr>
              <w:t>1,696,574.53</w:t>
            </w:r>
          </w:p>
        </w:tc>
        <w:tc>
          <w:tcPr>
            <w:tcW w:w="882"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132,088,863.44</w:t>
            </w:r>
          </w:p>
        </w:tc>
        <w:tc>
          <w:tcPr>
            <w:tcW w:w="91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t>138,283,168.23</w:t>
            </w:r>
          </w:p>
        </w:tc>
        <w:tc>
          <w:tcPr>
            <w:tcW w:w="853" w:type="pct"/>
            <w:tcBorders>
              <w:top w:val="single" w:sz="4" w:space="0" w:color="auto"/>
              <w:left w:val="single" w:sz="4" w:space="0" w:color="auto"/>
              <w:bottom w:val="single" w:sz="4" w:space="0" w:color="auto"/>
              <w:right w:val="single" w:sz="4" w:space="0" w:color="auto"/>
            </w:tcBorders>
            <w:vAlign w:val="center"/>
          </w:tcPr>
          <w:p w:rsidR="000C5659" w:rsidRDefault="000E33C4" w:rsidP="00BB75E8">
            <w:pPr>
              <w:jc w:val="right"/>
            </w:pPr>
            <w:r>
              <w:rPr>
                <w:rFonts w:hint="eastAsia"/>
              </w:rPr>
              <w:t>29,089,493.11</w:t>
            </w:r>
          </w:p>
        </w:tc>
      </w:tr>
    </w:tbl>
    <w:p w:rsidR="000C5659" w:rsidRDefault="000C5659">
      <w:pPr>
        <w:rPr>
          <w:color w:val="000000" w:themeColor="text1"/>
        </w:rPr>
      </w:pPr>
    </w:p>
    <w:p w:rsidR="000C5659" w:rsidRDefault="000E33C4" w:rsidP="000743DD">
      <w:pPr>
        <w:pStyle w:val="43"/>
        <w:numPr>
          <w:ilvl w:val="0"/>
          <w:numId w:val="80"/>
        </w:numPr>
        <w:rPr>
          <w:rFonts w:ascii="宋体" w:hAnsi="宋体"/>
          <w:color w:val="000000" w:themeColor="text1"/>
        </w:rPr>
      </w:pPr>
      <w:r>
        <w:rPr>
          <w:rFonts w:ascii="宋体" w:hAnsi="宋体" w:hint="eastAsia"/>
          <w:color w:val="000000" w:themeColor="text1"/>
        </w:rPr>
        <w:t>设定提存计划列示</w:t>
      </w:r>
    </w:p>
    <w:sdt>
      <w:sdtPr>
        <w:rPr>
          <w:color w:val="000000" w:themeColor="text1"/>
        </w:rPr>
        <w:alias w:val="是否适用：设定提存计划列示[双击切换]"/>
        <w:tag w:val="_GBC_107b7eec6d75473e8809e93d01e00021"/>
        <w:id w:val="15041634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设定提存计划列示"/>
          <w:tag w:val="_GBC_744d8f829e6040c78616ef1951ef7e59"/>
          <w:id w:val="-14813863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设定提存计划列示"/>
          <w:tag w:val="_GBC_433e4a4ae9d648a2973673cbec959f23"/>
          <w:id w:val="19995364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47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232"/>
        <w:gridCol w:w="1195"/>
        <w:gridCol w:w="1478"/>
        <w:gridCol w:w="1639"/>
        <w:gridCol w:w="1326"/>
      </w:tblGrid>
      <w:tr w:rsidR="000C5659">
        <w:sdt>
          <w:sdtPr>
            <w:rPr>
              <w:color w:val="000000" w:themeColor="text1"/>
            </w:rPr>
            <w:tag w:val="_PLD_f8a9011ca6bd4cc895a50279da6547e9"/>
            <w:id w:val="1974874711"/>
          </w:sdtPr>
          <w:sdtEndPr/>
          <w:sdtContent>
            <w:tc>
              <w:tcPr>
                <w:tcW w:w="871"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db9ecea0e08e4c1bb5fe2474183a8480"/>
            <w:id w:val="-1899658871"/>
          </w:sdtPr>
          <w:sdtEndPr/>
          <w:sdtContent>
            <w:tc>
              <w:tcPr>
                <w:tcW w:w="740"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c>
          <w:tcPr>
            <w:tcW w:w="718"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企业合并增加</w:t>
            </w:r>
          </w:p>
        </w:tc>
        <w:sdt>
          <w:sdtPr>
            <w:rPr>
              <w:color w:val="000000" w:themeColor="text1"/>
            </w:rPr>
            <w:tag w:val="_PLD_11b6b53867b44c92b19ef791cad0c8c4"/>
            <w:id w:val="-1324348750"/>
          </w:sdtPr>
          <w:sdtEndPr/>
          <w:sdtContent>
            <w:tc>
              <w:tcPr>
                <w:tcW w:w="887"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本期增加</w:t>
                </w:r>
              </w:p>
            </w:tc>
          </w:sdtContent>
        </w:sdt>
        <w:sdt>
          <w:sdtPr>
            <w:rPr>
              <w:color w:val="000000" w:themeColor="text1"/>
            </w:rPr>
            <w:tag w:val="_PLD_c2cbd009dd4248ceb9040da5fc326084"/>
            <w:id w:val="-1696535491"/>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本期减少</w:t>
                </w:r>
              </w:p>
            </w:tc>
          </w:sdtContent>
        </w:sdt>
        <w:sdt>
          <w:sdtPr>
            <w:rPr>
              <w:color w:val="000000" w:themeColor="text1"/>
            </w:rPr>
            <w:tag w:val="_PLD_0ded00fbf217420ebfe8ace86c12086d"/>
            <w:id w:val="1376356466"/>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tr>
      <w:tr w:rsidR="000C5659">
        <w:tc>
          <w:tcPr>
            <w:tcW w:w="871" w:type="pct"/>
            <w:tcBorders>
              <w:top w:val="single" w:sz="6" w:space="0" w:color="auto"/>
              <w:left w:val="single" w:sz="6" w:space="0" w:color="auto"/>
              <w:bottom w:val="single" w:sz="6" w:space="0" w:color="auto"/>
              <w:right w:val="single" w:sz="6" w:space="0" w:color="auto"/>
            </w:tcBorders>
            <w:shd w:val="clear" w:color="auto" w:fill="auto"/>
          </w:tcPr>
          <w:p w:rsidR="000C5659" w:rsidRDefault="000E33C4">
            <w:pPr>
              <w:rPr>
                <w:color w:val="000000" w:themeColor="text1"/>
              </w:rPr>
            </w:pPr>
            <w:r>
              <w:rPr>
                <w:rFonts w:hint="eastAsia"/>
                <w:color w:val="000000" w:themeColor="text1"/>
              </w:rPr>
              <w:t>1、基本养老保险</w:t>
            </w:r>
          </w:p>
        </w:tc>
        <w:tc>
          <w:tcPr>
            <w:tcW w:w="740" w:type="pct"/>
            <w:tcBorders>
              <w:top w:val="single" w:sz="4" w:space="0" w:color="auto"/>
              <w:left w:val="single" w:sz="6" w:space="0" w:color="auto"/>
              <w:bottom w:val="single" w:sz="4" w:space="0" w:color="auto"/>
              <w:right w:val="single" w:sz="4" w:space="0" w:color="auto"/>
            </w:tcBorders>
            <w:shd w:val="clear" w:color="auto" w:fill="auto"/>
          </w:tcPr>
          <w:p w:rsidR="000C5659" w:rsidRDefault="000E33C4">
            <w:pPr>
              <w:jc w:val="right"/>
            </w:pPr>
            <w:r>
              <w:t>29,271.90</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8,212.64</w:t>
            </w: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6,668,525.10</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6,653,253.74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52,755.90</w:t>
            </w:r>
          </w:p>
        </w:tc>
      </w:tr>
      <w:tr w:rsidR="000C5659">
        <w:tc>
          <w:tcPr>
            <w:tcW w:w="871" w:type="pct"/>
            <w:tcBorders>
              <w:top w:val="single" w:sz="6" w:space="0" w:color="auto"/>
              <w:left w:val="single" w:sz="6" w:space="0" w:color="auto"/>
              <w:bottom w:val="single" w:sz="6" w:space="0" w:color="auto"/>
              <w:right w:val="single" w:sz="6" w:space="0" w:color="auto"/>
            </w:tcBorders>
            <w:shd w:val="clear" w:color="auto" w:fill="auto"/>
          </w:tcPr>
          <w:p w:rsidR="000C5659" w:rsidRDefault="000E33C4">
            <w:pPr>
              <w:rPr>
                <w:color w:val="000000" w:themeColor="text1"/>
              </w:rPr>
            </w:pPr>
            <w:r>
              <w:rPr>
                <w:rFonts w:hint="eastAsia"/>
                <w:color w:val="000000" w:themeColor="text1"/>
              </w:rPr>
              <w:t>2、失业保险费</w:t>
            </w:r>
          </w:p>
        </w:tc>
        <w:tc>
          <w:tcPr>
            <w:tcW w:w="740" w:type="pct"/>
            <w:tcBorders>
              <w:top w:val="single" w:sz="4" w:space="0" w:color="auto"/>
              <w:left w:val="single" w:sz="6" w:space="0" w:color="auto"/>
              <w:bottom w:val="single" w:sz="4" w:space="0" w:color="auto"/>
              <w:right w:val="single" w:sz="4" w:space="0" w:color="auto"/>
            </w:tcBorders>
            <w:shd w:val="clear" w:color="auto" w:fill="auto"/>
          </w:tcPr>
          <w:p w:rsidR="000C5659" w:rsidRDefault="000E33C4">
            <w:pPr>
              <w:jc w:val="right"/>
            </w:pPr>
            <w:r>
              <w:t>987.77</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256.65</w:t>
            </w: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208,888.49</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208,411.26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1,721.65</w:t>
            </w:r>
          </w:p>
        </w:tc>
      </w:tr>
      <w:tr w:rsidR="000C5659">
        <w:tc>
          <w:tcPr>
            <w:tcW w:w="871" w:type="pct"/>
            <w:tcBorders>
              <w:top w:val="single" w:sz="6" w:space="0" w:color="auto"/>
              <w:left w:val="single" w:sz="6" w:space="0" w:color="auto"/>
              <w:bottom w:val="single" w:sz="6" w:space="0" w:color="auto"/>
              <w:right w:val="single" w:sz="6" w:space="0" w:color="auto"/>
            </w:tcBorders>
            <w:shd w:val="clear" w:color="auto" w:fill="auto"/>
          </w:tcPr>
          <w:p w:rsidR="000C5659" w:rsidRDefault="000E33C4">
            <w:pPr>
              <w:rPr>
                <w:color w:val="000000" w:themeColor="text1"/>
              </w:rPr>
            </w:pPr>
            <w:r>
              <w:rPr>
                <w:rFonts w:hint="eastAsia"/>
                <w:color w:val="000000" w:themeColor="text1"/>
              </w:rPr>
              <w:t>3、企业年金缴费</w:t>
            </w:r>
          </w:p>
        </w:tc>
        <w:tc>
          <w:tcPr>
            <w:tcW w:w="740" w:type="pct"/>
            <w:tcBorders>
              <w:top w:val="single" w:sz="4" w:space="0" w:color="auto"/>
              <w:left w:val="single" w:sz="6" w:space="0" w:color="auto"/>
              <w:bottom w:val="single" w:sz="4" w:space="0" w:color="auto"/>
              <w:right w:val="single" w:sz="4" w:space="0" w:color="auto"/>
            </w:tcBorders>
            <w:shd w:val="clear" w:color="auto" w:fill="auto"/>
          </w:tcPr>
          <w:p w:rsidR="000C5659" w:rsidRDefault="000C5659">
            <w:pPr>
              <w:jc w:val="right"/>
            </w:pP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w:t>
            </w:r>
          </w:p>
        </w:tc>
      </w:tr>
      <w:tr w:rsidR="000C5659">
        <w:tc>
          <w:tcPr>
            <w:tcW w:w="871"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740" w:type="pct"/>
            <w:tcBorders>
              <w:top w:val="single" w:sz="4" w:space="0" w:color="auto"/>
              <w:left w:val="single" w:sz="6" w:space="0" w:color="auto"/>
              <w:bottom w:val="single" w:sz="4" w:space="0" w:color="auto"/>
              <w:right w:val="single" w:sz="4" w:space="0" w:color="auto"/>
            </w:tcBorders>
            <w:shd w:val="clear" w:color="auto" w:fill="auto"/>
          </w:tcPr>
          <w:p w:rsidR="000C5659" w:rsidRDefault="000E33C4">
            <w:pPr>
              <w:jc w:val="right"/>
            </w:pPr>
            <w:r>
              <w:t>30,259.67</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8,469.29</w:t>
            </w: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6,877,413.59</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6,861,665.00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54,477.55</w:t>
            </w:r>
          </w:p>
        </w:tc>
      </w:tr>
    </w:tbl>
    <w:p w:rsidR="000C5659" w:rsidRDefault="000C5659">
      <w:pPr>
        <w:pStyle w:val="Style325"/>
      </w:pPr>
    </w:p>
    <w:p w:rsidR="000C5659" w:rsidRDefault="000E33C4">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应付职工薪酬的说明[双击切换]"/>
        <w:tag w:val="_GBC_f41ecc08d4994ba99707111806caa376"/>
        <w:id w:val="-524714448"/>
        <w:placeholder>
          <w:docPart w:val="GBC22222222222222222222222222222"/>
        </w:placeholder>
      </w:sdtPr>
      <w:sdtEndPr/>
      <w:sdtContent>
        <w:p w:rsidR="000C5659" w:rsidRDefault="000E33C4">
          <w:pPr>
            <w:autoSpaceDE w:val="0"/>
            <w:autoSpaceDN w:val="0"/>
            <w:adjustRightInd w:val="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autoSpaceDE w:val="0"/>
        <w:autoSpaceDN w:val="0"/>
        <w:adjustRightInd w:val="0"/>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应交税费</w:t>
      </w:r>
    </w:p>
    <w:sdt>
      <w:sdtPr>
        <w:rPr>
          <w:color w:val="000000" w:themeColor="text1"/>
        </w:rPr>
        <w:alias w:val="是否适用：应交税费[双击切换]"/>
        <w:tag w:val="_GBC_e7e2664720b9408384c5d3cd6d97c132"/>
        <w:id w:val="16796860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应交税费"/>
          <w:tag w:val="_GBC_a6162c9f021640929018406be611b834"/>
          <w:id w:val="19922849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交税费"/>
          <w:tag w:val="_GBC_d787fa1c70604797889c69c4c364e711"/>
          <w:id w:val="-1957768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56"/>
        <w:gridCol w:w="2931"/>
        <w:gridCol w:w="2936"/>
      </w:tblGrid>
      <w:tr w:rsidR="000C5659">
        <w:trPr>
          <w:cantSplit/>
        </w:trPr>
        <w:sdt>
          <w:sdtPr>
            <w:rPr>
              <w:color w:val="000000" w:themeColor="text1"/>
            </w:rPr>
            <w:tag w:val="_PLD_ab0019be2d10489d885d15626d85168f"/>
            <w:id w:val="-213274223"/>
          </w:sdtPr>
          <w:sdtEndPr/>
          <w:sdtContent>
            <w:tc>
              <w:tcPr>
                <w:tcW w:w="1675" w:type="pct"/>
                <w:vAlign w:val="center"/>
              </w:tcPr>
              <w:p w:rsidR="000C5659" w:rsidRDefault="000E33C4">
                <w:pPr>
                  <w:ind w:right="105"/>
                  <w:jc w:val="center"/>
                  <w:rPr>
                    <w:color w:val="000000" w:themeColor="text1"/>
                  </w:rPr>
                </w:pPr>
                <w:r>
                  <w:rPr>
                    <w:rFonts w:hint="eastAsia"/>
                    <w:color w:val="000000" w:themeColor="text1"/>
                  </w:rPr>
                  <w:t>项目</w:t>
                </w:r>
              </w:p>
            </w:tc>
          </w:sdtContent>
        </w:sdt>
        <w:sdt>
          <w:sdtPr>
            <w:rPr>
              <w:color w:val="000000" w:themeColor="text1"/>
            </w:rPr>
            <w:tag w:val="_PLD_4d086e8f4e004ee3aa116a5d10a7ecbd"/>
            <w:id w:val="1866948165"/>
          </w:sdtPr>
          <w:sdtEndPr/>
          <w:sdtContent>
            <w:tc>
              <w:tcPr>
                <w:tcW w:w="1661" w:type="pct"/>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8b866f731e474c6ebfb67cd903ab95c8"/>
            <w:id w:val="-522238044"/>
          </w:sdtPr>
          <w:sdtEndPr/>
          <w:sdtContent>
            <w:tc>
              <w:tcPr>
                <w:tcW w:w="1664" w:type="pct"/>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4668" w:type="dxa"/>
            <w:shd w:val="clear" w:color="auto" w:fill="auto"/>
            <w:vAlign w:val="center"/>
          </w:tcPr>
          <w:p w:rsidR="000C5659" w:rsidRDefault="000E33C4">
            <w:pPr>
              <w:snapToGrid w:val="0"/>
              <w:rPr>
                <w:color w:val="000000" w:themeColor="text1"/>
              </w:rPr>
            </w:pPr>
            <w:r>
              <w:rPr>
                <w:szCs w:val="18"/>
              </w:rPr>
              <w:t>增值税</w:t>
            </w:r>
          </w:p>
        </w:tc>
        <w:tc>
          <w:tcPr>
            <w:tcW w:w="1661" w:type="pct"/>
            <w:shd w:val="clear" w:color="auto" w:fill="auto"/>
          </w:tcPr>
          <w:p w:rsidR="000C5659" w:rsidRDefault="000E33C4">
            <w:pPr>
              <w:ind w:right="73"/>
              <w:jc w:val="right"/>
            </w:pPr>
            <w:r>
              <w:t>1,474,893.67</w:t>
            </w:r>
          </w:p>
        </w:tc>
        <w:tc>
          <w:tcPr>
            <w:tcW w:w="1664" w:type="pct"/>
            <w:shd w:val="clear" w:color="auto" w:fill="auto"/>
          </w:tcPr>
          <w:p w:rsidR="000C5659" w:rsidRDefault="000E33C4">
            <w:pPr>
              <w:jc w:val="right"/>
            </w:pPr>
            <w:r>
              <w:t>507,845.20</w:t>
            </w:r>
          </w:p>
        </w:tc>
      </w:tr>
      <w:tr w:rsidR="000C5659">
        <w:trPr>
          <w:cantSplit/>
        </w:trPr>
        <w:tc>
          <w:tcPr>
            <w:tcW w:w="4668" w:type="dxa"/>
            <w:shd w:val="clear" w:color="auto" w:fill="auto"/>
            <w:vAlign w:val="center"/>
          </w:tcPr>
          <w:p w:rsidR="000C5659" w:rsidRDefault="000E33C4">
            <w:pPr>
              <w:snapToGrid w:val="0"/>
              <w:rPr>
                <w:color w:val="000000" w:themeColor="text1"/>
              </w:rPr>
            </w:pPr>
            <w:r>
              <w:rPr>
                <w:szCs w:val="18"/>
              </w:rPr>
              <w:t>所得税</w:t>
            </w:r>
          </w:p>
        </w:tc>
        <w:tc>
          <w:tcPr>
            <w:tcW w:w="1661" w:type="pct"/>
            <w:shd w:val="clear" w:color="auto" w:fill="auto"/>
          </w:tcPr>
          <w:p w:rsidR="000C5659" w:rsidRDefault="000E33C4">
            <w:pPr>
              <w:ind w:right="73"/>
              <w:jc w:val="right"/>
            </w:pPr>
            <w:r>
              <w:t>8,834,545.00</w:t>
            </w:r>
          </w:p>
        </w:tc>
        <w:tc>
          <w:tcPr>
            <w:tcW w:w="1664" w:type="pct"/>
            <w:shd w:val="clear" w:color="auto" w:fill="auto"/>
          </w:tcPr>
          <w:p w:rsidR="000C5659" w:rsidRDefault="000E33C4">
            <w:pPr>
              <w:jc w:val="right"/>
            </w:pPr>
            <w:r>
              <w:t>3,672,059.49</w:t>
            </w:r>
          </w:p>
        </w:tc>
      </w:tr>
      <w:tr w:rsidR="000C5659">
        <w:trPr>
          <w:cantSplit/>
        </w:trPr>
        <w:tc>
          <w:tcPr>
            <w:tcW w:w="4668" w:type="dxa"/>
            <w:shd w:val="clear" w:color="auto" w:fill="auto"/>
            <w:vAlign w:val="center"/>
          </w:tcPr>
          <w:p w:rsidR="000C5659" w:rsidRDefault="000E33C4">
            <w:pPr>
              <w:snapToGrid w:val="0"/>
              <w:rPr>
                <w:color w:val="000000" w:themeColor="text1"/>
              </w:rPr>
            </w:pPr>
            <w:r>
              <w:rPr>
                <w:szCs w:val="18"/>
              </w:rPr>
              <w:t>城市维护建设税</w:t>
            </w:r>
          </w:p>
        </w:tc>
        <w:tc>
          <w:tcPr>
            <w:tcW w:w="1661" w:type="pct"/>
            <w:shd w:val="clear" w:color="auto" w:fill="auto"/>
          </w:tcPr>
          <w:p w:rsidR="000C5659" w:rsidRDefault="000E33C4">
            <w:pPr>
              <w:ind w:right="73"/>
              <w:jc w:val="right"/>
            </w:pPr>
            <w:r>
              <w:t>313,605.75</w:t>
            </w:r>
          </w:p>
        </w:tc>
        <w:tc>
          <w:tcPr>
            <w:tcW w:w="1664" w:type="pct"/>
            <w:shd w:val="clear" w:color="auto" w:fill="auto"/>
          </w:tcPr>
          <w:p w:rsidR="000C5659" w:rsidRDefault="000E33C4">
            <w:pPr>
              <w:jc w:val="right"/>
            </w:pPr>
            <w:r>
              <w:t>118,732.41</w:t>
            </w:r>
          </w:p>
        </w:tc>
      </w:tr>
      <w:tr w:rsidR="000C5659">
        <w:trPr>
          <w:cantSplit/>
        </w:trPr>
        <w:tc>
          <w:tcPr>
            <w:tcW w:w="4668" w:type="dxa"/>
            <w:shd w:val="clear" w:color="auto" w:fill="auto"/>
            <w:vAlign w:val="center"/>
          </w:tcPr>
          <w:p w:rsidR="000C5659" w:rsidRDefault="000E33C4">
            <w:pPr>
              <w:snapToGrid w:val="0"/>
              <w:rPr>
                <w:color w:val="000000" w:themeColor="text1"/>
              </w:rPr>
            </w:pPr>
            <w:r>
              <w:rPr>
                <w:szCs w:val="18"/>
              </w:rPr>
              <w:t>房产税</w:t>
            </w:r>
          </w:p>
        </w:tc>
        <w:tc>
          <w:tcPr>
            <w:tcW w:w="1661" w:type="pct"/>
            <w:shd w:val="clear" w:color="auto" w:fill="auto"/>
          </w:tcPr>
          <w:p w:rsidR="000C5659" w:rsidRDefault="000E33C4">
            <w:pPr>
              <w:ind w:right="73"/>
              <w:jc w:val="right"/>
            </w:pPr>
            <w:r>
              <w:t>832,277.88</w:t>
            </w:r>
          </w:p>
        </w:tc>
        <w:tc>
          <w:tcPr>
            <w:tcW w:w="1664" w:type="pct"/>
            <w:shd w:val="clear" w:color="auto" w:fill="auto"/>
          </w:tcPr>
          <w:p w:rsidR="000C5659" w:rsidRDefault="000E33C4">
            <w:pPr>
              <w:jc w:val="right"/>
            </w:pPr>
            <w:r>
              <w:t>612,023.12</w:t>
            </w:r>
          </w:p>
        </w:tc>
      </w:tr>
      <w:tr w:rsidR="000C5659">
        <w:trPr>
          <w:cantSplit/>
        </w:trPr>
        <w:tc>
          <w:tcPr>
            <w:tcW w:w="4668" w:type="dxa"/>
            <w:shd w:val="clear" w:color="auto" w:fill="auto"/>
            <w:vAlign w:val="center"/>
          </w:tcPr>
          <w:p w:rsidR="000C5659" w:rsidRDefault="000E33C4">
            <w:pPr>
              <w:snapToGrid w:val="0"/>
              <w:rPr>
                <w:color w:val="000000" w:themeColor="text1"/>
              </w:rPr>
            </w:pPr>
            <w:r>
              <w:rPr>
                <w:szCs w:val="18"/>
              </w:rPr>
              <w:t>土地使用税</w:t>
            </w:r>
          </w:p>
        </w:tc>
        <w:tc>
          <w:tcPr>
            <w:tcW w:w="1661" w:type="pct"/>
            <w:shd w:val="clear" w:color="auto" w:fill="auto"/>
          </w:tcPr>
          <w:p w:rsidR="000C5659" w:rsidRDefault="000E33C4">
            <w:pPr>
              <w:ind w:right="73"/>
              <w:jc w:val="right"/>
            </w:pPr>
            <w:r>
              <w:t>123,189.50</w:t>
            </w:r>
          </w:p>
        </w:tc>
        <w:tc>
          <w:tcPr>
            <w:tcW w:w="1664" w:type="pct"/>
            <w:shd w:val="clear" w:color="auto" w:fill="auto"/>
          </w:tcPr>
          <w:p w:rsidR="000C5659" w:rsidRDefault="000E33C4">
            <w:pPr>
              <w:jc w:val="right"/>
            </w:pPr>
            <w:r>
              <w:t>95,519.84</w:t>
            </w:r>
          </w:p>
        </w:tc>
      </w:tr>
      <w:tr w:rsidR="000C5659">
        <w:trPr>
          <w:cantSplit/>
        </w:trPr>
        <w:tc>
          <w:tcPr>
            <w:tcW w:w="4668" w:type="dxa"/>
            <w:shd w:val="clear" w:color="auto" w:fill="auto"/>
            <w:vAlign w:val="center"/>
          </w:tcPr>
          <w:p w:rsidR="000C5659" w:rsidRDefault="000E33C4">
            <w:pPr>
              <w:snapToGrid w:val="0"/>
              <w:rPr>
                <w:color w:val="000000" w:themeColor="text1"/>
              </w:rPr>
            </w:pPr>
            <w:r>
              <w:rPr>
                <w:szCs w:val="18"/>
              </w:rPr>
              <w:t>个人所得税</w:t>
            </w:r>
          </w:p>
        </w:tc>
        <w:tc>
          <w:tcPr>
            <w:tcW w:w="1661" w:type="pct"/>
            <w:shd w:val="clear" w:color="auto" w:fill="auto"/>
          </w:tcPr>
          <w:p w:rsidR="000C5659" w:rsidRDefault="000E33C4">
            <w:pPr>
              <w:ind w:right="73"/>
              <w:jc w:val="right"/>
            </w:pPr>
            <w:r>
              <w:t>213,035.72</w:t>
            </w:r>
          </w:p>
        </w:tc>
        <w:tc>
          <w:tcPr>
            <w:tcW w:w="1664" w:type="pct"/>
            <w:shd w:val="clear" w:color="auto" w:fill="auto"/>
          </w:tcPr>
          <w:p w:rsidR="000C5659" w:rsidRDefault="000E33C4">
            <w:pPr>
              <w:jc w:val="right"/>
            </w:pPr>
            <w:r>
              <w:t>225,558.43</w:t>
            </w:r>
          </w:p>
        </w:tc>
      </w:tr>
      <w:tr w:rsidR="000C5659">
        <w:trPr>
          <w:cantSplit/>
        </w:trPr>
        <w:tc>
          <w:tcPr>
            <w:tcW w:w="4668" w:type="dxa"/>
            <w:vAlign w:val="center"/>
          </w:tcPr>
          <w:p w:rsidR="000C5659" w:rsidRDefault="000E33C4">
            <w:pPr>
              <w:snapToGrid w:val="0"/>
            </w:pPr>
            <w:r>
              <w:rPr>
                <w:szCs w:val="18"/>
              </w:rPr>
              <w:t>教育附加</w:t>
            </w:r>
          </w:p>
        </w:tc>
        <w:tc>
          <w:tcPr>
            <w:tcW w:w="1661" w:type="pct"/>
          </w:tcPr>
          <w:p w:rsidR="000C5659" w:rsidRDefault="000E33C4">
            <w:pPr>
              <w:ind w:right="73"/>
              <w:jc w:val="right"/>
            </w:pPr>
            <w:r>
              <w:t>187,785.10</w:t>
            </w:r>
          </w:p>
        </w:tc>
        <w:tc>
          <w:tcPr>
            <w:tcW w:w="1664" w:type="pct"/>
          </w:tcPr>
          <w:p w:rsidR="000C5659" w:rsidRDefault="000E33C4">
            <w:pPr>
              <w:jc w:val="right"/>
            </w:pPr>
            <w:r>
              <w:t>71,017.84</w:t>
            </w:r>
          </w:p>
        </w:tc>
      </w:tr>
      <w:tr w:rsidR="000C5659">
        <w:trPr>
          <w:cantSplit/>
        </w:trPr>
        <w:tc>
          <w:tcPr>
            <w:tcW w:w="4668" w:type="dxa"/>
            <w:vAlign w:val="center"/>
          </w:tcPr>
          <w:p w:rsidR="000C5659" w:rsidRDefault="000E33C4">
            <w:pPr>
              <w:snapToGrid w:val="0"/>
            </w:pPr>
            <w:r>
              <w:rPr>
                <w:szCs w:val="18"/>
              </w:rPr>
              <w:t>地方教育附加</w:t>
            </w:r>
          </w:p>
        </w:tc>
        <w:tc>
          <w:tcPr>
            <w:tcW w:w="1661" w:type="pct"/>
          </w:tcPr>
          <w:p w:rsidR="000C5659" w:rsidRDefault="000E33C4">
            <w:pPr>
              <w:ind w:right="73"/>
              <w:jc w:val="right"/>
            </w:pPr>
            <w:r>
              <w:t>125,190.07</w:t>
            </w:r>
          </w:p>
        </w:tc>
        <w:tc>
          <w:tcPr>
            <w:tcW w:w="1664" w:type="pct"/>
          </w:tcPr>
          <w:p w:rsidR="000C5659" w:rsidRDefault="000E33C4">
            <w:pPr>
              <w:jc w:val="right"/>
            </w:pPr>
            <w:r>
              <w:t>47,345.21</w:t>
            </w:r>
          </w:p>
        </w:tc>
      </w:tr>
      <w:tr w:rsidR="000C5659">
        <w:trPr>
          <w:cantSplit/>
        </w:trPr>
        <w:tc>
          <w:tcPr>
            <w:tcW w:w="4668" w:type="dxa"/>
            <w:vAlign w:val="center"/>
          </w:tcPr>
          <w:p w:rsidR="000C5659" w:rsidRDefault="000E33C4">
            <w:pPr>
              <w:snapToGrid w:val="0"/>
              <w:rPr>
                <w:color w:val="000000" w:themeColor="text1"/>
              </w:rPr>
            </w:pPr>
            <w:r>
              <w:rPr>
                <w:szCs w:val="18"/>
              </w:rPr>
              <w:t>印花税</w:t>
            </w:r>
          </w:p>
        </w:tc>
        <w:tc>
          <w:tcPr>
            <w:tcW w:w="1661" w:type="pct"/>
          </w:tcPr>
          <w:p w:rsidR="000C5659" w:rsidRDefault="000E33C4">
            <w:pPr>
              <w:ind w:right="73"/>
              <w:jc w:val="right"/>
            </w:pPr>
            <w:r>
              <w:t>192,024.29</w:t>
            </w:r>
          </w:p>
        </w:tc>
        <w:tc>
          <w:tcPr>
            <w:tcW w:w="1664" w:type="pct"/>
          </w:tcPr>
          <w:p w:rsidR="000C5659" w:rsidRDefault="000E33C4">
            <w:pPr>
              <w:jc w:val="right"/>
            </w:pPr>
            <w:r>
              <w:t>200,493.86</w:t>
            </w:r>
          </w:p>
        </w:tc>
      </w:tr>
      <w:tr w:rsidR="000C5659">
        <w:trPr>
          <w:cantSplit/>
        </w:trPr>
        <w:tc>
          <w:tcPr>
            <w:tcW w:w="4668" w:type="dxa"/>
            <w:vAlign w:val="center"/>
          </w:tcPr>
          <w:p w:rsidR="000C5659" w:rsidRDefault="000E33C4">
            <w:pPr>
              <w:snapToGrid w:val="0"/>
              <w:rPr>
                <w:color w:val="000000" w:themeColor="text1"/>
              </w:rPr>
            </w:pPr>
            <w:r>
              <w:rPr>
                <w:szCs w:val="18"/>
              </w:rPr>
              <w:t>环保税</w:t>
            </w:r>
          </w:p>
        </w:tc>
        <w:tc>
          <w:tcPr>
            <w:tcW w:w="1661" w:type="pct"/>
          </w:tcPr>
          <w:p w:rsidR="000C5659" w:rsidRDefault="000E33C4">
            <w:pPr>
              <w:ind w:right="73"/>
              <w:jc w:val="right"/>
            </w:pPr>
            <w:r>
              <w:t>517.38</w:t>
            </w:r>
          </w:p>
        </w:tc>
        <w:tc>
          <w:tcPr>
            <w:tcW w:w="1664" w:type="pct"/>
          </w:tcPr>
          <w:p w:rsidR="000C5659" w:rsidRDefault="000E33C4">
            <w:pPr>
              <w:jc w:val="right"/>
            </w:pPr>
            <w:r>
              <w:t>549.33</w:t>
            </w:r>
          </w:p>
        </w:tc>
      </w:tr>
      <w:tr w:rsidR="000C5659">
        <w:trPr>
          <w:cantSplit/>
        </w:trPr>
        <w:tc>
          <w:tcPr>
            <w:tcW w:w="1675" w:type="pct"/>
            <w:vAlign w:val="center"/>
          </w:tcPr>
          <w:p w:rsidR="000C5659" w:rsidRDefault="000E33C4">
            <w:pPr>
              <w:ind w:right="105"/>
              <w:jc w:val="both"/>
              <w:rPr>
                <w:color w:val="000000" w:themeColor="text1"/>
              </w:rPr>
            </w:pPr>
            <w:r>
              <w:rPr>
                <w:rFonts w:hint="eastAsia"/>
                <w:color w:val="000000" w:themeColor="text1"/>
              </w:rPr>
              <w:t>水利建设专项基金</w:t>
            </w:r>
          </w:p>
        </w:tc>
        <w:tc>
          <w:tcPr>
            <w:tcW w:w="1661" w:type="pct"/>
          </w:tcPr>
          <w:p w:rsidR="000C5659" w:rsidRDefault="000E33C4">
            <w:pPr>
              <w:ind w:right="73"/>
              <w:jc w:val="right"/>
            </w:pPr>
            <w:r>
              <w:t>2,251.23</w:t>
            </w:r>
          </w:p>
        </w:tc>
        <w:tc>
          <w:tcPr>
            <w:tcW w:w="1664" w:type="pct"/>
          </w:tcPr>
          <w:p w:rsidR="000C5659" w:rsidRDefault="000C5659">
            <w:pPr>
              <w:jc w:val="right"/>
            </w:pPr>
          </w:p>
        </w:tc>
      </w:tr>
      <w:tr w:rsidR="000C5659">
        <w:trPr>
          <w:cantSplit/>
        </w:trPr>
        <w:tc>
          <w:tcPr>
            <w:tcW w:w="1675" w:type="pct"/>
            <w:vAlign w:val="center"/>
          </w:tcPr>
          <w:p w:rsidR="000C5659" w:rsidRDefault="000E33C4">
            <w:pPr>
              <w:ind w:right="105"/>
              <w:jc w:val="center"/>
              <w:rPr>
                <w:color w:val="000000" w:themeColor="text1"/>
              </w:rPr>
            </w:pPr>
            <w:r>
              <w:t>合计</w:t>
            </w:r>
          </w:p>
        </w:tc>
        <w:tc>
          <w:tcPr>
            <w:tcW w:w="1661" w:type="pct"/>
          </w:tcPr>
          <w:p w:rsidR="000C5659" w:rsidRDefault="000E33C4">
            <w:pPr>
              <w:ind w:right="73"/>
              <w:jc w:val="right"/>
            </w:pPr>
            <w:r>
              <w:t>12,299,315.59</w:t>
            </w:r>
          </w:p>
        </w:tc>
        <w:tc>
          <w:tcPr>
            <w:tcW w:w="1664" w:type="pct"/>
          </w:tcPr>
          <w:p w:rsidR="000C5659" w:rsidRDefault="000E33C4">
            <w:pPr>
              <w:jc w:val="right"/>
            </w:pPr>
            <w:r>
              <w:t>5,551,144.73</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p>
    <w:sdt>
      <w:sdtPr>
        <w:rPr>
          <w:color w:val="000000" w:themeColor="text1"/>
        </w:rPr>
        <w:alias w:val="应交税金的说明"/>
        <w:tag w:val="_GBC_fb59f8f9de2d41c3aaf0dc3b0970dd91"/>
        <w:id w:val="-1538346705"/>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其他应付款</w:t>
      </w:r>
    </w:p>
    <w:p w:rsidR="000C5659" w:rsidRDefault="000E33C4" w:rsidP="000743DD">
      <w:pPr>
        <w:pStyle w:val="43"/>
        <w:numPr>
          <w:ilvl w:val="0"/>
          <w:numId w:val="81"/>
        </w:numPr>
        <w:ind w:left="425" w:hanging="425"/>
        <w:rPr>
          <w:color w:val="000000" w:themeColor="text1"/>
        </w:rPr>
      </w:pPr>
      <w:bookmarkStart w:id="311" w:name="_Hlk167960650"/>
      <w:r>
        <w:rPr>
          <w:rFonts w:hint="eastAsia"/>
          <w:color w:val="000000" w:themeColor="text1"/>
        </w:rPr>
        <w:t>项目列示</w:t>
      </w:r>
    </w:p>
    <w:sdt>
      <w:sdtPr>
        <w:rPr>
          <w:color w:val="000000" w:themeColor="text1"/>
        </w:rPr>
        <w:alias w:val="是否适用：其他应付款分类列示[双击切换]"/>
        <w:tag w:val="_GBC_5827d75493f041f68356cdf43e4b0e52"/>
        <w:id w:val="-140683276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其他应付款分类列示"/>
          <w:tag w:val="_GBC_2c430d2cae634c2e8376192a2b4c05d5"/>
          <w:id w:val="-12353189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应付款分类列示"/>
          <w:tag w:val="_GBC_ac9f03788d1745f8afc5195f61ce7b16"/>
          <w:id w:val="655319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1"/>
        <w:gridCol w:w="2807"/>
      </w:tblGrid>
      <w:tr w:rsidR="000C5659">
        <w:sdt>
          <w:sdtPr>
            <w:rPr>
              <w:color w:val="000000" w:themeColor="text1"/>
            </w:rPr>
            <w:tag w:val="_PLD_547406e2caa94b57a871517659cf9c0e"/>
            <w:id w:val="-992638749"/>
          </w:sdtPr>
          <w:sdtEndPr/>
          <w:sdtContent>
            <w:tc>
              <w:tcPr>
                <w:tcW w:w="1827" w:type="pct"/>
                <w:shd w:val="clear" w:color="auto" w:fill="auto"/>
                <w:vAlign w:val="center"/>
              </w:tcPr>
              <w:p w:rsidR="000C5659" w:rsidRDefault="000E33C4">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d719b36c588443f38353aada8839625f"/>
            <w:id w:val="-793596341"/>
          </w:sdtPr>
          <w:sdtEndPr/>
          <w:sdtContent>
            <w:tc>
              <w:tcPr>
                <w:tcW w:w="1581"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bc6045ff64f3481da65c0cff41edd1d0"/>
            <w:id w:val="-227620717"/>
          </w:sdtPr>
          <w:sdtEndPr/>
          <w:sdtContent>
            <w:tc>
              <w:tcPr>
                <w:tcW w:w="1590"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c>
          <w:tcPr>
            <w:tcW w:w="1827"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应付利息</w:t>
            </w:r>
          </w:p>
        </w:tc>
        <w:tc>
          <w:tcPr>
            <w:tcW w:w="1581"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r>
      <w:tr w:rsidR="000C5659">
        <w:tc>
          <w:tcPr>
            <w:tcW w:w="1827"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应付股利</w:t>
            </w:r>
          </w:p>
        </w:tc>
        <w:tc>
          <w:tcPr>
            <w:tcW w:w="1581"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t>20,089,740.00</w:t>
            </w:r>
          </w:p>
        </w:tc>
        <w:tc>
          <w:tcPr>
            <w:tcW w:w="1590"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r>
      <w:tr w:rsidR="000C5659">
        <w:tc>
          <w:tcPr>
            <w:tcW w:w="1827"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其他应付款</w:t>
            </w:r>
          </w:p>
        </w:tc>
        <w:tc>
          <w:tcPr>
            <w:tcW w:w="1581"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t>23,449,080.80</w:t>
            </w:r>
          </w:p>
        </w:tc>
        <w:tc>
          <w:tcPr>
            <w:tcW w:w="1590"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t>13,485,414.26</w:t>
            </w:r>
          </w:p>
        </w:tc>
      </w:tr>
      <w:tr w:rsidR="000C5659">
        <w:tc>
          <w:tcPr>
            <w:tcW w:w="1827"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合计</w:t>
            </w:r>
          </w:p>
        </w:tc>
        <w:tc>
          <w:tcPr>
            <w:tcW w:w="1581"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t>43,538,820.80</w:t>
            </w:r>
          </w:p>
        </w:tc>
        <w:tc>
          <w:tcPr>
            <w:tcW w:w="1590"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t>13,485,414.26</w:t>
            </w:r>
          </w:p>
        </w:tc>
      </w:tr>
      <w:bookmarkEnd w:id="311"/>
    </w:tbl>
    <w:p w:rsidR="000C5659" w:rsidRDefault="000C5659">
      <w:pPr>
        <w:rPr>
          <w:color w:val="000000" w:themeColor="text1"/>
        </w:rPr>
      </w:pPr>
    </w:p>
    <w:p w:rsidR="000C5659" w:rsidRDefault="000E33C4" w:rsidP="000743DD">
      <w:pPr>
        <w:pStyle w:val="43"/>
        <w:numPr>
          <w:ilvl w:val="0"/>
          <w:numId w:val="81"/>
        </w:numPr>
        <w:ind w:left="425" w:hanging="425"/>
        <w:rPr>
          <w:rFonts w:ascii="宋体" w:hAnsi="宋体" w:cs="宋体"/>
          <w:color w:val="000000" w:themeColor="text1"/>
          <w:kern w:val="0"/>
          <w:szCs w:val="24"/>
        </w:rPr>
      </w:pPr>
      <w:bookmarkStart w:id="312" w:name="_Hlk10536047"/>
      <w:r>
        <w:rPr>
          <w:rFonts w:ascii="宋体" w:hAnsi="宋体" w:cs="宋体" w:hint="eastAsia"/>
          <w:color w:val="000000" w:themeColor="text1"/>
          <w:kern w:val="0"/>
          <w:szCs w:val="24"/>
        </w:rPr>
        <w:lastRenderedPageBreak/>
        <w:t>应付利息</w:t>
      </w:r>
    </w:p>
    <w:sdt>
      <w:sdtPr>
        <w:rPr>
          <w:color w:val="000000" w:themeColor="text1"/>
        </w:rPr>
        <w:alias w:val="是否适用：应付利息[双击切换]"/>
        <w:tag w:val="_GBC_9058c1c6b0a94f6a8c531ec2dbd35706"/>
        <w:id w:val="15573274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pStyle w:val="43"/>
        <w:rPr>
          <w:rFonts w:ascii="宋体" w:hAnsi="宋体"/>
          <w:color w:val="000000" w:themeColor="text1"/>
        </w:rPr>
      </w:pPr>
      <w:bookmarkStart w:id="313" w:name="_Hlk10536068"/>
      <w:bookmarkStart w:id="314" w:name="_Hlk10536082"/>
      <w:bookmarkEnd w:id="312"/>
      <w:r>
        <w:rPr>
          <w:rFonts w:ascii="宋体" w:hAnsi="宋体" w:hint="eastAsia"/>
          <w:color w:val="000000" w:themeColor="text1"/>
        </w:rPr>
        <w:t>应付股利</w:t>
      </w:r>
      <w:bookmarkEnd w:id="313"/>
    </w:p>
    <w:sdt>
      <w:sdtPr>
        <w:rPr>
          <w:color w:val="000000" w:themeColor="text1"/>
        </w:rPr>
        <w:alias w:val="是否适用：应付股利[双击切换]"/>
        <w:tag w:val="_GBC_09dc75ba10d44acfb18b03320a40e4c5"/>
        <w:id w:val="-4628784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应付股利"/>
          <w:tag w:val="_GBC_794436f63bf446c4b4d5d09922a87476"/>
          <w:id w:val="-9246497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股利"/>
          <w:tag w:val="_GBC_3ac9f6019d6040e79214de869765e7c9"/>
          <w:id w:val="-17110272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835"/>
        <w:gridCol w:w="2993"/>
        <w:gridCol w:w="2995"/>
      </w:tblGrid>
      <w:tr w:rsidR="000C5659">
        <w:trPr>
          <w:cantSplit/>
        </w:trPr>
        <w:sdt>
          <w:sdtPr>
            <w:rPr>
              <w:color w:val="000000" w:themeColor="text1"/>
            </w:rPr>
            <w:tag w:val="_PLD_9d58938574b04fdbb97abe896d2ae73a"/>
            <w:id w:val="-22025929"/>
          </w:sdtPr>
          <w:sdtEndPr/>
          <w:sdtContent>
            <w:tc>
              <w:tcPr>
                <w:tcW w:w="1607" w:type="pct"/>
              </w:tcPr>
              <w:p w:rsidR="000C5659" w:rsidRDefault="000E33C4">
                <w:pPr>
                  <w:ind w:right="105"/>
                  <w:jc w:val="center"/>
                  <w:rPr>
                    <w:color w:val="000000" w:themeColor="text1"/>
                  </w:rPr>
                </w:pPr>
                <w:r>
                  <w:rPr>
                    <w:rFonts w:hint="eastAsia"/>
                    <w:color w:val="000000" w:themeColor="text1"/>
                  </w:rPr>
                  <w:t>项目</w:t>
                </w:r>
              </w:p>
            </w:tc>
          </w:sdtContent>
        </w:sdt>
        <w:sdt>
          <w:sdtPr>
            <w:rPr>
              <w:color w:val="000000" w:themeColor="text1"/>
            </w:rPr>
            <w:tag w:val="_PLD_464a3e2801194be5b8f549044d634880"/>
            <w:id w:val="1435862766"/>
          </w:sdtPr>
          <w:sdtEndPr/>
          <w:sdtContent>
            <w:tc>
              <w:tcPr>
                <w:tcW w:w="1696" w:type="pct"/>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b96a666c25174aeab9bab423f51ae94f"/>
            <w:id w:val="-1411079826"/>
          </w:sdtPr>
          <w:sdtEndPr/>
          <w:sdtContent>
            <w:tc>
              <w:tcPr>
                <w:tcW w:w="1697" w:type="pct"/>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1607" w:type="pct"/>
          </w:tcPr>
          <w:p w:rsidR="000C5659" w:rsidRDefault="000E33C4">
            <w:pPr>
              <w:ind w:right="105"/>
              <w:rPr>
                <w:color w:val="000000" w:themeColor="text1"/>
              </w:rPr>
            </w:pPr>
            <w:r>
              <w:rPr>
                <w:rFonts w:hint="eastAsia"/>
                <w:color w:val="000000" w:themeColor="text1"/>
              </w:rPr>
              <w:t>普通股股利</w:t>
            </w:r>
          </w:p>
        </w:tc>
        <w:tc>
          <w:tcPr>
            <w:tcW w:w="1696" w:type="pct"/>
          </w:tcPr>
          <w:p w:rsidR="000C5659" w:rsidRDefault="000C5659">
            <w:pPr>
              <w:ind w:right="73"/>
              <w:jc w:val="right"/>
            </w:pPr>
          </w:p>
        </w:tc>
        <w:tc>
          <w:tcPr>
            <w:tcW w:w="1697" w:type="pct"/>
          </w:tcPr>
          <w:p w:rsidR="000C5659" w:rsidRDefault="000C5659">
            <w:pPr>
              <w:ind w:right="73"/>
              <w:jc w:val="right"/>
            </w:pPr>
          </w:p>
        </w:tc>
      </w:tr>
      <w:tr w:rsidR="000C5659">
        <w:trPr>
          <w:cantSplit/>
        </w:trPr>
        <w:tc>
          <w:tcPr>
            <w:tcW w:w="1607" w:type="pct"/>
          </w:tcPr>
          <w:p w:rsidR="000C5659" w:rsidRDefault="000E33C4">
            <w:pPr>
              <w:ind w:right="105"/>
              <w:rPr>
                <w:color w:val="000000" w:themeColor="text1"/>
              </w:rPr>
            </w:pPr>
            <w:r>
              <w:rPr>
                <w:rFonts w:hint="eastAsia"/>
                <w:color w:val="000000" w:themeColor="text1"/>
              </w:rPr>
              <w:t>划分为权益工具的优先股\永续债股利</w:t>
            </w:r>
          </w:p>
        </w:tc>
        <w:tc>
          <w:tcPr>
            <w:tcW w:w="1696" w:type="pct"/>
          </w:tcPr>
          <w:p w:rsidR="000C5659" w:rsidRDefault="000C5659">
            <w:pPr>
              <w:ind w:right="73"/>
              <w:jc w:val="right"/>
            </w:pPr>
          </w:p>
        </w:tc>
        <w:tc>
          <w:tcPr>
            <w:tcW w:w="1697" w:type="pct"/>
          </w:tcPr>
          <w:p w:rsidR="000C5659" w:rsidRDefault="000C5659">
            <w:pPr>
              <w:ind w:right="73"/>
              <w:jc w:val="right"/>
            </w:pPr>
          </w:p>
        </w:tc>
      </w:tr>
      <w:tr w:rsidR="000C5659">
        <w:trPr>
          <w:cantSplit/>
        </w:trPr>
        <w:tc>
          <w:tcPr>
            <w:tcW w:w="1607" w:type="pct"/>
          </w:tcPr>
          <w:p w:rsidR="000C5659" w:rsidRDefault="000E33C4">
            <w:pPr>
              <w:pStyle w:val="Style325"/>
            </w:pPr>
            <w:r>
              <w:rPr>
                <w:rFonts w:hint="eastAsia"/>
              </w:rPr>
              <w:t>普通股股利</w:t>
            </w:r>
          </w:p>
        </w:tc>
        <w:tc>
          <w:tcPr>
            <w:tcW w:w="1696" w:type="pct"/>
          </w:tcPr>
          <w:p w:rsidR="000C5659" w:rsidRDefault="000E33C4">
            <w:pPr>
              <w:ind w:right="73"/>
              <w:jc w:val="right"/>
            </w:pPr>
            <w:r>
              <w:t>20,089,740.00</w:t>
            </w:r>
          </w:p>
        </w:tc>
        <w:tc>
          <w:tcPr>
            <w:tcW w:w="1697" w:type="pct"/>
          </w:tcPr>
          <w:p w:rsidR="000C5659" w:rsidRDefault="000C5659">
            <w:pPr>
              <w:ind w:right="73"/>
              <w:jc w:val="right"/>
            </w:pPr>
          </w:p>
        </w:tc>
      </w:tr>
      <w:tr w:rsidR="000C5659">
        <w:trPr>
          <w:cantSplit/>
        </w:trPr>
        <w:tc>
          <w:tcPr>
            <w:tcW w:w="1607" w:type="pct"/>
          </w:tcPr>
          <w:p w:rsidR="000C5659" w:rsidRDefault="000E33C4">
            <w:pPr>
              <w:ind w:right="105"/>
              <w:jc w:val="center"/>
              <w:rPr>
                <w:color w:val="000000" w:themeColor="text1"/>
              </w:rPr>
            </w:pPr>
            <w:r>
              <w:rPr>
                <w:rFonts w:hint="eastAsia"/>
                <w:color w:val="000000" w:themeColor="text1"/>
              </w:rPr>
              <w:t>合计</w:t>
            </w:r>
          </w:p>
        </w:tc>
        <w:tc>
          <w:tcPr>
            <w:tcW w:w="1696" w:type="pct"/>
          </w:tcPr>
          <w:p w:rsidR="000C5659" w:rsidRDefault="000E33C4">
            <w:pPr>
              <w:ind w:right="73"/>
              <w:jc w:val="right"/>
            </w:pPr>
            <w:r>
              <w:rPr>
                <w:rFonts w:hint="eastAsia"/>
              </w:rPr>
              <w:t>20,089,740.00</w:t>
            </w:r>
          </w:p>
        </w:tc>
        <w:tc>
          <w:tcPr>
            <w:tcW w:w="1697" w:type="pct"/>
          </w:tcPr>
          <w:p w:rsidR="000C5659" w:rsidRDefault="000C5659">
            <w:pPr>
              <w:ind w:right="73"/>
              <w:jc w:val="right"/>
            </w:pPr>
          </w:p>
        </w:tc>
      </w:tr>
    </w:tbl>
    <w:p w:rsidR="000C5659" w:rsidRDefault="000E33C4">
      <w:pPr>
        <w:snapToGrid w:val="0"/>
        <w:rPr>
          <w:color w:val="000000" w:themeColor="text1"/>
        </w:rPr>
      </w:pPr>
      <w:r>
        <w:rPr>
          <w:rFonts w:hint="eastAsia"/>
          <w:color w:val="000000" w:themeColor="text1"/>
        </w:rPr>
        <w:t>其他说明，包括重要的超过</w:t>
      </w:r>
      <w:r>
        <w:rPr>
          <w:color w:val="000000" w:themeColor="text1"/>
        </w:rPr>
        <w:t>1年未支付的应付股利，应披露未支付原因：</w:t>
      </w:r>
    </w:p>
    <w:p w:rsidR="000C5659" w:rsidRDefault="00220B84">
      <w:pPr>
        <w:snapToGrid w:val="0"/>
        <w:rPr>
          <w:color w:val="000000" w:themeColor="text1"/>
        </w:rPr>
      </w:pPr>
      <w:sdt>
        <w:sdtPr>
          <w:rPr>
            <w:color w:val="000000" w:themeColor="text1"/>
          </w:rPr>
          <w:alias w:val="应付股利的说明"/>
          <w:tag w:val="_GBC_44da1c5f7ab647d2891e8b1c5f5bd521"/>
          <w:id w:val="1559050852"/>
          <w:placeholder>
            <w:docPart w:val="GBC22222222222222222222222222222"/>
          </w:placeholder>
        </w:sdtPr>
        <w:sdtEndPr/>
        <w:sdtContent>
          <w:r w:rsidR="000E33C4">
            <w:rPr>
              <w:rFonts w:hint="eastAsia"/>
              <w:color w:val="000000" w:themeColor="text1"/>
            </w:rPr>
            <w:t>无</w:t>
          </w:r>
        </w:sdtContent>
      </w:sdt>
    </w:p>
    <w:bookmarkEnd w:id="314"/>
    <w:p w:rsidR="000C5659" w:rsidRDefault="000C5659">
      <w:pPr>
        <w:rPr>
          <w:color w:val="000000" w:themeColor="text1"/>
        </w:rPr>
      </w:pPr>
    </w:p>
    <w:p w:rsidR="000C5659" w:rsidRDefault="000E33C4">
      <w:pPr>
        <w:pStyle w:val="43"/>
        <w:rPr>
          <w:rFonts w:ascii="宋体" w:hAnsi="宋体"/>
          <w:color w:val="000000" w:themeColor="text1"/>
        </w:rPr>
      </w:pPr>
      <w:bookmarkStart w:id="315" w:name="_Hlk10536163"/>
      <w:r>
        <w:rPr>
          <w:rFonts w:ascii="宋体" w:hAnsi="宋体" w:hint="eastAsia"/>
          <w:color w:val="000000" w:themeColor="text1"/>
        </w:rPr>
        <w:t>其他应付款</w:t>
      </w:r>
    </w:p>
    <w:p w:rsidR="000C5659" w:rsidRDefault="000E33C4" w:rsidP="000743DD">
      <w:pPr>
        <w:pStyle w:val="43"/>
        <w:numPr>
          <w:ilvl w:val="3"/>
          <w:numId w:val="82"/>
        </w:numPr>
        <w:rPr>
          <w:rFonts w:ascii="宋体" w:hAnsi="宋体"/>
          <w:color w:val="000000" w:themeColor="text1"/>
        </w:rPr>
      </w:pPr>
      <w:r>
        <w:rPr>
          <w:rFonts w:ascii="宋体" w:hAnsi="宋体" w:hint="eastAsia"/>
          <w:color w:val="000000" w:themeColor="text1"/>
        </w:rPr>
        <w:t>按款项性质列示其他应付款</w:t>
      </w:r>
    </w:p>
    <w:sdt>
      <w:sdtPr>
        <w:rPr>
          <w:color w:val="000000" w:themeColor="text1"/>
        </w:rPr>
        <w:alias w:val="是否适用：按款项性质列示其他应付款[双击切换]"/>
        <w:tag w:val="_GBC_a099ebd596de4984814ff6b49af92e86"/>
        <w:id w:val="189221792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其他应付款情况"/>
          <w:tag w:val="_GBC_781a05c0c742470b88557fa8878adf9c"/>
          <w:id w:val="-7471215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应付款情况"/>
          <w:tag w:val="_GBC_19bba6af93f1445cbfdc13ddfb71a0ea"/>
          <w:id w:val="17600197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4"/>
        <w:gridCol w:w="3049"/>
      </w:tblGrid>
      <w:tr w:rsidR="000C5659">
        <w:sdt>
          <w:sdtPr>
            <w:rPr>
              <w:color w:val="000000" w:themeColor="text1"/>
            </w:rPr>
            <w:tag w:val="_PLD_3991c4118c8d4069811e5f758978143f"/>
            <w:id w:val="-1393887211"/>
          </w:sdtPr>
          <w:sdtEndPr/>
          <w:sdtContent>
            <w:tc>
              <w:tcPr>
                <w:tcW w:w="1615" w:type="pct"/>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c1bcea3523f040f08da3a1bd0d135ad5"/>
            <w:id w:val="-1265297442"/>
          </w:sdtPr>
          <w:sdtEndPr/>
          <w:sdtContent>
            <w:tc>
              <w:tcPr>
                <w:tcW w:w="1657" w:type="pct"/>
                <w:shd w:val="clear" w:color="auto" w:fill="auto"/>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b89663858245498c995c58e2bab384aa"/>
            <w:id w:val="-303851800"/>
          </w:sdtPr>
          <w:sdtEndPr/>
          <w:sdtContent>
            <w:tc>
              <w:tcPr>
                <w:tcW w:w="1728" w:type="pct"/>
                <w:shd w:val="clear" w:color="auto" w:fill="auto"/>
              </w:tcPr>
              <w:p w:rsidR="000C5659" w:rsidRDefault="000E33C4">
                <w:pPr>
                  <w:jc w:val="center"/>
                  <w:rPr>
                    <w:color w:val="000000" w:themeColor="text1"/>
                  </w:rPr>
                </w:pPr>
                <w:r>
                  <w:rPr>
                    <w:rFonts w:hint="eastAsia"/>
                    <w:color w:val="000000" w:themeColor="text1"/>
                  </w:rPr>
                  <w:t>期初余额</w:t>
                </w:r>
              </w:p>
            </w:tc>
          </w:sdtContent>
        </w:sdt>
      </w:tr>
      <w:tr w:rsidR="000C5659">
        <w:tc>
          <w:tcPr>
            <w:tcW w:w="1615" w:type="pct"/>
            <w:shd w:val="clear" w:color="auto" w:fill="auto"/>
          </w:tcPr>
          <w:p w:rsidR="000C5659" w:rsidRDefault="000E33C4">
            <w:pPr>
              <w:pStyle w:val="Style325"/>
            </w:pPr>
            <w:r>
              <w:t>押金保证金</w:t>
            </w:r>
          </w:p>
        </w:tc>
        <w:tc>
          <w:tcPr>
            <w:tcW w:w="1657" w:type="pct"/>
            <w:shd w:val="clear" w:color="auto" w:fill="auto"/>
          </w:tcPr>
          <w:p w:rsidR="000C5659" w:rsidRDefault="000E33C4">
            <w:pPr>
              <w:jc w:val="right"/>
            </w:pPr>
            <w:r>
              <w:t>1,570,724.24</w:t>
            </w:r>
          </w:p>
        </w:tc>
        <w:tc>
          <w:tcPr>
            <w:tcW w:w="1728" w:type="pct"/>
            <w:shd w:val="clear" w:color="auto" w:fill="auto"/>
          </w:tcPr>
          <w:p w:rsidR="000C5659" w:rsidRDefault="000E33C4">
            <w:pPr>
              <w:jc w:val="right"/>
            </w:pPr>
            <w:r>
              <w:t>1,629,161.25</w:t>
            </w:r>
          </w:p>
        </w:tc>
      </w:tr>
      <w:tr w:rsidR="000C5659">
        <w:tc>
          <w:tcPr>
            <w:tcW w:w="1615" w:type="pct"/>
            <w:shd w:val="clear" w:color="auto" w:fill="auto"/>
          </w:tcPr>
          <w:p w:rsidR="000C5659" w:rsidRDefault="000E33C4">
            <w:pPr>
              <w:pStyle w:val="Style325"/>
            </w:pPr>
            <w:r>
              <w:t>预提费用</w:t>
            </w:r>
          </w:p>
        </w:tc>
        <w:tc>
          <w:tcPr>
            <w:tcW w:w="1657" w:type="pct"/>
            <w:shd w:val="clear" w:color="auto" w:fill="auto"/>
          </w:tcPr>
          <w:p w:rsidR="000C5659" w:rsidRDefault="000E33C4">
            <w:pPr>
              <w:jc w:val="right"/>
            </w:pPr>
            <w:r>
              <w:rPr>
                <w:rFonts w:hint="eastAsia"/>
              </w:rPr>
              <w:t>15,598,103.27</w:t>
            </w:r>
          </w:p>
        </w:tc>
        <w:tc>
          <w:tcPr>
            <w:tcW w:w="1728" w:type="pct"/>
            <w:shd w:val="clear" w:color="auto" w:fill="auto"/>
          </w:tcPr>
          <w:p w:rsidR="000C5659" w:rsidRDefault="000E33C4">
            <w:pPr>
              <w:jc w:val="right"/>
            </w:pPr>
            <w:r>
              <w:t>10,477,033.87</w:t>
            </w:r>
          </w:p>
        </w:tc>
      </w:tr>
      <w:tr w:rsidR="000C5659">
        <w:tc>
          <w:tcPr>
            <w:tcW w:w="1615" w:type="pct"/>
            <w:shd w:val="clear" w:color="auto" w:fill="auto"/>
          </w:tcPr>
          <w:p w:rsidR="000C5659" w:rsidRDefault="000E33C4">
            <w:pPr>
              <w:jc w:val="both"/>
              <w:rPr>
                <w:color w:val="000000" w:themeColor="text1"/>
              </w:rPr>
            </w:pPr>
            <w:r>
              <w:rPr>
                <w:rFonts w:hint="eastAsia"/>
                <w:color w:val="000000" w:themeColor="text1"/>
              </w:rPr>
              <w:t>备用金</w:t>
            </w:r>
          </w:p>
        </w:tc>
        <w:tc>
          <w:tcPr>
            <w:tcW w:w="1657" w:type="pct"/>
            <w:shd w:val="clear" w:color="auto" w:fill="auto"/>
          </w:tcPr>
          <w:p w:rsidR="000C5659" w:rsidRDefault="000C5659">
            <w:pPr>
              <w:jc w:val="right"/>
            </w:pPr>
          </w:p>
        </w:tc>
        <w:tc>
          <w:tcPr>
            <w:tcW w:w="1728" w:type="pct"/>
            <w:shd w:val="clear" w:color="auto" w:fill="auto"/>
          </w:tcPr>
          <w:p w:rsidR="000C5659" w:rsidRDefault="000E33C4">
            <w:pPr>
              <w:jc w:val="right"/>
            </w:pPr>
            <w:r>
              <w:t>63,138.95</w:t>
            </w:r>
          </w:p>
        </w:tc>
      </w:tr>
      <w:tr w:rsidR="000C5659">
        <w:tc>
          <w:tcPr>
            <w:tcW w:w="1615" w:type="pct"/>
            <w:shd w:val="clear" w:color="auto" w:fill="auto"/>
          </w:tcPr>
          <w:p w:rsidR="000C5659" w:rsidRDefault="000E33C4">
            <w:pPr>
              <w:jc w:val="both"/>
              <w:rPr>
                <w:color w:val="000000" w:themeColor="text1"/>
              </w:rPr>
            </w:pPr>
            <w:r>
              <w:t>互助金</w:t>
            </w:r>
          </w:p>
        </w:tc>
        <w:tc>
          <w:tcPr>
            <w:tcW w:w="1657" w:type="pct"/>
            <w:shd w:val="clear" w:color="auto" w:fill="auto"/>
          </w:tcPr>
          <w:p w:rsidR="000C5659" w:rsidRDefault="000E33C4">
            <w:pPr>
              <w:jc w:val="right"/>
            </w:pPr>
            <w:r>
              <w:t>181,276.65</w:t>
            </w:r>
          </w:p>
        </w:tc>
        <w:tc>
          <w:tcPr>
            <w:tcW w:w="1728" w:type="pct"/>
            <w:shd w:val="clear" w:color="auto" w:fill="auto"/>
          </w:tcPr>
          <w:p w:rsidR="000C5659" w:rsidRDefault="000E33C4">
            <w:pPr>
              <w:jc w:val="right"/>
            </w:pPr>
            <w:r>
              <w:t>204,561.55</w:t>
            </w:r>
          </w:p>
        </w:tc>
      </w:tr>
      <w:tr w:rsidR="000C5659">
        <w:tc>
          <w:tcPr>
            <w:tcW w:w="1615" w:type="pct"/>
            <w:shd w:val="clear" w:color="auto" w:fill="auto"/>
          </w:tcPr>
          <w:p w:rsidR="000C5659" w:rsidRDefault="000E33C4">
            <w:pPr>
              <w:jc w:val="both"/>
              <w:rPr>
                <w:color w:val="000000" w:themeColor="text1"/>
              </w:rPr>
            </w:pPr>
            <w:r>
              <w:t>工会会费</w:t>
            </w:r>
          </w:p>
        </w:tc>
        <w:tc>
          <w:tcPr>
            <w:tcW w:w="1657" w:type="pct"/>
            <w:shd w:val="clear" w:color="auto" w:fill="auto"/>
          </w:tcPr>
          <w:p w:rsidR="000C5659" w:rsidRDefault="000E33C4">
            <w:pPr>
              <w:jc w:val="right"/>
            </w:pPr>
            <w:r>
              <w:t>111,572.64</w:t>
            </w:r>
          </w:p>
        </w:tc>
        <w:tc>
          <w:tcPr>
            <w:tcW w:w="1728" w:type="pct"/>
            <w:shd w:val="clear" w:color="auto" w:fill="auto"/>
          </w:tcPr>
          <w:p w:rsidR="000C5659" w:rsidRDefault="000E33C4">
            <w:pPr>
              <w:jc w:val="right"/>
            </w:pPr>
            <w:r>
              <w:t>111,518.64</w:t>
            </w:r>
          </w:p>
        </w:tc>
      </w:tr>
      <w:tr w:rsidR="000C5659">
        <w:tc>
          <w:tcPr>
            <w:tcW w:w="1615" w:type="pct"/>
            <w:shd w:val="clear" w:color="auto" w:fill="auto"/>
          </w:tcPr>
          <w:p w:rsidR="000C5659" w:rsidRDefault="000E33C4">
            <w:pPr>
              <w:jc w:val="both"/>
              <w:rPr>
                <w:color w:val="000000" w:themeColor="text1"/>
              </w:rPr>
            </w:pPr>
            <w:r>
              <w:t>其他往来</w:t>
            </w:r>
          </w:p>
        </w:tc>
        <w:tc>
          <w:tcPr>
            <w:tcW w:w="2999" w:type="dxa"/>
            <w:shd w:val="clear" w:color="auto" w:fill="auto"/>
          </w:tcPr>
          <w:p w:rsidR="000C5659" w:rsidRDefault="000E33C4">
            <w:pPr>
              <w:jc w:val="right"/>
              <w:textAlignment w:val="top"/>
            </w:pPr>
            <w:r>
              <w:rPr>
                <w:rFonts w:hint="eastAsia"/>
                <w:color w:val="000000"/>
                <w:lang w:bidi="ar"/>
              </w:rPr>
              <w:t>5,987,404.00</w:t>
            </w:r>
          </w:p>
        </w:tc>
        <w:tc>
          <w:tcPr>
            <w:tcW w:w="1728" w:type="pct"/>
            <w:shd w:val="clear" w:color="auto" w:fill="auto"/>
          </w:tcPr>
          <w:p w:rsidR="000C5659" w:rsidRDefault="000E33C4">
            <w:pPr>
              <w:jc w:val="right"/>
            </w:pPr>
            <w:r>
              <w:t>1,000,000.00</w:t>
            </w:r>
          </w:p>
        </w:tc>
      </w:tr>
      <w:tr w:rsidR="000C5659">
        <w:tc>
          <w:tcPr>
            <w:tcW w:w="1615" w:type="pct"/>
            <w:shd w:val="clear" w:color="auto" w:fill="auto"/>
          </w:tcPr>
          <w:p w:rsidR="000C5659" w:rsidRDefault="000E33C4">
            <w:pPr>
              <w:jc w:val="center"/>
            </w:pPr>
            <w:r>
              <w:rPr>
                <w:szCs w:val="18"/>
              </w:rPr>
              <w:t>合计</w:t>
            </w:r>
          </w:p>
        </w:tc>
        <w:tc>
          <w:tcPr>
            <w:tcW w:w="2999" w:type="dxa"/>
            <w:shd w:val="clear" w:color="auto" w:fill="auto"/>
          </w:tcPr>
          <w:p w:rsidR="000C5659" w:rsidRDefault="000E33C4">
            <w:pPr>
              <w:jc w:val="right"/>
              <w:textAlignment w:val="top"/>
            </w:pPr>
            <w:r>
              <w:rPr>
                <w:rFonts w:hint="eastAsia"/>
                <w:color w:val="000000"/>
                <w:lang w:bidi="ar"/>
              </w:rPr>
              <w:t>23,449,080.80</w:t>
            </w:r>
          </w:p>
        </w:tc>
        <w:tc>
          <w:tcPr>
            <w:tcW w:w="1728" w:type="pct"/>
            <w:shd w:val="clear" w:color="auto" w:fill="auto"/>
          </w:tcPr>
          <w:p w:rsidR="000C5659" w:rsidRDefault="000E33C4">
            <w:pPr>
              <w:jc w:val="right"/>
            </w:pPr>
            <w:r>
              <w:t>13,485,414.26</w:t>
            </w:r>
          </w:p>
        </w:tc>
      </w:tr>
    </w:tbl>
    <w:p w:rsidR="000C5659" w:rsidRDefault="000C5659">
      <w:pPr>
        <w:rPr>
          <w:color w:val="000000" w:themeColor="text1"/>
        </w:rPr>
      </w:pPr>
    </w:p>
    <w:p w:rsidR="000C5659" w:rsidRDefault="000E33C4" w:rsidP="000743DD">
      <w:pPr>
        <w:pStyle w:val="43"/>
        <w:numPr>
          <w:ilvl w:val="3"/>
          <w:numId w:val="82"/>
        </w:numPr>
        <w:rPr>
          <w:rFonts w:ascii="宋体" w:hAnsi="宋体"/>
          <w:color w:val="000000" w:themeColor="text1"/>
        </w:rPr>
      </w:pPr>
      <w:r>
        <w:rPr>
          <w:rFonts w:ascii="宋体" w:hAnsi="宋体" w:hint="eastAsia"/>
          <w:color w:val="000000" w:themeColor="text1"/>
        </w:rPr>
        <w:t>账龄超过</w:t>
      </w:r>
      <w:r>
        <w:rPr>
          <w:rFonts w:ascii="宋体" w:hAnsi="宋体"/>
          <w:color w:val="000000" w:themeColor="text1"/>
        </w:rPr>
        <w:t>1年</w:t>
      </w:r>
      <w:r>
        <w:rPr>
          <w:rFonts w:ascii="宋体" w:hAnsi="宋体" w:hint="eastAsia"/>
          <w:color w:val="000000" w:themeColor="text1"/>
        </w:rPr>
        <w:t>或逾期</w:t>
      </w:r>
      <w:r>
        <w:rPr>
          <w:rFonts w:ascii="宋体" w:hAnsi="宋体"/>
          <w:color w:val="000000" w:themeColor="text1"/>
        </w:rPr>
        <w:t>的重要其他应付款</w:t>
      </w:r>
    </w:p>
    <w:p w:rsidR="000C5659" w:rsidRDefault="00220B84">
      <w:pPr>
        <w:rPr>
          <w:color w:val="000000" w:themeColor="text1"/>
        </w:rPr>
      </w:pPr>
      <w:sdt>
        <w:sdtPr>
          <w:rPr>
            <w:color w:val="000000" w:themeColor="text1"/>
          </w:rPr>
          <w:alias w:val="是否适用：账龄超过1年的重要其他应付款[双击切换]"/>
          <w:tag w:val="_GBC_484cd63ee8b54a41978c822ae4ec5689"/>
          <w:id w:val="-1296518415"/>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其他应付款的其他说明[双击切换]"/>
        <w:tag w:val="_GBC_c968ec386e144657884a6b5b483acbfd"/>
        <w:id w:val="49631452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315"/>
    <w:p w:rsidR="000C5659" w:rsidRDefault="000C5659">
      <w:pPr>
        <w:rPr>
          <w:color w:val="000000" w:themeColor="text1"/>
        </w:rPr>
      </w:pPr>
    </w:p>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持有待售负债</w:t>
      </w:r>
    </w:p>
    <w:sdt>
      <w:sdtPr>
        <w:rPr>
          <w:color w:val="000000" w:themeColor="text1"/>
        </w:rPr>
        <w:alias w:val="是否适用：划分为持有待售的负债[双击切换]"/>
        <w:tag w:val="_GBC_039b9e06b132407a89f578be468d6ec8"/>
        <w:id w:val="6839531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1</w:t>
      </w:r>
      <w:r>
        <w:rPr>
          <w:color w:val="000000" w:themeColor="text1"/>
          <w:szCs w:val="21"/>
        </w:rPr>
        <w:t>年内到期的非流动负债</w:t>
      </w:r>
    </w:p>
    <w:sdt>
      <w:sdtPr>
        <w:rPr>
          <w:color w:val="000000" w:themeColor="text1"/>
        </w:rPr>
        <w:alias w:val="是否适用：1年内到期的非流动负债[双击切换]"/>
        <w:tag w:val="_GBC_9b606bc3f0cf4f77be9b0f299d212c73"/>
        <w:id w:val="48536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1年内到期的非流动负债情况"/>
          <w:tag w:val="_GBC_7bad01766fa0485ea9c16109704ff32e"/>
          <w:id w:val="-108822811"/>
          <w:placeholder>
            <w:docPart w:val="03268A9CACAF4CA587A5C736276A03ED"/>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1年内到期的非流动负债情况"/>
          <w:tag w:val="_GBC_25aa805434d340a6ade79870522c9640"/>
          <w:id w:val="1977420657"/>
          <w:placeholder>
            <w:docPart w:val="03268A9CACAF4CA587A5C736276A03E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0C5659">
        <w:sdt>
          <w:sdtPr>
            <w:rPr>
              <w:color w:val="000000" w:themeColor="text1"/>
            </w:rPr>
            <w:tag w:val="_PLD_bf2815b84ebe4a1e94909ee96ec31ac1"/>
            <w:id w:val="-1969802282"/>
          </w:sdtPr>
          <w:sdtEndPr/>
          <w:sdtContent>
            <w:tc>
              <w:tcPr>
                <w:tcW w:w="1607" w:type="pct"/>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db7abcf611bc4296ad7bd9c8177202e0"/>
            <w:id w:val="-340551660"/>
          </w:sdtPr>
          <w:sdtEndPr/>
          <w:sdtContent>
            <w:tc>
              <w:tcPr>
                <w:tcW w:w="1678" w:type="pct"/>
                <w:shd w:val="clear" w:color="auto" w:fill="auto"/>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371959274ef4493ca1fe426c930e0bf2"/>
            <w:id w:val="-2047588166"/>
          </w:sdtPr>
          <w:sdtEndPr/>
          <w:sdtContent>
            <w:tc>
              <w:tcPr>
                <w:tcW w:w="1715" w:type="pct"/>
                <w:shd w:val="clear" w:color="auto" w:fill="auto"/>
              </w:tcPr>
              <w:p w:rsidR="000C5659" w:rsidRDefault="000E33C4">
                <w:pPr>
                  <w:jc w:val="center"/>
                  <w:rPr>
                    <w:color w:val="000000" w:themeColor="text1"/>
                  </w:rPr>
                </w:pPr>
                <w:r>
                  <w:rPr>
                    <w:rFonts w:hint="eastAsia"/>
                    <w:color w:val="000000" w:themeColor="text1"/>
                  </w:rPr>
                  <w:t>期初余额</w:t>
                </w:r>
              </w:p>
            </w:tc>
          </w:sdtContent>
        </w:sdt>
      </w:tr>
      <w:tr w:rsidR="000C5659">
        <w:tc>
          <w:tcPr>
            <w:tcW w:w="1607" w:type="pct"/>
            <w:shd w:val="clear" w:color="auto" w:fill="auto"/>
          </w:tcPr>
          <w:p w:rsidR="000C5659" w:rsidRDefault="000E33C4">
            <w:pPr>
              <w:rPr>
                <w:color w:val="000000" w:themeColor="text1"/>
              </w:rPr>
            </w:pPr>
            <w:r>
              <w:rPr>
                <w:rFonts w:hint="eastAsia"/>
                <w:color w:val="000000" w:themeColor="text1"/>
              </w:rPr>
              <w:t>1年内到期的长期借款</w:t>
            </w:r>
          </w:p>
        </w:tc>
        <w:tc>
          <w:tcPr>
            <w:tcW w:w="1678" w:type="pct"/>
            <w:shd w:val="clear" w:color="auto" w:fill="auto"/>
          </w:tcPr>
          <w:p w:rsidR="000C5659" w:rsidRDefault="000C5659">
            <w:pPr>
              <w:jc w:val="right"/>
            </w:pPr>
          </w:p>
        </w:tc>
        <w:tc>
          <w:tcPr>
            <w:tcW w:w="1715" w:type="pct"/>
            <w:shd w:val="clear" w:color="auto" w:fill="auto"/>
          </w:tcPr>
          <w:p w:rsidR="000C5659" w:rsidRDefault="000C5659">
            <w:pPr>
              <w:jc w:val="right"/>
            </w:pPr>
          </w:p>
        </w:tc>
      </w:tr>
      <w:tr w:rsidR="000C5659">
        <w:tc>
          <w:tcPr>
            <w:tcW w:w="1607" w:type="pct"/>
            <w:shd w:val="clear" w:color="auto" w:fill="auto"/>
          </w:tcPr>
          <w:p w:rsidR="000C5659" w:rsidRDefault="000E33C4">
            <w:pPr>
              <w:rPr>
                <w:color w:val="000000" w:themeColor="text1"/>
              </w:rPr>
            </w:pPr>
            <w:r>
              <w:rPr>
                <w:rFonts w:hint="eastAsia"/>
                <w:color w:val="000000" w:themeColor="text1"/>
              </w:rPr>
              <w:t>1年内到期的应付债券</w:t>
            </w:r>
          </w:p>
        </w:tc>
        <w:tc>
          <w:tcPr>
            <w:tcW w:w="1678" w:type="pct"/>
            <w:shd w:val="clear" w:color="auto" w:fill="auto"/>
          </w:tcPr>
          <w:p w:rsidR="000C5659" w:rsidRDefault="000C5659">
            <w:pPr>
              <w:jc w:val="right"/>
            </w:pPr>
          </w:p>
        </w:tc>
        <w:tc>
          <w:tcPr>
            <w:tcW w:w="1715" w:type="pct"/>
            <w:shd w:val="clear" w:color="auto" w:fill="auto"/>
          </w:tcPr>
          <w:p w:rsidR="000C5659" w:rsidRDefault="000C5659">
            <w:pPr>
              <w:jc w:val="right"/>
            </w:pPr>
          </w:p>
        </w:tc>
      </w:tr>
      <w:tr w:rsidR="000C5659">
        <w:tc>
          <w:tcPr>
            <w:tcW w:w="1607" w:type="pct"/>
            <w:shd w:val="clear" w:color="auto" w:fill="auto"/>
          </w:tcPr>
          <w:p w:rsidR="000C5659" w:rsidRDefault="000E33C4">
            <w:pPr>
              <w:rPr>
                <w:color w:val="000000" w:themeColor="text1"/>
              </w:rPr>
            </w:pPr>
            <w:r>
              <w:rPr>
                <w:rFonts w:hint="eastAsia"/>
                <w:color w:val="000000" w:themeColor="text1"/>
              </w:rPr>
              <w:t>1年内到期的长期应付款</w:t>
            </w:r>
          </w:p>
        </w:tc>
        <w:tc>
          <w:tcPr>
            <w:tcW w:w="1678" w:type="pct"/>
            <w:shd w:val="clear" w:color="auto" w:fill="auto"/>
          </w:tcPr>
          <w:p w:rsidR="000C5659" w:rsidRDefault="000C5659">
            <w:pPr>
              <w:jc w:val="right"/>
            </w:pPr>
          </w:p>
        </w:tc>
        <w:tc>
          <w:tcPr>
            <w:tcW w:w="1715" w:type="pct"/>
            <w:shd w:val="clear" w:color="auto" w:fill="auto"/>
          </w:tcPr>
          <w:p w:rsidR="000C5659" w:rsidRDefault="000C5659">
            <w:pPr>
              <w:jc w:val="right"/>
            </w:pPr>
          </w:p>
        </w:tc>
      </w:tr>
      <w:tr w:rsidR="000C5659">
        <w:tc>
          <w:tcPr>
            <w:tcW w:w="1607" w:type="pct"/>
            <w:shd w:val="clear" w:color="auto" w:fill="auto"/>
          </w:tcPr>
          <w:p w:rsidR="000C5659" w:rsidRDefault="000E33C4">
            <w:pPr>
              <w:rPr>
                <w:color w:val="000000" w:themeColor="text1"/>
              </w:rPr>
            </w:pPr>
            <w:r>
              <w:rPr>
                <w:rFonts w:hint="eastAsia"/>
                <w:color w:val="000000" w:themeColor="text1"/>
              </w:rPr>
              <w:t>1年内到期的租赁负债</w:t>
            </w:r>
          </w:p>
        </w:tc>
        <w:tc>
          <w:tcPr>
            <w:tcW w:w="1678" w:type="pct"/>
            <w:shd w:val="clear" w:color="auto" w:fill="auto"/>
          </w:tcPr>
          <w:p w:rsidR="000C5659" w:rsidRDefault="000E33C4">
            <w:pPr>
              <w:jc w:val="right"/>
            </w:pPr>
            <w:r>
              <w:t>1,376,900.04</w:t>
            </w:r>
          </w:p>
        </w:tc>
        <w:tc>
          <w:tcPr>
            <w:tcW w:w="1715" w:type="pct"/>
            <w:shd w:val="clear" w:color="auto" w:fill="auto"/>
          </w:tcPr>
          <w:p w:rsidR="000C5659" w:rsidRDefault="000C5659">
            <w:pPr>
              <w:jc w:val="right"/>
            </w:pPr>
          </w:p>
        </w:tc>
      </w:tr>
      <w:tr w:rsidR="000C5659">
        <w:tc>
          <w:tcPr>
            <w:tcW w:w="1607" w:type="pct"/>
            <w:shd w:val="clear" w:color="auto" w:fill="auto"/>
          </w:tcPr>
          <w:p w:rsidR="000C5659" w:rsidRDefault="000E33C4">
            <w:pPr>
              <w:jc w:val="center"/>
              <w:rPr>
                <w:color w:val="000000" w:themeColor="text1"/>
              </w:rPr>
            </w:pPr>
            <w:r>
              <w:rPr>
                <w:rFonts w:hint="eastAsia"/>
                <w:color w:val="000000" w:themeColor="text1"/>
              </w:rPr>
              <w:t>合计</w:t>
            </w:r>
          </w:p>
        </w:tc>
        <w:tc>
          <w:tcPr>
            <w:tcW w:w="1678" w:type="pct"/>
            <w:shd w:val="clear" w:color="auto" w:fill="auto"/>
          </w:tcPr>
          <w:p w:rsidR="000C5659" w:rsidRDefault="000E33C4">
            <w:pPr>
              <w:jc w:val="right"/>
            </w:pPr>
            <w:r>
              <w:t>1,376,900.04</w:t>
            </w:r>
          </w:p>
        </w:tc>
        <w:tc>
          <w:tcPr>
            <w:tcW w:w="1715" w:type="pct"/>
            <w:shd w:val="clear" w:color="auto" w:fill="auto"/>
          </w:tcPr>
          <w:p w:rsidR="000C5659" w:rsidRDefault="000C5659">
            <w:pPr>
              <w:jc w:val="right"/>
            </w:pPr>
          </w:p>
        </w:tc>
      </w:tr>
    </w:tbl>
    <w:p w:rsidR="000C5659" w:rsidRDefault="000E33C4">
      <w:pPr>
        <w:rPr>
          <w:color w:val="000000" w:themeColor="text1"/>
        </w:rPr>
      </w:pPr>
      <w:r>
        <w:rPr>
          <w:rFonts w:hint="eastAsia"/>
          <w:color w:val="000000" w:themeColor="text1"/>
        </w:rPr>
        <w:lastRenderedPageBreak/>
        <w:t>其他说明：</w:t>
      </w:r>
    </w:p>
    <w:sdt>
      <w:sdtPr>
        <w:rPr>
          <w:color w:val="000000" w:themeColor="text1"/>
        </w:rPr>
        <w:alias w:val="1年内到期的非流动负债说明"/>
        <w:tag w:val="_GBC_ae2cc1bff1994660ac9e57279493bfe6"/>
        <w:id w:val="-2080041315"/>
        <w:placeholder>
          <w:docPart w:val="03268A9CACAF4CA587A5C736276A03ED"/>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其他流动负债</w:t>
      </w:r>
      <w:bookmarkStart w:id="316" w:name="_Hlk10536328"/>
    </w:p>
    <w:sdt>
      <w:sdtPr>
        <w:rPr>
          <w:rFonts w:hint="eastAsia"/>
          <w:color w:val="000000" w:themeColor="text1"/>
        </w:rPr>
        <w:alias w:val="是否适用：其他流动负债情况 [双击切换]"/>
        <w:tag w:val="_GBC_80907e3e53c44260b850f42646eb3d63"/>
        <w:id w:val="334968464"/>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其他流动负债"/>
          <w:tag w:val="_GBC_6d31349460124941a4929421727aab0e"/>
          <w:id w:val="20988288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流动负债"/>
          <w:tag w:val="_GBC_7d8c93066ac541859a45d371953d3cdc"/>
          <w:id w:val="9773373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041"/>
        <w:gridCol w:w="3051"/>
      </w:tblGrid>
      <w:tr w:rsidR="000C5659">
        <w:trPr>
          <w:jc w:val="center"/>
        </w:trPr>
        <w:sdt>
          <w:sdtPr>
            <w:rPr>
              <w:color w:val="000000" w:themeColor="text1"/>
            </w:rPr>
            <w:tag w:val="_PLD_8fb682e3d6ad4a60b648ec38137fbf9d"/>
            <w:id w:val="2011481603"/>
          </w:sdtPr>
          <w:sdtEndPr/>
          <w:sdtContent>
            <w:tc>
              <w:tcPr>
                <w:tcW w:w="1547" w:type="pct"/>
                <w:tcBorders>
                  <w:top w:val="single" w:sz="4" w:space="0" w:color="auto"/>
                  <w:left w:val="single" w:sz="4" w:space="0" w:color="auto"/>
                  <w:bottom w:val="single" w:sz="4" w:space="0" w:color="auto"/>
                  <w:right w:val="single" w:sz="4" w:space="0" w:color="auto"/>
                </w:tcBorders>
                <w:vAlign w:val="bottom"/>
              </w:tcPr>
              <w:p w:rsidR="000C5659" w:rsidRDefault="000E33C4">
                <w:pPr>
                  <w:tabs>
                    <w:tab w:val="right" w:pos="3690"/>
                    <w:tab w:val="right" w:pos="5130"/>
                    <w:tab w:val="right" w:pos="6030"/>
                    <w:tab w:val="right" w:pos="7650"/>
                    <w:tab w:val="right" w:pos="9270"/>
                  </w:tabs>
                  <w:snapToGrid w:val="0"/>
                  <w:ind w:leftChars="-52" w:left="-109"/>
                  <w:jc w:val="center"/>
                  <w:rPr>
                    <w:color w:val="000000" w:themeColor="text1"/>
                  </w:rPr>
                </w:pPr>
                <w:r>
                  <w:rPr>
                    <w:rFonts w:hint="eastAsia"/>
                    <w:color w:val="000000" w:themeColor="text1"/>
                  </w:rPr>
                  <w:t>项目</w:t>
                </w:r>
              </w:p>
            </w:tc>
          </w:sdtContent>
        </w:sdt>
        <w:sdt>
          <w:sdtPr>
            <w:rPr>
              <w:color w:val="000000" w:themeColor="text1"/>
            </w:rPr>
            <w:tag w:val="_PLD_0c0b762dc58f486f9f736b7ace21e9a0"/>
            <w:id w:val="-656456654"/>
          </w:sdtPr>
          <w:sdtEndPr/>
          <w:sdtContent>
            <w:tc>
              <w:tcPr>
                <w:tcW w:w="1723" w:type="pct"/>
                <w:tcBorders>
                  <w:top w:val="single" w:sz="4" w:space="0" w:color="auto"/>
                  <w:left w:val="single" w:sz="4" w:space="0" w:color="auto"/>
                  <w:bottom w:val="single" w:sz="4" w:space="0" w:color="auto"/>
                  <w:right w:val="single" w:sz="4" w:space="0" w:color="auto"/>
                </w:tcBorders>
              </w:tcPr>
              <w:p w:rsidR="000C5659" w:rsidRDefault="000E33C4">
                <w:pPr>
                  <w:adjustRightInd w:val="0"/>
                  <w:snapToGrid w:val="0"/>
                  <w:jc w:val="center"/>
                  <w:rPr>
                    <w:color w:val="000000" w:themeColor="text1"/>
                  </w:rPr>
                </w:pPr>
                <w:r>
                  <w:rPr>
                    <w:rFonts w:hint="eastAsia"/>
                    <w:color w:val="000000" w:themeColor="text1"/>
                  </w:rPr>
                  <w:t>期末余额</w:t>
                </w:r>
              </w:p>
            </w:tc>
          </w:sdtContent>
        </w:sdt>
        <w:sdt>
          <w:sdtPr>
            <w:rPr>
              <w:color w:val="000000" w:themeColor="text1"/>
            </w:rPr>
            <w:tag w:val="_PLD_942d693f41424f82b813e282a8210643"/>
            <w:id w:val="-2125925322"/>
          </w:sdtPr>
          <w:sdtEndPr/>
          <w:sdtContent>
            <w:tc>
              <w:tcPr>
                <w:tcW w:w="1729" w:type="pct"/>
                <w:tcBorders>
                  <w:top w:val="single" w:sz="4" w:space="0" w:color="auto"/>
                  <w:left w:val="single" w:sz="4" w:space="0" w:color="auto"/>
                  <w:bottom w:val="single" w:sz="4" w:space="0" w:color="auto"/>
                  <w:right w:val="single" w:sz="4" w:space="0" w:color="auto"/>
                </w:tcBorders>
              </w:tcPr>
              <w:p w:rsidR="000C5659" w:rsidRDefault="000E33C4">
                <w:pPr>
                  <w:adjustRightInd w:val="0"/>
                  <w:snapToGrid w:val="0"/>
                  <w:jc w:val="center"/>
                  <w:rPr>
                    <w:color w:val="000000" w:themeColor="text1"/>
                  </w:rPr>
                </w:pPr>
                <w:r>
                  <w:rPr>
                    <w:rFonts w:hint="eastAsia"/>
                    <w:color w:val="000000" w:themeColor="text1"/>
                  </w:rPr>
                  <w:t>期初余额</w:t>
                </w:r>
              </w:p>
            </w:tc>
          </w:sdtContent>
        </w:sdt>
      </w:tr>
      <w:tr w:rsidR="000C5659">
        <w:trPr>
          <w:jc w:val="center"/>
        </w:trPr>
        <w:tc>
          <w:tcPr>
            <w:tcW w:w="1547"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短期应付债券</w:t>
            </w:r>
          </w:p>
        </w:tc>
        <w:tc>
          <w:tcPr>
            <w:tcW w:w="172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29"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rPr>
          <w:jc w:val="center"/>
        </w:trPr>
        <w:tc>
          <w:tcPr>
            <w:tcW w:w="1547"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应付退货款</w:t>
            </w:r>
          </w:p>
        </w:tc>
        <w:tc>
          <w:tcPr>
            <w:tcW w:w="172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29"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rPr>
          <w:jc w:val="center"/>
        </w:trPr>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snapToGrid w:val="0"/>
              <w:rPr>
                <w:szCs w:val="18"/>
              </w:rPr>
            </w:pPr>
            <w:r>
              <w:rPr>
                <w:rFonts w:hint="eastAsia"/>
                <w:szCs w:val="18"/>
              </w:rPr>
              <w:t>待</w:t>
            </w:r>
            <w:r>
              <w:rPr>
                <w:szCs w:val="18"/>
              </w:rPr>
              <w:t>转销项税</w:t>
            </w:r>
          </w:p>
        </w:tc>
        <w:tc>
          <w:tcPr>
            <w:tcW w:w="1723"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819,378.31</w:t>
            </w:r>
          </w:p>
        </w:tc>
        <w:tc>
          <w:tcPr>
            <w:tcW w:w="1729" w:type="pct"/>
            <w:tcBorders>
              <w:top w:val="single" w:sz="4" w:space="0" w:color="auto"/>
              <w:left w:val="single" w:sz="4" w:space="0" w:color="auto"/>
              <w:bottom w:val="single" w:sz="4" w:space="0" w:color="auto"/>
              <w:right w:val="single" w:sz="4" w:space="0" w:color="auto"/>
            </w:tcBorders>
          </w:tcPr>
          <w:p w:rsidR="000C5659" w:rsidRDefault="000E33C4">
            <w:pPr>
              <w:jc w:val="right"/>
            </w:pPr>
            <w:r>
              <w:t>267,805.67</w:t>
            </w:r>
          </w:p>
        </w:tc>
      </w:tr>
      <w:tr w:rsidR="000C5659">
        <w:trPr>
          <w:jc w:val="center"/>
        </w:trPr>
        <w:tc>
          <w:tcPr>
            <w:tcW w:w="1547"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合计</w:t>
            </w:r>
          </w:p>
        </w:tc>
        <w:tc>
          <w:tcPr>
            <w:tcW w:w="1723"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819,378.31</w:t>
            </w:r>
          </w:p>
        </w:tc>
        <w:tc>
          <w:tcPr>
            <w:tcW w:w="1729" w:type="pct"/>
            <w:tcBorders>
              <w:top w:val="single" w:sz="4" w:space="0" w:color="auto"/>
              <w:left w:val="single" w:sz="4" w:space="0" w:color="auto"/>
              <w:bottom w:val="single" w:sz="4" w:space="0" w:color="auto"/>
              <w:right w:val="single" w:sz="4" w:space="0" w:color="auto"/>
            </w:tcBorders>
          </w:tcPr>
          <w:p w:rsidR="000C5659" w:rsidRDefault="000E33C4">
            <w:pPr>
              <w:jc w:val="right"/>
            </w:pPr>
            <w:r>
              <w:t>267,805.67</w:t>
            </w:r>
          </w:p>
        </w:tc>
      </w:tr>
    </w:tbl>
    <w:p w:rsidR="000C5659" w:rsidRDefault="000C5659">
      <w:pPr>
        <w:rPr>
          <w:color w:val="000000" w:themeColor="text1"/>
        </w:rPr>
      </w:pPr>
    </w:p>
    <w:p w:rsidR="000C5659" w:rsidRDefault="000E33C4">
      <w:pPr>
        <w:rPr>
          <w:color w:val="000000" w:themeColor="text1"/>
        </w:rPr>
      </w:pPr>
      <w:bookmarkStart w:id="317" w:name="_Hlk167968687"/>
      <w:bookmarkEnd w:id="316"/>
      <w:r>
        <w:rPr>
          <w:rFonts w:hint="eastAsia"/>
          <w:color w:val="000000" w:themeColor="text1"/>
        </w:rPr>
        <w:t>短期</w:t>
      </w:r>
      <w:r>
        <w:rPr>
          <w:color w:val="000000" w:themeColor="text1"/>
        </w:rPr>
        <w:t>应付债券的增减变动</w:t>
      </w:r>
      <w:r>
        <w:rPr>
          <w:rFonts w:hint="eastAsia"/>
          <w:color w:val="000000" w:themeColor="text1"/>
        </w:rPr>
        <w:t>：</w:t>
      </w:r>
    </w:p>
    <w:sdt>
      <w:sdtPr>
        <w:rPr>
          <w:color w:val="000000" w:themeColor="text1"/>
        </w:rPr>
        <w:alias w:val="是否适用：短期应付债券的增减变动[双击切换]"/>
        <w:tag w:val="_GBC_564144f89f7f4019bdcd86b0e624bfee"/>
        <w:id w:val="673613335"/>
        <w:placeholder>
          <w:docPart w:val="GBC22222222222222222222222222222"/>
        </w:placeholder>
      </w:sdtPr>
      <w:sdtEndPr/>
      <w:sdtContent>
        <w:p w:rsidR="000C5659" w:rsidRDefault="000E33C4">
          <w:pPr>
            <w:rPr>
              <w:rFonts w:cstheme="minorBidi"/>
              <w:color w:val="000000" w:themeColor="text1"/>
              <w:kern w:val="2"/>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317"/>
    <w:p w:rsidR="000C5659" w:rsidRDefault="000C5659">
      <w:pPr>
        <w:rPr>
          <w:color w:val="000000" w:themeColor="text1"/>
        </w:rPr>
      </w:pPr>
    </w:p>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是否适用：其他流动负债说明[双击切换]"/>
        <w:tag w:val="_GBC_6ebc9e220fb04ea584ed56f756d92d59"/>
        <w:id w:val="-206609679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长期借款</w:t>
      </w:r>
    </w:p>
    <w:p w:rsidR="000C5659" w:rsidRDefault="000E33C4" w:rsidP="000743DD">
      <w:pPr>
        <w:pStyle w:val="43"/>
        <w:numPr>
          <w:ilvl w:val="0"/>
          <w:numId w:val="83"/>
        </w:numPr>
        <w:tabs>
          <w:tab w:val="left" w:pos="630"/>
        </w:tabs>
        <w:ind w:left="420"/>
        <w:rPr>
          <w:rFonts w:ascii="宋体" w:hAnsi="宋体"/>
          <w:color w:val="000000" w:themeColor="text1"/>
          <w:szCs w:val="21"/>
        </w:rPr>
      </w:pPr>
      <w:r>
        <w:rPr>
          <w:rFonts w:ascii="宋体" w:hAnsi="宋体" w:hint="eastAsia"/>
          <w:color w:val="000000" w:themeColor="text1"/>
          <w:szCs w:val="21"/>
        </w:rPr>
        <w:t>长期借款分类</w:t>
      </w:r>
    </w:p>
    <w:sdt>
      <w:sdtPr>
        <w:rPr>
          <w:color w:val="000000" w:themeColor="text1"/>
        </w:rPr>
        <w:alias w:val="是否适用：长期借款分类[双击切换]"/>
        <w:tag w:val="_GBC_6ef43a5268e7491db189883a31952469"/>
        <w:id w:val="-192479081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长期借款分类"/>
          <w:tag w:val="_GBC_146f044f7fd14a45bf9247f0af389a14"/>
          <w:id w:val="-20657137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借款分类"/>
          <w:tag w:val="_GBC_7570ad6f1fd04c3d939be649ce4cfc30"/>
          <w:id w:val="-8356146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4"/>
        <w:gridCol w:w="2976"/>
        <w:gridCol w:w="2873"/>
      </w:tblGrid>
      <w:tr w:rsidR="000C5659">
        <w:trPr>
          <w:cantSplit/>
        </w:trPr>
        <w:sdt>
          <w:sdtPr>
            <w:rPr>
              <w:color w:val="000000" w:themeColor="text1"/>
            </w:rPr>
            <w:tag w:val="_PLD_3ee60507a6384334b819485e73faa1f4"/>
            <w:id w:val="-387649017"/>
          </w:sdtPr>
          <w:sdtEndPr/>
          <w:sdtContent>
            <w:tc>
              <w:tcPr>
                <w:tcW w:w="1685" w:type="pct"/>
              </w:tcPr>
              <w:p w:rsidR="000C5659" w:rsidRDefault="000E33C4">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d2a4fabfb296457384b1523a60233642"/>
            <w:id w:val="1563752852"/>
          </w:sdtPr>
          <w:sdtEndPr/>
          <w:sdtContent>
            <w:tc>
              <w:tcPr>
                <w:tcW w:w="1686" w:type="pct"/>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aab598d4b37f4953a2ee9b7475cb43e6"/>
            <w:id w:val="139864136"/>
          </w:sdtPr>
          <w:sdtEndPr/>
          <w:sdtContent>
            <w:tc>
              <w:tcPr>
                <w:tcW w:w="1628" w:type="pct"/>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1685" w:type="pct"/>
            <w:shd w:val="clear" w:color="auto" w:fill="auto"/>
          </w:tcPr>
          <w:p w:rsidR="000C5659" w:rsidRDefault="000E33C4">
            <w:pPr>
              <w:autoSpaceDE w:val="0"/>
              <w:autoSpaceDN w:val="0"/>
              <w:adjustRightInd w:val="0"/>
              <w:snapToGrid w:val="0"/>
              <w:jc w:val="both"/>
              <w:rPr>
                <w:color w:val="000000" w:themeColor="text1"/>
              </w:rPr>
            </w:pPr>
            <w:r>
              <w:rPr>
                <w:rFonts w:hint="eastAsia"/>
                <w:color w:val="000000" w:themeColor="text1"/>
              </w:rPr>
              <w:t>质押借款</w:t>
            </w:r>
          </w:p>
        </w:tc>
        <w:tc>
          <w:tcPr>
            <w:tcW w:w="1686" w:type="pct"/>
            <w:shd w:val="clear" w:color="auto" w:fill="auto"/>
          </w:tcPr>
          <w:p w:rsidR="000C5659" w:rsidRDefault="000C5659">
            <w:pPr>
              <w:autoSpaceDE w:val="0"/>
              <w:autoSpaceDN w:val="0"/>
              <w:adjustRightInd w:val="0"/>
              <w:snapToGrid w:val="0"/>
              <w:ind w:right="180"/>
              <w:jc w:val="right"/>
            </w:pPr>
          </w:p>
        </w:tc>
        <w:tc>
          <w:tcPr>
            <w:tcW w:w="1628" w:type="pct"/>
            <w:shd w:val="clear" w:color="auto" w:fill="auto"/>
          </w:tcPr>
          <w:p w:rsidR="000C5659" w:rsidRDefault="000C5659">
            <w:pPr>
              <w:jc w:val="right"/>
            </w:pPr>
          </w:p>
        </w:tc>
      </w:tr>
      <w:tr w:rsidR="000C5659">
        <w:trPr>
          <w:cantSplit/>
        </w:trPr>
        <w:tc>
          <w:tcPr>
            <w:tcW w:w="1685" w:type="pct"/>
            <w:shd w:val="clear" w:color="auto" w:fill="auto"/>
          </w:tcPr>
          <w:p w:rsidR="000C5659" w:rsidRDefault="000E33C4">
            <w:pPr>
              <w:autoSpaceDE w:val="0"/>
              <w:autoSpaceDN w:val="0"/>
              <w:adjustRightInd w:val="0"/>
              <w:snapToGrid w:val="0"/>
              <w:jc w:val="both"/>
              <w:rPr>
                <w:color w:val="000000" w:themeColor="text1"/>
              </w:rPr>
            </w:pPr>
            <w:r>
              <w:rPr>
                <w:rFonts w:hint="eastAsia"/>
                <w:color w:val="000000" w:themeColor="text1"/>
              </w:rPr>
              <w:t>抵押借款</w:t>
            </w:r>
          </w:p>
        </w:tc>
        <w:tc>
          <w:tcPr>
            <w:tcW w:w="1686" w:type="pct"/>
            <w:shd w:val="clear" w:color="auto" w:fill="auto"/>
          </w:tcPr>
          <w:p w:rsidR="000C5659" w:rsidRDefault="000E33C4">
            <w:pPr>
              <w:autoSpaceDE w:val="0"/>
              <w:autoSpaceDN w:val="0"/>
              <w:adjustRightInd w:val="0"/>
              <w:snapToGrid w:val="0"/>
              <w:ind w:right="180"/>
              <w:jc w:val="right"/>
            </w:pPr>
            <w:r>
              <w:t>43,400,000.00</w:t>
            </w:r>
          </w:p>
        </w:tc>
        <w:tc>
          <w:tcPr>
            <w:tcW w:w="1628" w:type="pct"/>
            <w:shd w:val="clear" w:color="auto" w:fill="auto"/>
          </w:tcPr>
          <w:p w:rsidR="000C5659" w:rsidRDefault="000E33C4">
            <w:pPr>
              <w:jc w:val="right"/>
            </w:pPr>
            <w:r>
              <w:t>48,000,000.00</w:t>
            </w:r>
          </w:p>
        </w:tc>
      </w:tr>
      <w:tr w:rsidR="000C5659">
        <w:trPr>
          <w:cantSplit/>
        </w:trPr>
        <w:tc>
          <w:tcPr>
            <w:tcW w:w="1685" w:type="pct"/>
            <w:shd w:val="clear" w:color="auto" w:fill="auto"/>
          </w:tcPr>
          <w:p w:rsidR="000C5659" w:rsidRDefault="000E33C4">
            <w:pPr>
              <w:autoSpaceDE w:val="0"/>
              <w:autoSpaceDN w:val="0"/>
              <w:adjustRightInd w:val="0"/>
              <w:snapToGrid w:val="0"/>
              <w:jc w:val="both"/>
              <w:rPr>
                <w:color w:val="000000" w:themeColor="text1"/>
              </w:rPr>
            </w:pPr>
            <w:r>
              <w:rPr>
                <w:rFonts w:hint="eastAsia"/>
                <w:color w:val="000000" w:themeColor="text1"/>
              </w:rPr>
              <w:t>保证借款</w:t>
            </w:r>
          </w:p>
        </w:tc>
        <w:tc>
          <w:tcPr>
            <w:tcW w:w="1686" w:type="pct"/>
            <w:shd w:val="clear" w:color="auto" w:fill="auto"/>
          </w:tcPr>
          <w:p w:rsidR="000C5659" w:rsidRDefault="000E33C4">
            <w:pPr>
              <w:autoSpaceDE w:val="0"/>
              <w:autoSpaceDN w:val="0"/>
              <w:adjustRightInd w:val="0"/>
              <w:snapToGrid w:val="0"/>
              <w:ind w:right="180"/>
              <w:jc w:val="right"/>
            </w:pPr>
            <w:r>
              <w:t>118,891,685.00</w:t>
            </w:r>
          </w:p>
        </w:tc>
        <w:tc>
          <w:tcPr>
            <w:tcW w:w="1628" w:type="pct"/>
            <w:shd w:val="clear" w:color="auto" w:fill="auto"/>
          </w:tcPr>
          <w:p w:rsidR="000C5659" w:rsidRDefault="000E33C4">
            <w:pPr>
              <w:jc w:val="right"/>
            </w:pPr>
            <w:r>
              <w:t>38,000,000.00</w:t>
            </w:r>
          </w:p>
        </w:tc>
      </w:tr>
      <w:tr w:rsidR="000C5659">
        <w:trPr>
          <w:cantSplit/>
        </w:trPr>
        <w:tc>
          <w:tcPr>
            <w:tcW w:w="1685" w:type="pct"/>
            <w:shd w:val="clear" w:color="auto" w:fill="auto"/>
          </w:tcPr>
          <w:p w:rsidR="000C5659" w:rsidRDefault="000E33C4">
            <w:pPr>
              <w:autoSpaceDE w:val="0"/>
              <w:autoSpaceDN w:val="0"/>
              <w:adjustRightInd w:val="0"/>
              <w:snapToGrid w:val="0"/>
              <w:jc w:val="both"/>
              <w:rPr>
                <w:color w:val="000000" w:themeColor="text1"/>
              </w:rPr>
            </w:pPr>
            <w:r>
              <w:rPr>
                <w:rFonts w:hint="eastAsia"/>
                <w:color w:val="000000" w:themeColor="text1"/>
              </w:rPr>
              <w:t>利息调整</w:t>
            </w:r>
          </w:p>
        </w:tc>
        <w:tc>
          <w:tcPr>
            <w:tcW w:w="1686" w:type="pct"/>
            <w:shd w:val="clear" w:color="auto" w:fill="auto"/>
          </w:tcPr>
          <w:p w:rsidR="000C5659" w:rsidRDefault="000E33C4">
            <w:pPr>
              <w:autoSpaceDE w:val="0"/>
              <w:autoSpaceDN w:val="0"/>
              <w:adjustRightInd w:val="0"/>
              <w:snapToGrid w:val="0"/>
              <w:ind w:right="180"/>
              <w:jc w:val="right"/>
            </w:pPr>
            <w:r>
              <w:t>162,938.22</w:t>
            </w:r>
          </w:p>
        </w:tc>
        <w:tc>
          <w:tcPr>
            <w:tcW w:w="1628" w:type="pct"/>
            <w:shd w:val="clear" w:color="auto" w:fill="auto"/>
          </w:tcPr>
          <w:p w:rsidR="000C5659" w:rsidRDefault="000E33C4">
            <w:pPr>
              <w:jc w:val="right"/>
            </w:pPr>
            <w:r>
              <w:t>74,861.11</w:t>
            </w:r>
          </w:p>
        </w:tc>
      </w:tr>
      <w:tr w:rsidR="000C5659">
        <w:trPr>
          <w:cantSplit/>
        </w:trPr>
        <w:tc>
          <w:tcPr>
            <w:tcW w:w="1685" w:type="pct"/>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合计</w:t>
            </w:r>
          </w:p>
        </w:tc>
        <w:tc>
          <w:tcPr>
            <w:tcW w:w="1686" w:type="pct"/>
          </w:tcPr>
          <w:p w:rsidR="000C5659" w:rsidRDefault="000E33C4">
            <w:pPr>
              <w:autoSpaceDE w:val="0"/>
              <w:autoSpaceDN w:val="0"/>
              <w:adjustRightInd w:val="0"/>
              <w:snapToGrid w:val="0"/>
              <w:ind w:right="180"/>
              <w:jc w:val="right"/>
            </w:pPr>
            <w:r>
              <w:t>162,454,623.22</w:t>
            </w:r>
          </w:p>
        </w:tc>
        <w:tc>
          <w:tcPr>
            <w:tcW w:w="1628" w:type="pct"/>
          </w:tcPr>
          <w:p w:rsidR="000C5659" w:rsidRDefault="000E33C4">
            <w:pPr>
              <w:jc w:val="right"/>
            </w:pPr>
            <w:r>
              <w:t>86,074,861.11</w:t>
            </w:r>
          </w:p>
        </w:tc>
      </w:tr>
    </w:tbl>
    <w:p w:rsidR="000C5659" w:rsidRDefault="000C5659">
      <w:pPr>
        <w:pStyle w:val="Style325"/>
      </w:pPr>
    </w:p>
    <w:p w:rsidR="000C5659" w:rsidRDefault="000E33C4">
      <w:pPr>
        <w:snapToGrid w:val="0"/>
        <w:spacing w:before="60" w:after="60" w:line="240" w:lineRule="atLeast"/>
        <w:rPr>
          <w:color w:val="000000" w:themeColor="text1"/>
        </w:rPr>
      </w:pPr>
      <w:r>
        <w:rPr>
          <w:rFonts w:hint="eastAsia"/>
          <w:color w:val="000000" w:themeColor="text1"/>
        </w:rPr>
        <w:t>长期借款分类的说明：</w:t>
      </w:r>
    </w:p>
    <w:p w:rsidR="000C5659" w:rsidRDefault="000E33C4">
      <w:pPr>
        <w:snapToGrid w:val="0"/>
        <w:rPr>
          <w:rFonts w:cstheme="minorBidi"/>
          <w:color w:val="000000" w:themeColor="text1"/>
          <w:kern w:val="2"/>
        </w:rPr>
      </w:pPr>
      <w:r>
        <w:rPr>
          <w:rFonts w:hint="eastAsia"/>
          <w:color w:val="000000" w:themeColor="text1"/>
        </w:rPr>
        <w:t>无</w:t>
      </w:r>
    </w:p>
    <w:p w:rsidR="000C5659" w:rsidRDefault="000C5659">
      <w:pPr>
        <w:snapToGrid w:val="0"/>
        <w:rPr>
          <w:rFonts w:cstheme="minorBidi"/>
          <w:color w:val="000000" w:themeColor="text1"/>
          <w:kern w:val="2"/>
        </w:rPr>
      </w:pPr>
    </w:p>
    <w:p w:rsidR="000C5659" w:rsidRDefault="000E33C4">
      <w:pPr>
        <w:snapToGrid w:val="0"/>
        <w:rPr>
          <w:color w:val="000000" w:themeColor="text1"/>
        </w:rPr>
      </w:pPr>
      <w:r>
        <w:rPr>
          <w:rFonts w:hint="eastAsia"/>
          <w:color w:val="000000" w:themeColor="text1"/>
        </w:rPr>
        <w:t>其他说明</w:t>
      </w:r>
      <w:r>
        <w:rPr>
          <w:color w:val="000000" w:themeColor="text1"/>
        </w:rPr>
        <w:t xml:space="preserve"> </w:t>
      </w:r>
    </w:p>
    <w:sdt>
      <w:sdtPr>
        <w:rPr>
          <w:color w:val="000000" w:themeColor="text1"/>
        </w:rPr>
        <w:alias w:val="是否适用：长期借款的说明[双击切换]"/>
        <w:tag w:val="_GBC_1dc67be6516c4de3956a80023674c75a"/>
        <w:id w:val="1652180454"/>
        <w:placeholder>
          <w:docPart w:val="GBC22222222222222222222222222222"/>
        </w:placeholder>
      </w:sdtPr>
      <w:sdtEndPr/>
      <w:sdtContent>
        <w:p w:rsidR="000C5659" w:rsidRDefault="000E33C4">
          <w:pPr>
            <w:snapToGrid w:val="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应付债券</w:t>
      </w:r>
    </w:p>
    <w:p w:rsidR="000C5659" w:rsidRDefault="000E33C4" w:rsidP="000743DD">
      <w:pPr>
        <w:pStyle w:val="43"/>
        <w:numPr>
          <w:ilvl w:val="0"/>
          <w:numId w:val="84"/>
        </w:numPr>
        <w:tabs>
          <w:tab w:val="left" w:pos="672"/>
        </w:tabs>
        <w:rPr>
          <w:rFonts w:ascii="宋体" w:hAnsi="宋体"/>
          <w:color w:val="000000" w:themeColor="text1"/>
        </w:rPr>
      </w:pPr>
      <w:r>
        <w:rPr>
          <w:rFonts w:ascii="宋体" w:hAnsi="宋体" w:hint="eastAsia"/>
          <w:color w:val="000000" w:themeColor="text1"/>
        </w:rPr>
        <w:t>应付</w:t>
      </w:r>
      <w:r>
        <w:rPr>
          <w:rFonts w:ascii="宋体" w:hAnsi="宋体" w:hint="eastAsia"/>
          <w:color w:val="000000" w:themeColor="text1"/>
          <w:szCs w:val="21"/>
        </w:rPr>
        <w:t>债券</w:t>
      </w:r>
    </w:p>
    <w:sdt>
      <w:sdtPr>
        <w:rPr>
          <w:rFonts w:hint="eastAsia"/>
          <w:color w:val="000000" w:themeColor="text1"/>
        </w:rPr>
        <w:alias w:val="是否适用：应付债券[双击切换]"/>
        <w:tag w:val="_GBC_b07c291c892844efaca56bc1d52b1566"/>
        <w:id w:val="-78735681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84"/>
        </w:numPr>
        <w:tabs>
          <w:tab w:val="left" w:pos="672"/>
        </w:tabs>
        <w:rPr>
          <w:rFonts w:ascii="宋体" w:hAnsi="宋体"/>
          <w:color w:val="000000" w:themeColor="text1"/>
        </w:rPr>
      </w:pPr>
      <w:bookmarkStart w:id="318" w:name="_Hlk167968813"/>
      <w:bookmarkStart w:id="319" w:name="OLE_LINK18"/>
      <w:bookmarkStart w:id="320" w:name="OLE_LINK16"/>
      <w:r>
        <w:rPr>
          <w:rFonts w:ascii="宋体" w:hAnsi="宋体" w:hint="eastAsia"/>
          <w:color w:val="000000" w:themeColor="text1"/>
        </w:rPr>
        <w:t>应付债券的具体情况：（不包括划分为金融负债的优先股、永续债等其他金融工具）</w:t>
      </w:r>
    </w:p>
    <w:sdt>
      <w:sdtPr>
        <w:rPr>
          <w:color w:val="000000" w:themeColor="text1"/>
        </w:rPr>
        <w:alias w:val="是否适用：应付债券的增减变动[双击切换]"/>
        <w:tag w:val="_GBC_6610dc08d094426e9d4fdad85eee6da2"/>
        <w:id w:val="-134509101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84"/>
        </w:numPr>
        <w:tabs>
          <w:tab w:val="left" w:pos="672"/>
        </w:tabs>
        <w:rPr>
          <w:rFonts w:ascii="宋体" w:hAnsi="宋体"/>
          <w:color w:val="000000" w:themeColor="text1"/>
        </w:rPr>
      </w:pPr>
      <w:r>
        <w:rPr>
          <w:rFonts w:ascii="宋体" w:hAnsi="宋体" w:hint="eastAsia"/>
          <w:color w:val="000000" w:themeColor="text1"/>
        </w:rPr>
        <w:t>可转换公司债券的说明</w:t>
      </w:r>
    </w:p>
    <w:sdt>
      <w:sdtPr>
        <w:rPr>
          <w:rFonts w:hint="eastAsia"/>
          <w:color w:val="000000" w:themeColor="text1"/>
        </w:rPr>
        <w:alias w:val="是否适用：可转换公司债券的转股条件、转股时间说明[双击切换]"/>
        <w:tag w:val="_GBC_ef63fc1297374c8b97a48c0c89422e8a"/>
        <w:id w:val="-722520314"/>
        <w:placeholder>
          <w:docPart w:val="GBC22222222222222222222222222222"/>
        </w:placeholder>
      </w:sdtPr>
      <w:sdtEndPr/>
      <w:sdtContent>
        <w:p w:rsidR="000C5659" w:rsidRDefault="000E33C4">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pacing w:before="60" w:after="60"/>
        <w:rPr>
          <w:color w:val="000000" w:themeColor="text1"/>
        </w:rPr>
      </w:pPr>
    </w:p>
    <w:p w:rsidR="000C5659" w:rsidRDefault="000E33C4">
      <w:pPr>
        <w:spacing w:before="60" w:after="60"/>
        <w:rPr>
          <w:color w:val="000000" w:themeColor="text1"/>
        </w:rPr>
      </w:pPr>
      <w:r>
        <w:rPr>
          <w:rFonts w:hint="eastAsia"/>
          <w:color w:val="000000" w:themeColor="text1"/>
        </w:rPr>
        <w:t>转股权会计处理及判断依据</w:t>
      </w:r>
    </w:p>
    <w:sdt>
      <w:sdtPr>
        <w:rPr>
          <w:color w:val="000000" w:themeColor="text1"/>
        </w:rPr>
        <w:alias w:val="是否适用：转股权会计处理及判断依据[双击切换]"/>
        <w:tag w:val="_GBC_d91e0305ad39444cb4fea2f3671f7083"/>
        <w:id w:val="646787065"/>
        <w:placeholder>
          <w:docPart w:val="GBC22222222222222222222222222222"/>
        </w:placeholder>
      </w:sdtPr>
      <w:sdtEndPr/>
      <w:sdtContent>
        <w:p w:rsidR="000C5659" w:rsidRDefault="000E33C4">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318"/>
    <w:p w:rsidR="000C5659" w:rsidRDefault="000E33C4" w:rsidP="000743DD">
      <w:pPr>
        <w:pStyle w:val="43"/>
        <w:numPr>
          <w:ilvl w:val="0"/>
          <w:numId w:val="84"/>
        </w:numPr>
        <w:tabs>
          <w:tab w:val="left" w:pos="672"/>
        </w:tabs>
        <w:rPr>
          <w:rFonts w:ascii="宋体" w:hAnsi="宋体"/>
          <w:color w:val="000000" w:themeColor="text1"/>
        </w:rPr>
      </w:pPr>
      <w:r>
        <w:rPr>
          <w:rFonts w:ascii="宋体" w:hAnsi="宋体" w:hint="eastAsia"/>
          <w:color w:val="000000" w:themeColor="text1"/>
        </w:rPr>
        <w:t>划分为金融负债的其他金融工具说明</w:t>
      </w:r>
    </w:p>
    <w:p w:rsidR="000C5659" w:rsidRDefault="000E33C4">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61542231aba54618ab4bd6d781bfab05"/>
        <w:id w:val="-13448525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4cf6ed9dc37d42fc946f2268e90eee97"/>
        <w:id w:val="-1749871804"/>
        <w:placeholder>
          <w:docPart w:val="GBC22222222222222222222222222222"/>
        </w:placeholder>
      </w:sdtPr>
      <w:sdtEndPr/>
      <w:sdtContent>
        <w:p w:rsidR="000C5659" w:rsidRDefault="000E33C4">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319"/>
    <w:bookmarkEnd w:id="320"/>
    <w:p w:rsidR="000C5659" w:rsidRDefault="000C5659">
      <w:pPr>
        <w:spacing w:before="60" w:after="60"/>
        <w:rPr>
          <w:color w:val="000000" w:themeColor="text1"/>
        </w:rPr>
      </w:pPr>
    </w:p>
    <w:p w:rsidR="000C5659" w:rsidRDefault="000E33C4">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ec0ba7f99624a559a5f92bcd8e57e4f"/>
        <w:id w:val="1662659765"/>
        <w:placeholder>
          <w:docPart w:val="GBC22222222222222222222222222222"/>
        </w:placeholder>
      </w:sdtPr>
      <w:sdtEndPr/>
      <w:sdtContent>
        <w:p w:rsidR="000C5659" w:rsidRDefault="000E33C4">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是否适用：应付债券的其他说明[双击切换]"/>
        <w:tag w:val="_GBC_34ea80305b6a4fafaf2943f684877d08"/>
        <w:id w:val="212772856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租赁负债</w:t>
      </w:r>
    </w:p>
    <w:sdt>
      <w:sdtPr>
        <w:rPr>
          <w:color w:val="000000" w:themeColor="text1"/>
        </w:rPr>
        <w:alias w:val="是否适用：租赁负债[双击切换]"/>
        <w:tag w:val="_GBC_cec9aedf0aa8427d9bd5dbf17e698298"/>
        <w:id w:val="11030722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租赁负债"/>
          <w:tag w:val="_GBC_3f1d18295bfb4156905ee3935811bc9f"/>
          <w:id w:val="53476911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租赁负债"/>
          <w:tag w:val="_GBC_1ce63c76adb74c2f8d53dbdb5d73a87c"/>
          <w:id w:val="-10396574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25"/>
        <w:gridCol w:w="2848"/>
        <w:gridCol w:w="2850"/>
      </w:tblGrid>
      <w:tr w:rsidR="000C5659">
        <w:trPr>
          <w:cantSplit/>
          <w:trHeight w:val="307"/>
        </w:trPr>
        <w:sdt>
          <w:sdtPr>
            <w:rPr>
              <w:color w:val="000000" w:themeColor="text1"/>
            </w:rPr>
            <w:tag w:val="_PLD_27afd78cc4b04fa19a7adaa593b83cc4"/>
            <w:id w:val="-705794017"/>
          </w:sdtPr>
          <w:sdtEndPr/>
          <w:sdtContent>
            <w:tc>
              <w:tcPr>
                <w:tcW w:w="1771"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473fbb207ad34f58a8a0f0451332e555"/>
            <w:id w:val="-1505197292"/>
          </w:sdtPr>
          <w:sdtEndPr/>
          <w:sdtContent>
            <w:tc>
              <w:tcPr>
                <w:tcW w:w="1614"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81cf17ce1aff4bad8deb2792f3b6570d"/>
            <w:id w:val="-534501288"/>
          </w:sdtPr>
          <w:sdtEndPr/>
          <w:sdtContent>
            <w:tc>
              <w:tcPr>
                <w:tcW w:w="1615"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Height w:val="186"/>
        </w:trPr>
        <w:tc>
          <w:tcPr>
            <w:tcW w:w="1771" w:type="pct"/>
          </w:tcPr>
          <w:p w:rsidR="000C5659" w:rsidRDefault="000E33C4">
            <w:pPr>
              <w:pStyle w:val="Style325"/>
            </w:pPr>
            <w:r>
              <w:rPr>
                <w:rFonts w:hint="eastAsia"/>
              </w:rPr>
              <w:t>租赁</w:t>
            </w:r>
          </w:p>
        </w:tc>
        <w:tc>
          <w:tcPr>
            <w:tcW w:w="1614" w:type="pct"/>
          </w:tcPr>
          <w:p w:rsidR="000C5659" w:rsidRDefault="000E33C4">
            <w:pPr>
              <w:jc w:val="right"/>
            </w:pPr>
            <w:r>
              <w:rPr>
                <w:rFonts w:hint="eastAsia"/>
              </w:rPr>
              <w:t>2,878,910.53</w:t>
            </w:r>
          </w:p>
        </w:tc>
        <w:tc>
          <w:tcPr>
            <w:tcW w:w="1615" w:type="pct"/>
          </w:tcPr>
          <w:p w:rsidR="000C5659" w:rsidRDefault="000C5659">
            <w:pPr>
              <w:jc w:val="right"/>
            </w:pPr>
          </w:p>
        </w:tc>
      </w:tr>
      <w:tr w:rsidR="000C5659">
        <w:trPr>
          <w:cantSplit/>
          <w:trHeight w:val="186"/>
        </w:trPr>
        <w:tc>
          <w:tcPr>
            <w:tcW w:w="1771" w:type="pct"/>
          </w:tcPr>
          <w:p w:rsidR="000C5659" w:rsidRDefault="000E33C4">
            <w:pPr>
              <w:jc w:val="center"/>
              <w:rPr>
                <w:color w:val="000000" w:themeColor="text1"/>
              </w:rPr>
            </w:pPr>
            <w:r>
              <w:rPr>
                <w:rFonts w:hint="eastAsia"/>
                <w:color w:val="000000" w:themeColor="text1"/>
              </w:rPr>
              <w:t>合计</w:t>
            </w:r>
          </w:p>
        </w:tc>
        <w:tc>
          <w:tcPr>
            <w:tcW w:w="1614" w:type="pct"/>
          </w:tcPr>
          <w:p w:rsidR="000C5659" w:rsidRDefault="000E33C4">
            <w:pPr>
              <w:jc w:val="right"/>
            </w:pPr>
            <w:r>
              <w:rPr>
                <w:rFonts w:hint="eastAsia"/>
              </w:rPr>
              <w:t>2,878,910.53</w:t>
            </w:r>
          </w:p>
        </w:tc>
        <w:tc>
          <w:tcPr>
            <w:tcW w:w="1615" w:type="pct"/>
          </w:tcPr>
          <w:p w:rsidR="000C5659" w:rsidRDefault="000C5659">
            <w:pPr>
              <w:jc w:val="right"/>
            </w:pPr>
          </w:p>
        </w:tc>
      </w:tr>
    </w:tbl>
    <w:p w:rsidR="000C5659" w:rsidRDefault="000E33C4">
      <w:pPr>
        <w:snapToGrid w:val="0"/>
        <w:spacing w:before="60" w:after="60" w:line="240" w:lineRule="atLeast"/>
        <w:rPr>
          <w:color w:val="000000" w:themeColor="text1"/>
        </w:rPr>
      </w:pPr>
      <w:r>
        <w:rPr>
          <w:rFonts w:hint="eastAsia"/>
          <w:color w:val="000000" w:themeColor="text1"/>
        </w:rPr>
        <w:t>其他说明：</w:t>
      </w:r>
    </w:p>
    <w:sdt>
      <w:sdtPr>
        <w:rPr>
          <w:color w:val="000000" w:themeColor="text1"/>
        </w:rPr>
        <w:alias w:val="租赁负债其他说明"/>
        <w:tag w:val="_GBC_cbaaaf9b0adf45f6a0dd93d6de03a6ea"/>
        <w:id w:val="-168571380"/>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长期应付款</w:t>
      </w:r>
    </w:p>
    <w:p w:rsidR="000C5659" w:rsidRDefault="000E33C4">
      <w:pPr>
        <w:pStyle w:val="43"/>
        <w:rPr>
          <w:rFonts w:ascii="宋体" w:hAnsi="宋体"/>
          <w:color w:val="000000" w:themeColor="text1"/>
        </w:rPr>
      </w:pPr>
      <w:bookmarkStart w:id="321" w:name="_Hlk10536746"/>
      <w:r>
        <w:rPr>
          <w:rFonts w:ascii="宋体" w:hAnsi="宋体" w:hint="eastAsia"/>
          <w:color w:val="000000" w:themeColor="text1"/>
        </w:rPr>
        <w:t>项目列示</w:t>
      </w:r>
    </w:p>
    <w:sdt>
      <w:sdtPr>
        <w:rPr>
          <w:color w:val="000000" w:themeColor="text1"/>
        </w:rPr>
        <w:alias w:val="是否适用：长期应付款分类列示[双击切换]"/>
        <w:tag w:val="_GBC_dc1496c33e4a4cabb259020dbf46be93"/>
        <w:id w:val="-9479467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长期应付款分类列示"/>
          <w:tag w:val="_GBC_ebfc605e57a44e54b3e33ac2adbd49b3"/>
          <w:id w:val="-9346688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长期应付款分类列示"/>
          <w:tag w:val="_GBC_3e0811a7722a450c98b76253621cc253"/>
          <w:id w:val="17188538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0C5659">
        <w:sdt>
          <w:sdtPr>
            <w:rPr>
              <w:color w:val="000000" w:themeColor="text1"/>
            </w:rPr>
            <w:tag w:val="_PLD_c3a93bba75a94d61a6bb41116821520d"/>
            <w:id w:val="-651912927"/>
          </w:sdtPr>
          <w:sdtEndPr/>
          <w:sdtContent>
            <w:tc>
              <w:tcPr>
                <w:tcW w:w="1828" w:type="pct"/>
                <w:shd w:val="clear" w:color="auto" w:fill="auto"/>
                <w:vAlign w:val="center"/>
              </w:tcPr>
              <w:p w:rsidR="000C5659" w:rsidRDefault="000E33C4">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4cef3b6e993d4efeab53c68db46274b8"/>
            <w:id w:val="-176583649"/>
          </w:sdtPr>
          <w:sdtEndPr/>
          <w:sdtContent>
            <w:tc>
              <w:tcPr>
                <w:tcW w:w="1582"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d7980fd6d7084f6bb108abf1cc53570a"/>
            <w:id w:val="-631786848"/>
          </w:sdtPr>
          <w:sdtEndPr/>
          <w:sdtContent>
            <w:tc>
              <w:tcPr>
                <w:tcW w:w="1590"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c>
          <w:tcPr>
            <w:tcW w:w="1828"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长期应付款</w:t>
            </w:r>
          </w:p>
        </w:tc>
        <w:tc>
          <w:tcPr>
            <w:tcW w:w="1582"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rPr>
                <w:rFonts w:hint="eastAsia"/>
              </w:rPr>
              <w:t>148,420,386.18</w:t>
            </w:r>
          </w:p>
        </w:tc>
        <w:tc>
          <w:tcPr>
            <w:tcW w:w="1590"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r>
      <w:tr w:rsidR="000C5659">
        <w:tc>
          <w:tcPr>
            <w:tcW w:w="1828"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专项应付款</w:t>
            </w:r>
          </w:p>
        </w:tc>
        <w:tc>
          <w:tcPr>
            <w:tcW w:w="1582"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r>
      <w:tr w:rsidR="000C5659">
        <w:tc>
          <w:tcPr>
            <w:tcW w:w="1828" w:type="pct"/>
            <w:shd w:val="clear" w:color="auto" w:fill="auto"/>
          </w:tcPr>
          <w:p w:rsidR="000C5659" w:rsidRDefault="000E33C4">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合计</w:t>
            </w:r>
          </w:p>
        </w:tc>
        <w:tc>
          <w:tcPr>
            <w:tcW w:w="1582" w:type="pct"/>
            <w:shd w:val="clear" w:color="auto" w:fill="auto"/>
          </w:tcPr>
          <w:p w:rsidR="000C5659" w:rsidRDefault="000E33C4">
            <w:pPr>
              <w:tabs>
                <w:tab w:val="right" w:pos="3690"/>
                <w:tab w:val="right" w:pos="5130"/>
                <w:tab w:val="right" w:pos="6030"/>
                <w:tab w:val="right" w:pos="7650"/>
                <w:tab w:val="right" w:pos="9270"/>
              </w:tabs>
              <w:adjustRightInd w:val="0"/>
              <w:snapToGrid w:val="0"/>
              <w:jc w:val="right"/>
            </w:pPr>
            <w:r>
              <w:rPr>
                <w:rFonts w:hint="eastAsia"/>
              </w:rPr>
              <w:t>148,420,386.18</w:t>
            </w:r>
          </w:p>
        </w:tc>
        <w:tc>
          <w:tcPr>
            <w:tcW w:w="1590" w:type="pct"/>
            <w:shd w:val="clear" w:color="auto" w:fill="auto"/>
          </w:tcPr>
          <w:p w:rsidR="000C5659" w:rsidRDefault="000C5659">
            <w:pPr>
              <w:tabs>
                <w:tab w:val="right" w:pos="3690"/>
                <w:tab w:val="right" w:pos="5130"/>
                <w:tab w:val="right" w:pos="6030"/>
                <w:tab w:val="right" w:pos="7650"/>
                <w:tab w:val="right" w:pos="9270"/>
              </w:tabs>
              <w:adjustRightInd w:val="0"/>
              <w:snapToGrid w:val="0"/>
              <w:jc w:val="right"/>
            </w:pPr>
          </w:p>
        </w:tc>
      </w:tr>
    </w:tbl>
    <w:p w:rsidR="000C5659" w:rsidRDefault="000E33C4">
      <w:pPr>
        <w:rPr>
          <w:color w:val="000000" w:themeColor="text1"/>
        </w:rPr>
      </w:pPr>
      <w:bookmarkStart w:id="322" w:name="_Hlk532911057"/>
      <w:r>
        <w:rPr>
          <w:rFonts w:hint="eastAsia"/>
          <w:color w:val="000000" w:themeColor="text1"/>
        </w:rPr>
        <w:t>其他说明：</w:t>
      </w:r>
    </w:p>
    <w:sdt>
      <w:sdtPr>
        <w:rPr>
          <w:rFonts w:hint="eastAsia"/>
          <w:color w:val="000000" w:themeColor="text1"/>
        </w:rPr>
        <w:alias w:val="长期应付款分类列示其他说明"/>
        <w:tag w:val="_GBC_431a8b84aeeb4e0fa07aef9d9af1a46d"/>
        <w:id w:val="-155685117"/>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pPr>
        <w:pStyle w:val="43"/>
        <w:ind w:left="360" w:hanging="360"/>
        <w:rPr>
          <w:rFonts w:ascii="宋体" w:hAnsi="宋体"/>
          <w:color w:val="000000" w:themeColor="text1"/>
        </w:rPr>
      </w:pPr>
      <w:bookmarkStart w:id="323" w:name="_Hlk10536806"/>
      <w:bookmarkStart w:id="324" w:name="_Hlk10536877"/>
      <w:bookmarkEnd w:id="321"/>
      <w:bookmarkEnd w:id="322"/>
      <w:r>
        <w:rPr>
          <w:rFonts w:ascii="宋体" w:hAnsi="宋体" w:hint="eastAsia"/>
          <w:color w:val="000000" w:themeColor="text1"/>
        </w:rPr>
        <w:t>长期应付款</w:t>
      </w:r>
      <w:bookmarkEnd w:id="323"/>
    </w:p>
    <w:sdt>
      <w:sdtPr>
        <w:rPr>
          <w:color w:val="000000" w:themeColor="text1"/>
        </w:rPr>
        <w:alias w:val="是否适用：按款项性质列示长期应付款[双击切换]"/>
        <w:tag w:val="_GBC_a9fa9a5286484f4bb853b1eff824e621"/>
        <w:id w:val="30521315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长期应付款"/>
          <w:tag w:val="_GBC_8d90e4088fac4efe85a76cd0e30766e1"/>
          <w:id w:val="19200534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应付款"/>
          <w:tag w:val="_GBC_571b1adfcb634dcbb4fbdf0991f3e029"/>
          <w:id w:val="11561817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25"/>
        <w:gridCol w:w="2848"/>
        <w:gridCol w:w="2850"/>
      </w:tblGrid>
      <w:tr w:rsidR="000C5659">
        <w:trPr>
          <w:cantSplit/>
          <w:trHeight w:val="307"/>
        </w:trPr>
        <w:sdt>
          <w:sdtPr>
            <w:rPr>
              <w:color w:val="000000" w:themeColor="text1"/>
            </w:rPr>
            <w:tag w:val="_PLD_35c3ed078068475db04283d6d6c22bb5"/>
            <w:id w:val="1070233313"/>
          </w:sdtPr>
          <w:sdtEndPr/>
          <w:sdtContent>
            <w:tc>
              <w:tcPr>
                <w:tcW w:w="1771"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b59846bd1adb4f398cd1737332e81edb"/>
            <w:id w:val="-4826440"/>
          </w:sdtPr>
          <w:sdtEndPr/>
          <w:sdtContent>
            <w:tc>
              <w:tcPr>
                <w:tcW w:w="1614"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184e30079df94f509e7e7ea9142928df"/>
            <w:id w:val="-1713023795"/>
          </w:sdtPr>
          <w:sdtEndPr/>
          <w:sdtContent>
            <w:tc>
              <w:tcPr>
                <w:tcW w:w="1615"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Height w:val="186"/>
        </w:trPr>
        <w:tc>
          <w:tcPr>
            <w:tcW w:w="1771" w:type="pct"/>
          </w:tcPr>
          <w:p w:rsidR="000C5659" w:rsidRDefault="000E33C4">
            <w:pPr>
              <w:pStyle w:val="Style325"/>
            </w:pPr>
            <w:r>
              <w:rPr>
                <w:rFonts w:hint="eastAsia"/>
              </w:rPr>
              <w:t>远期收购义务</w:t>
            </w:r>
          </w:p>
        </w:tc>
        <w:tc>
          <w:tcPr>
            <w:tcW w:w="1614" w:type="pct"/>
          </w:tcPr>
          <w:p w:rsidR="000C5659" w:rsidRDefault="000E33C4">
            <w:pPr>
              <w:jc w:val="right"/>
            </w:pPr>
            <w:r>
              <w:rPr>
                <w:rFonts w:hint="eastAsia"/>
              </w:rPr>
              <w:t>148,420,386.18</w:t>
            </w:r>
          </w:p>
        </w:tc>
        <w:tc>
          <w:tcPr>
            <w:tcW w:w="1615" w:type="pct"/>
          </w:tcPr>
          <w:p w:rsidR="000C5659" w:rsidRDefault="000C5659">
            <w:pPr>
              <w:jc w:val="right"/>
            </w:pPr>
          </w:p>
        </w:tc>
      </w:tr>
      <w:tr w:rsidR="000C5659">
        <w:trPr>
          <w:cantSplit/>
          <w:trHeight w:val="186"/>
        </w:trPr>
        <w:tc>
          <w:tcPr>
            <w:tcW w:w="1771" w:type="pct"/>
          </w:tcPr>
          <w:p w:rsidR="000C5659" w:rsidRDefault="000E33C4">
            <w:pPr>
              <w:jc w:val="center"/>
              <w:rPr>
                <w:color w:val="000000" w:themeColor="text1"/>
              </w:rPr>
            </w:pPr>
            <w:r>
              <w:rPr>
                <w:rFonts w:hint="eastAsia"/>
                <w:color w:val="000000" w:themeColor="text1"/>
              </w:rPr>
              <w:t>合计</w:t>
            </w:r>
          </w:p>
        </w:tc>
        <w:tc>
          <w:tcPr>
            <w:tcW w:w="1614" w:type="pct"/>
          </w:tcPr>
          <w:p w:rsidR="000C5659" w:rsidRDefault="000E33C4">
            <w:pPr>
              <w:jc w:val="right"/>
            </w:pPr>
            <w:r>
              <w:rPr>
                <w:rFonts w:hint="eastAsia"/>
              </w:rPr>
              <w:t>148,420,386.18</w:t>
            </w:r>
          </w:p>
        </w:tc>
        <w:tc>
          <w:tcPr>
            <w:tcW w:w="1615" w:type="pct"/>
          </w:tcPr>
          <w:p w:rsidR="000C5659" w:rsidRDefault="000C5659">
            <w:pPr>
              <w:jc w:val="right"/>
            </w:pPr>
          </w:p>
        </w:tc>
      </w:tr>
    </w:tbl>
    <w:p w:rsidR="000C5659" w:rsidRDefault="000E33C4">
      <w:pPr>
        <w:snapToGrid w:val="0"/>
        <w:spacing w:line="240" w:lineRule="atLeast"/>
        <w:rPr>
          <w:color w:val="000000" w:themeColor="text1"/>
        </w:rPr>
      </w:pPr>
      <w:r>
        <w:rPr>
          <w:rFonts w:hint="eastAsia"/>
          <w:color w:val="000000" w:themeColor="text1"/>
        </w:rPr>
        <w:t>其他说明：</w:t>
      </w:r>
    </w:p>
    <w:p w:rsidR="000C5659" w:rsidRDefault="00220B84">
      <w:pPr>
        <w:snapToGrid w:val="0"/>
        <w:spacing w:line="240" w:lineRule="atLeast"/>
        <w:rPr>
          <w:color w:val="000000" w:themeColor="text1"/>
        </w:rPr>
      </w:pPr>
      <w:sdt>
        <w:sdtPr>
          <w:rPr>
            <w:color w:val="000000" w:themeColor="text1"/>
          </w:rPr>
          <w:alias w:val="长期应付款的说明"/>
          <w:tag w:val="_GBC_26dfebab321040728d621ff8ca8d9de0"/>
          <w:id w:val="-1972125667"/>
          <w:placeholder>
            <w:docPart w:val="GBC22222222222222222222222222222"/>
          </w:placeholder>
        </w:sdtPr>
        <w:sdtEndPr/>
        <w:sdtContent>
          <w:r w:rsidR="000E33C4">
            <w:rPr>
              <w:rFonts w:hint="eastAsia"/>
              <w:color w:val="000000" w:themeColor="text1"/>
            </w:rPr>
            <w:t>无</w:t>
          </w:r>
        </w:sdtContent>
      </w:sdt>
    </w:p>
    <w:p w:rsidR="000C5659" w:rsidRDefault="000C5659">
      <w:pPr>
        <w:rPr>
          <w:color w:val="000000" w:themeColor="text1"/>
        </w:rPr>
      </w:pPr>
    </w:p>
    <w:bookmarkEnd w:id="324"/>
    <w:p w:rsidR="000C5659" w:rsidRDefault="000E33C4">
      <w:pPr>
        <w:pStyle w:val="43"/>
        <w:rPr>
          <w:rFonts w:ascii="宋体" w:hAnsi="宋体"/>
          <w:color w:val="000000" w:themeColor="text1"/>
        </w:rPr>
      </w:pPr>
      <w:r>
        <w:rPr>
          <w:rFonts w:ascii="宋体" w:hAnsi="宋体" w:hint="eastAsia"/>
          <w:color w:val="000000" w:themeColor="text1"/>
        </w:rPr>
        <w:lastRenderedPageBreak/>
        <w:t>专项应付款</w:t>
      </w:r>
    </w:p>
    <w:sdt>
      <w:sdtPr>
        <w:rPr>
          <w:color w:val="000000" w:themeColor="text1"/>
        </w:rPr>
        <w:alias w:val="是否适用：专项应付款[双击切换]"/>
        <w:tag w:val="_GBC_f70a824e87784429a75fa648d7634cf8"/>
        <w:id w:val="-2041120471"/>
        <w:placeholder>
          <w:docPart w:val="GBC22222222222222222222222222222"/>
        </w:placeholder>
      </w:sdtPr>
      <w:sdtEndPr/>
      <w:sdtContent>
        <w:p w:rsidR="000C5659" w:rsidRDefault="000E33C4">
          <w:pPr>
            <w:snapToGrid w:val="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长期应付职工薪酬</w:t>
      </w:r>
    </w:p>
    <w:sdt>
      <w:sdtPr>
        <w:rPr>
          <w:color w:val="000000" w:themeColor="text1"/>
        </w:rPr>
        <w:alias w:val="是否适用：长期应付职工薪酬[双击切换]"/>
        <w:tag w:val="_GBC_077559b601814bb38f16734f98e8c045"/>
        <w:id w:val="-1507618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25" w:name="_Hlk10537141"/>
      <w:r>
        <w:rPr>
          <w:color w:val="000000" w:themeColor="text1"/>
          <w:szCs w:val="21"/>
        </w:rPr>
        <w:t>预计负债</w:t>
      </w:r>
    </w:p>
    <w:sdt>
      <w:sdtPr>
        <w:rPr>
          <w:color w:val="000000" w:themeColor="text1"/>
        </w:rPr>
        <w:alias w:val="是否适用：预计负债[双击切换]"/>
        <w:tag w:val="_GBC_1687da235caf410f866f00240cee7fdb"/>
        <w:id w:val="-1212962193"/>
        <w:placeholder>
          <w:docPart w:val="GBC22222222222222222222222222222"/>
        </w:placeholder>
      </w:sdtPr>
      <w:sdtEndPr/>
      <w:sdtContent>
        <w:p w:rsidR="000C5659" w:rsidRDefault="000E33C4">
          <w:pPr>
            <w:autoSpaceDE w:val="0"/>
            <w:autoSpaceDN w:val="0"/>
            <w:adjustRightInd w:val="0"/>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325"/>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递延收益</w:t>
      </w:r>
    </w:p>
    <w:p w:rsidR="000C5659" w:rsidRDefault="000E33C4">
      <w:pPr>
        <w:pStyle w:val="Style175"/>
        <w:ind w:firstLineChars="0" w:firstLine="0"/>
        <w:jc w:val="left"/>
        <w:rPr>
          <w:rFonts w:ascii="宋体" w:hAnsi="宋体" w:cs="宋体"/>
          <w:color w:val="000000" w:themeColor="text1"/>
          <w:kern w:val="0"/>
          <w:szCs w:val="21"/>
        </w:rPr>
      </w:pPr>
      <w:r>
        <w:rPr>
          <w:rFonts w:ascii="宋体" w:hAnsi="宋体" w:cs="宋体" w:hint="eastAsia"/>
          <w:color w:val="000000" w:themeColor="text1"/>
          <w:kern w:val="0"/>
          <w:szCs w:val="21"/>
        </w:rPr>
        <w:t>递延收益情况</w:t>
      </w:r>
    </w:p>
    <w:sdt>
      <w:sdtPr>
        <w:rPr>
          <w:rFonts w:ascii="宋体" w:hAnsi="宋体" w:cs="宋体"/>
          <w:color w:val="000000" w:themeColor="text1"/>
          <w:kern w:val="0"/>
          <w:szCs w:val="21"/>
        </w:rPr>
        <w:alias w:val="是否适用：递延收益情况 [双击切换]"/>
        <w:tag w:val="_GBC_2c1393684e764245824b2390014e92f1"/>
        <w:id w:val="-1090769286"/>
        <w:placeholder>
          <w:docPart w:val="GBC22222222222222222222222222222"/>
        </w:placeholder>
      </w:sdtPr>
      <w:sdtEndPr/>
      <w:sdtContent>
        <w:p w:rsidR="000C5659" w:rsidRDefault="000E33C4">
          <w:pPr>
            <w:pStyle w:val="Style175"/>
            <w:ind w:firstLineChars="0" w:firstLine="0"/>
            <w:jc w:val="left"/>
            <w:rPr>
              <w:rFonts w:ascii="宋体" w:hAnsi="宋体" w:cs="宋体"/>
              <w:color w:val="000000" w:themeColor="text1"/>
              <w:kern w:val="0"/>
              <w:szCs w:val="21"/>
            </w:rPr>
          </w:pPr>
          <w:r>
            <w:rPr>
              <w:rFonts w:ascii="宋体" w:hAnsi="宋体" w:cs="宋体"/>
              <w:color w:val="000000" w:themeColor="text1"/>
              <w:kern w:val="0"/>
              <w:szCs w:val="21"/>
            </w:rPr>
            <w:fldChar w:fldCharType="begin"/>
          </w:r>
          <w:r>
            <w:rPr>
              <w:rFonts w:ascii="宋体" w:hAnsi="宋体" w:cs="宋体" w:hint="eastAsia"/>
              <w:color w:val="000000" w:themeColor="text1"/>
              <w:kern w:val="0"/>
              <w:szCs w:val="21"/>
            </w:rPr>
            <w:instrText xml:space="preserve"> MACROBUTTON  SnrToggleCheckbox √适用 </w:instrText>
          </w:r>
          <w:r>
            <w:rPr>
              <w:rFonts w:ascii="宋体" w:hAnsi="宋体" w:cs="宋体"/>
              <w:color w:val="000000" w:themeColor="text1"/>
              <w:kern w:val="0"/>
              <w:szCs w:val="21"/>
            </w:rPr>
            <w:fldChar w:fldCharType="end"/>
          </w:r>
          <w:r>
            <w:rPr>
              <w:rFonts w:ascii="宋体" w:hAnsi="宋体" w:cs="宋体"/>
              <w:color w:val="000000" w:themeColor="text1"/>
              <w:kern w:val="0"/>
              <w:szCs w:val="21"/>
            </w:rPr>
            <w:fldChar w:fldCharType="begin"/>
          </w:r>
          <w:r>
            <w:rPr>
              <w:rFonts w:ascii="宋体" w:hAnsi="宋体" w:cs="宋体" w:hint="eastAsia"/>
              <w:color w:val="000000" w:themeColor="text1"/>
              <w:kern w:val="0"/>
              <w:szCs w:val="21"/>
            </w:rPr>
            <w:instrText xml:space="preserve"> MACROBUTTON  SnrToggleCheckbox □不适用 </w:instrText>
          </w:r>
          <w:r>
            <w:rPr>
              <w:rFonts w:ascii="宋体" w:hAnsi="宋体" w:cs="宋体"/>
              <w:color w:val="000000" w:themeColor="text1"/>
              <w:kern w:val="0"/>
              <w:szCs w:val="21"/>
            </w:rPr>
            <w:fldChar w:fldCharType="end"/>
          </w:r>
        </w:p>
      </w:sdtContent>
    </w:sdt>
    <w:p w:rsidR="000C5659" w:rsidRDefault="000E33C4">
      <w:pPr>
        <w:pStyle w:val="Style175"/>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递延收益"/>
          <w:tag w:val="_GBC_cf9505178ef64cd8b1a42757a7aaf77d"/>
          <w:id w:val="12197816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递延收益"/>
          <w:tag w:val="_GBC_b7ba9c3d835b413e83140a438bc5c413"/>
          <w:id w:val="19318517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1"/>
        <w:tblW w:w="41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76"/>
        <w:gridCol w:w="1458"/>
        <w:gridCol w:w="1445"/>
        <w:gridCol w:w="1484"/>
      </w:tblGrid>
      <w:tr w:rsidR="000C5659">
        <w:trPr>
          <w:cantSplit/>
          <w:trHeight w:val="335"/>
        </w:trPr>
        <w:bookmarkStart w:id="326" w:name="_Hlk10537331" w:displacedByCustomXml="next"/>
        <w:bookmarkEnd w:id="326" w:displacedByCustomXml="next"/>
        <w:bookmarkStart w:id="327" w:name="OLE_LINK85" w:displacedByCustomXml="next"/>
        <w:bookmarkStart w:id="328" w:name="OLE_LINK84" w:displacedByCustomXml="next"/>
        <w:sdt>
          <w:sdtPr>
            <w:rPr>
              <w:color w:val="000000" w:themeColor="text1"/>
            </w:rPr>
            <w:tag w:val="_PLD_eeb45564af314089916105a5217e0ff6"/>
            <w:id w:val="156125245"/>
          </w:sdtPr>
          <w:sdtEndPr/>
          <w:sdtContent>
            <w:tc>
              <w:tcPr>
                <w:tcW w:w="1019"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e0613743f99d4af58a75406a4e2ba5a1"/>
            <w:id w:val="-1309931059"/>
          </w:sdtPr>
          <w:sdtEndPr/>
          <w:sdtContent>
            <w:tc>
              <w:tcPr>
                <w:tcW w:w="991"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sdt>
          <w:sdtPr>
            <w:rPr>
              <w:color w:val="000000" w:themeColor="text1"/>
            </w:rPr>
            <w:tag w:val="_PLD_a27f928ad4574fe594e5f995d7a37059"/>
            <w:id w:val="1195963529"/>
          </w:sdtPr>
          <w:sdtEndPr/>
          <w:sdtContent>
            <w:tc>
              <w:tcPr>
                <w:tcW w:w="994" w:type="pct"/>
                <w:shd w:val="clear" w:color="auto" w:fill="auto"/>
                <w:vAlign w:val="center"/>
              </w:tcPr>
              <w:p w:rsidR="000C5659" w:rsidRDefault="000E33C4">
                <w:pPr>
                  <w:jc w:val="center"/>
                  <w:rPr>
                    <w:color w:val="000000" w:themeColor="text1"/>
                  </w:rPr>
                </w:pPr>
                <w:r>
                  <w:rPr>
                    <w:rFonts w:hint="eastAsia"/>
                    <w:color w:val="000000" w:themeColor="text1"/>
                  </w:rPr>
                  <w:t>本期增加</w:t>
                </w:r>
              </w:p>
            </w:tc>
          </w:sdtContent>
        </w:sdt>
        <w:sdt>
          <w:sdtPr>
            <w:rPr>
              <w:color w:val="000000" w:themeColor="text1"/>
            </w:rPr>
            <w:tag w:val="_PLD_ed95bef3663d40fb90dd15d113f7f2c1"/>
            <w:id w:val="-1866433352"/>
          </w:sdtPr>
          <w:sdtEndPr/>
          <w:sdtContent>
            <w:tc>
              <w:tcPr>
                <w:tcW w:w="985" w:type="pct"/>
                <w:shd w:val="clear" w:color="auto" w:fill="auto"/>
                <w:vAlign w:val="center"/>
              </w:tcPr>
              <w:p w:rsidR="000C5659" w:rsidRDefault="000E33C4">
                <w:pPr>
                  <w:jc w:val="center"/>
                  <w:rPr>
                    <w:color w:val="000000" w:themeColor="text1"/>
                  </w:rPr>
                </w:pPr>
                <w:r>
                  <w:rPr>
                    <w:rFonts w:hint="eastAsia"/>
                    <w:color w:val="000000" w:themeColor="text1"/>
                  </w:rPr>
                  <w:t>本期减少</w:t>
                </w:r>
              </w:p>
            </w:tc>
          </w:sdtContent>
        </w:sdt>
        <w:sdt>
          <w:sdtPr>
            <w:rPr>
              <w:color w:val="000000" w:themeColor="text1"/>
            </w:rPr>
            <w:tag w:val="_PLD_367cd0591009413e93857494eaf8170a"/>
            <w:id w:val="151570464"/>
          </w:sdtPr>
          <w:sdtEndPr/>
          <w:sdtContent>
            <w:tc>
              <w:tcPr>
                <w:tcW w:w="1011"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tr>
      <w:tr w:rsidR="000C5659">
        <w:trPr>
          <w:cantSplit/>
        </w:trPr>
        <w:tc>
          <w:tcPr>
            <w:tcW w:w="1019" w:type="pct"/>
            <w:shd w:val="clear" w:color="auto" w:fill="auto"/>
            <w:vAlign w:val="center"/>
          </w:tcPr>
          <w:p w:rsidR="000C5659" w:rsidRDefault="000E33C4">
            <w:pPr>
              <w:rPr>
                <w:color w:val="000000" w:themeColor="text1"/>
              </w:rPr>
            </w:pPr>
            <w:r>
              <w:rPr>
                <w:rFonts w:hint="eastAsia"/>
                <w:color w:val="000000" w:themeColor="text1"/>
              </w:rPr>
              <w:t>政府补助</w:t>
            </w:r>
          </w:p>
        </w:tc>
        <w:tc>
          <w:tcPr>
            <w:tcW w:w="991" w:type="pct"/>
            <w:shd w:val="clear" w:color="auto" w:fill="auto"/>
          </w:tcPr>
          <w:p w:rsidR="000C5659" w:rsidRDefault="000E33C4">
            <w:pPr>
              <w:jc w:val="right"/>
            </w:pPr>
            <w:r>
              <w:rPr>
                <w:szCs w:val="18"/>
              </w:rPr>
              <w:t>6,513,666.02</w:t>
            </w:r>
          </w:p>
        </w:tc>
        <w:tc>
          <w:tcPr>
            <w:tcW w:w="994" w:type="pct"/>
            <w:shd w:val="clear" w:color="auto" w:fill="auto"/>
          </w:tcPr>
          <w:p w:rsidR="000C5659" w:rsidRDefault="000C5659">
            <w:pPr>
              <w:jc w:val="right"/>
            </w:pPr>
          </w:p>
        </w:tc>
        <w:tc>
          <w:tcPr>
            <w:tcW w:w="985" w:type="pct"/>
            <w:shd w:val="clear" w:color="auto" w:fill="auto"/>
          </w:tcPr>
          <w:p w:rsidR="000C5659" w:rsidRDefault="000E33C4">
            <w:pPr>
              <w:jc w:val="right"/>
            </w:pPr>
            <w:r>
              <w:t>274,195.48</w:t>
            </w:r>
          </w:p>
        </w:tc>
        <w:tc>
          <w:tcPr>
            <w:tcW w:w="1011" w:type="pct"/>
            <w:shd w:val="clear" w:color="auto" w:fill="auto"/>
          </w:tcPr>
          <w:p w:rsidR="000C5659" w:rsidRDefault="000E33C4">
            <w:pPr>
              <w:jc w:val="right"/>
            </w:pPr>
            <w:r>
              <w:rPr>
                <w:rFonts w:hint="eastAsia"/>
              </w:rPr>
              <w:t>6,239,470.54</w:t>
            </w:r>
          </w:p>
        </w:tc>
      </w:tr>
      <w:tr w:rsidR="000C5659">
        <w:trPr>
          <w:cantSplit/>
        </w:trPr>
        <w:tc>
          <w:tcPr>
            <w:tcW w:w="1019" w:type="pct"/>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991" w:type="pct"/>
            <w:shd w:val="clear" w:color="auto" w:fill="auto"/>
          </w:tcPr>
          <w:p w:rsidR="000C5659" w:rsidRDefault="000E33C4">
            <w:pPr>
              <w:jc w:val="right"/>
            </w:pPr>
            <w:r>
              <w:rPr>
                <w:szCs w:val="18"/>
              </w:rPr>
              <w:t>6,513,666.02</w:t>
            </w:r>
          </w:p>
        </w:tc>
        <w:tc>
          <w:tcPr>
            <w:tcW w:w="994" w:type="pct"/>
            <w:shd w:val="clear" w:color="auto" w:fill="auto"/>
          </w:tcPr>
          <w:p w:rsidR="000C5659" w:rsidRDefault="000C5659">
            <w:pPr>
              <w:jc w:val="right"/>
            </w:pPr>
          </w:p>
        </w:tc>
        <w:tc>
          <w:tcPr>
            <w:tcW w:w="985" w:type="pct"/>
            <w:shd w:val="clear" w:color="auto" w:fill="auto"/>
          </w:tcPr>
          <w:p w:rsidR="000C5659" w:rsidRDefault="000E33C4">
            <w:pPr>
              <w:jc w:val="right"/>
            </w:pPr>
            <w:r>
              <w:t>274,195.48</w:t>
            </w:r>
          </w:p>
        </w:tc>
        <w:tc>
          <w:tcPr>
            <w:tcW w:w="1011" w:type="pct"/>
            <w:shd w:val="clear" w:color="auto" w:fill="auto"/>
          </w:tcPr>
          <w:p w:rsidR="000C5659" w:rsidRDefault="000E33C4">
            <w:pPr>
              <w:jc w:val="right"/>
            </w:pPr>
            <w:r>
              <w:rPr>
                <w:rFonts w:hint="eastAsia"/>
              </w:rPr>
              <w:t>6,239,470.54</w:t>
            </w:r>
          </w:p>
        </w:tc>
      </w:tr>
    </w:tbl>
    <w:p w:rsidR="000C5659" w:rsidRDefault="000C5659"/>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是否适用：递延收益的其他说明[双击切换]"/>
        <w:tag w:val="_GBC_da5e8f76ba934c9e8efb4ab4d41c9f8c"/>
        <w:id w:val="169803349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328"/>
    <w:bookmarkEnd w:id="327"/>
    <w:p w:rsidR="000C5659" w:rsidRDefault="000C5659">
      <w:pPr>
        <w:snapToGrid w:val="0"/>
        <w:spacing w:line="240" w:lineRule="atLeast"/>
        <w:rPr>
          <w:color w:val="000000" w:themeColor="text1"/>
        </w:rPr>
      </w:pPr>
    </w:p>
    <w:p w:rsidR="000C5659" w:rsidRDefault="000E33C4" w:rsidP="000743DD">
      <w:pPr>
        <w:pStyle w:val="35"/>
        <w:numPr>
          <w:ilvl w:val="0"/>
          <w:numId w:val="50"/>
        </w:numPr>
        <w:rPr>
          <w:color w:val="000000" w:themeColor="text1"/>
          <w:szCs w:val="21"/>
        </w:rPr>
      </w:pPr>
      <w:bookmarkStart w:id="329" w:name="_Hlk10537430"/>
      <w:r>
        <w:rPr>
          <w:color w:val="000000" w:themeColor="text1"/>
          <w:szCs w:val="21"/>
        </w:rPr>
        <w:t>其他非流动负债</w:t>
      </w:r>
    </w:p>
    <w:sdt>
      <w:sdtPr>
        <w:rPr>
          <w:color w:val="000000" w:themeColor="text1"/>
        </w:rPr>
        <w:alias w:val="是否适用：其他非流动负债[双击切换]"/>
        <w:tag w:val="_GBC_bb8a5c7236564ec0823cbced5ea78e62"/>
        <w:id w:val="-108367951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其他非流动负债"/>
          <w:tag w:val="_GBC_56e598e0f2684388ba1e16051e8df70a"/>
          <w:id w:val="-9039068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非流动负债"/>
          <w:tag w:val="_GBC_ae4dfd619eb84b209c018d043a83dfcf"/>
          <w:id w:val="10521951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2824"/>
        <w:gridCol w:w="2823"/>
      </w:tblGrid>
      <w:tr w:rsidR="000C5659">
        <w:trPr>
          <w:jc w:val="center"/>
        </w:trPr>
        <w:sdt>
          <w:sdtPr>
            <w:rPr>
              <w:color w:val="000000" w:themeColor="text1"/>
            </w:rPr>
            <w:tag w:val="_PLD_a28f7f3041514231843ad3ee7ffea03b"/>
            <w:id w:val="-524329177"/>
          </w:sdtPr>
          <w:sdtEndPr/>
          <w:sdtContent>
            <w:tc>
              <w:tcPr>
                <w:tcW w:w="1799" w:type="pct"/>
                <w:tcBorders>
                  <w:top w:val="single" w:sz="4" w:space="0" w:color="auto"/>
                  <w:left w:val="single" w:sz="4" w:space="0" w:color="auto"/>
                  <w:bottom w:val="single" w:sz="4" w:space="0" w:color="auto"/>
                  <w:right w:val="single" w:sz="4" w:space="0" w:color="auto"/>
                </w:tcBorders>
                <w:vAlign w:val="bottom"/>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57665fafbbe043c5bf52499c94bca1a1"/>
            <w:id w:val="-1466344929"/>
          </w:sdtPr>
          <w:sdtEndPr/>
          <w:sdtContent>
            <w:tc>
              <w:tcPr>
                <w:tcW w:w="1600"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dcebd4f9b4a649088465ddfef12fdcb8"/>
            <w:id w:val="-1284648639"/>
          </w:sdtPr>
          <w:sdtEndPr/>
          <w:sdtContent>
            <w:tc>
              <w:tcPr>
                <w:tcW w:w="1600"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期初余额</w:t>
                </w:r>
              </w:p>
            </w:tc>
          </w:sdtContent>
        </w:sdt>
      </w:tr>
      <w:tr w:rsidR="000C5659">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0C5659" w:rsidRDefault="000E33C4">
            <w:pPr>
              <w:rPr>
                <w:color w:val="000000" w:themeColor="text1"/>
              </w:rPr>
            </w:pPr>
            <w:r>
              <w:rPr>
                <w:rFonts w:hint="eastAsia"/>
                <w:color w:val="000000" w:themeColor="text1"/>
              </w:rPr>
              <w:t>合同负债</w:t>
            </w:r>
          </w:p>
        </w:tc>
        <w:tc>
          <w:tcPr>
            <w:tcW w:w="1600"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6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rPr>
          <w:jc w:val="center"/>
        </w:trPr>
        <w:tc>
          <w:tcPr>
            <w:tcW w:w="1799" w:type="pct"/>
            <w:tcBorders>
              <w:top w:val="single" w:sz="4" w:space="0" w:color="auto"/>
              <w:left w:val="single" w:sz="4" w:space="0" w:color="auto"/>
              <w:bottom w:val="single" w:sz="4" w:space="0" w:color="auto"/>
              <w:right w:val="single" w:sz="4" w:space="0" w:color="auto"/>
            </w:tcBorders>
          </w:tcPr>
          <w:p w:rsidR="000C5659" w:rsidRDefault="000E33C4">
            <w:pPr>
              <w:pStyle w:val="Style325"/>
            </w:pPr>
            <w:r>
              <w:t>预计其他权益持有人的权益</w:t>
            </w:r>
          </w:p>
        </w:tc>
        <w:tc>
          <w:tcPr>
            <w:tcW w:w="1600"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15,720,000.00</w:t>
            </w:r>
          </w:p>
        </w:tc>
        <w:tc>
          <w:tcPr>
            <w:tcW w:w="1600" w:type="pct"/>
            <w:tcBorders>
              <w:top w:val="single" w:sz="4" w:space="0" w:color="auto"/>
              <w:left w:val="single" w:sz="4" w:space="0" w:color="auto"/>
              <w:bottom w:val="single" w:sz="4" w:space="0" w:color="auto"/>
              <w:right w:val="single" w:sz="4" w:space="0" w:color="auto"/>
            </w:tcBorders>
          </w:tcPr>
          <w:p w:rsidR="000C5659" w:rsidRDefault="000E33C4">
            <w:pPr>
              <w:jc w:val="right"/>
            </w:pPr>
            <w:r>
              <w:t>15,720,000.00</w:t>
            </w:r>
          </w:p>
        </w:tc>
      </w:tr>
      <w:tr w:rsidR="000C5659">
        <w:trPr>
          <w:jc w:val="center"/>
        </w:trPr>
        <w:tc>
          <w:tcPr>
            <w:tcW w:w="1799"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合计</w:t>
            </w:r>
          </w:p>
        </w:tc>
        <w:tc>
          <w:tcPr>
            <w:tcW w:w="1600"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15,720,000.00</w:t>
            </w:r>
          </w:p>
        </w:tc>
        <w:tc>
          <w:tcPr>
            <w:tcW w:w="1600" w:type="pct"/>
            <w:tcBorders>
              <w:top w:val="single" w:sz="4" w:space="0" w:color="auto"/>
              <w:left w:val="single" w:sz="4" w:space="0" w:color="auto"/>
              <w:bottom w:val="single" w:sz="4" w:space="0" w:color="auto"/>
              <w:right w:val="single" w:sz="4" w:space="0" w:color="auto"/>
            </w:tcBorders>
          </w:tcPr>
          <w:p w:rsidR="000C5659" w:rsidRDefault="000E33C4">
            <w:pPr>
              <w:jc w:val="right"/>
            </w:pPr>
            <w:r>
              <w:t>15,720,000.00</w:t>
            </w:r>
          </w:p>
        </w:tc>
      </w:tr>
    </w:tbl>
    <w:p w:rsidR="000C5659" w:rsidRDefault="000C5659">
      <w:pPr>
        <w:pStyle w:val="Style325"/>
      </w:pPr>
    </w:p>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其他非流动负债说明"/>
        <w:tag w:val="_GBC_8424078e59404c4a8aa6644833876098"/>
        <w:id w:val="320086273"/>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bookmarkEnd w:id="329"/>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股本</w:t>
      </w:r>
    </w:p>
    <w:sdt>
      <w:sdtPr>
        <w:rPr>
          <w:color w:val="000000" w:themeColor="text1"/>
        </w:rPr>
        <w:alias w:val="是否适用：股本[双击切换]"/>
        <w:tag w:val="_GBC_a88b08589cbb4302b29839808faa8a3b"/>
        <w:id w:val="166797812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股本"/>
          <w:tag w:val="_GBC_cf915ea45a234de2a2455824dedc3c82"/>
          <w:id w:val="4364134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股本"/>
          <w:tag w:val="_GBC_2dcc7ff328cf480296bdddce64b88cf1"/>
          <w:id w:val="-9020600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686"/>
        <w:gridCol w:w="848"/>
        <w:gridCol w:w="848"/>
        <w:gridCol w:w="917"/>
        <w:gridCol w:w="932"/>
        <w:gridCol w:w="905"/>
        <w:gridCol w:w="1686"/>
      </w:tblGrid>
      <w:tr w:rsidR="000C5659">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0C5659" w:rsidRDefault="000C5659">
            <w:pPr>
              <w:jc w:val="center"/>
              <w:rPr>
                <w:color w:val="000000" w:themeColor="text1"/>
              </w:rPr>
            </w:pPr>
          </w:p>
        </w:tc>
        <w:sdt>
          <w:sdtPr>
            <w:rPr>
              <w:color w:val="000000" w:themeColor="text1"/>
            </w:rPr>
            <w:tag w:val="_PLD_7ad9a0911e364e48bc565dc3ed809692"/>
            <w:id w:val="2042618592"/>
          </w:sdtPr>
          <w:sdtEndPr/>
          <w:sdtContent>
            <w:tc>
              <w:tcPr>
                <w:tcW w:w="727"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期初余额</w:t>
                </w:r>
              </w:p>
            </w:tc>
          </w:sdtContent>
        </w:sdt>
        <w:sdt>
          <w:sdtPr>
            <w:rPr>
              <w:color w:val="000000" w:themeColor="text1"/>
            </w:rPr>
            <w:tag w:val="_PLD_33945fdb28e344edaa7d118a9aa07d7d"/>
            <w:id w:val="376204082"/>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本次变动增减（+、一）</w:t>
                </w:r>
              </w:p>
            </w:tc>
          </w:sdtContent>
        </w:sdt>
        <w:sdt>
          <w:sdtPr>
            <w:rPr>
              <w:color w:val="000000" w:themeColor="text1"/>
            </w:rPr>
            <w:tag w:val="_PLD_a0390714e323429ab6e793f9a610df70"/>
            <w:id w:val="-1353101376"/>
          </w:sdtPr>
          <w:sdtEndPr/>
          <w:sdtContent>
            <w:tc>
              <w:tcPr>
                <w:tcW w:w="750"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期末余额</w:t>
                </w:r>
              </w:p>
            </w:tc>
          </w:sdtContent>
        </w:sdt>
      </w:tr>
      <w:tr w:rsidR="000C5659">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0C5659" w:rsidRDefault="000C5659">
            <w:pPr>
              <w:rPr>
                <w:color w:val="000000" w:themeColor="text1"/>
              </w:rPr>
            </w:pPr>
          </w:p>
        </w:tc>
        <w:tc>
          <w:tcPr>
            <w:tcW w:w="727" w:type="pct"/>
            <w:vMerge/>
            <w:tcBorders>
              <w:left w:val="single" w:sz="4" w:space="0" w:color="auto"/>
              <w:bottom w:val="single" w:sz="4" w:space="0" w:color="auto"/>
              <w:right w:val="single" w:sz="4" w:space="0" w:color="auto"/>
            </w:tcBorders>
          </w:tcPr>
          <w:p w:rsidR="000C5659" w:rsidRDefault="000C5659">
            <w:pPr>
              <w:ind w:leftChars="-119" w:left="-250" w:firstLineChars="119" w:firstLine="250"/>
              <w:rPr>
                <w:color w:val="000000" w:themeColor="text1"/>
              </w:rPr>
            </w:pPr>
          </w:p>
        </w:tc>
        <w:sdt>
          <w:sdtPr>
            <w:rPr>
              <w:color w:val="000000" w:themeColor="text1"/>
            </w:rPr>
            <w:tag w:val="_PLD_fe0b182c33854e5bb51d2d2a3cd1dd7f"/>
            <w:id w:val="-639657290"/>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发行</w:t>
                </w:r>
              </w:p>
              <w:p w:rsidR="000C5659" w:rsidRDefault="000E33C4">
                <w:pPr>
                  <w:jc w:val="center"/>
                  <w:rPr>
                    <w:color w:val="000000" w:themeColor="text1"/>
                  </w:rPr>
                </w:pPr>
                <w:r>
                  <w:rPr>
                    <w:rFonts w:hint="eastAsia"/>
                    <w:color w:val="000000" w:themeColor="text1"/>
                  </w:rPr>
                  <w:t>新股</w:t>
                </w:r>
              </w:p>
            </w:tc>
          </w:sdtContent>
        </w:sdt>
        <w:sdt>
          <w:sdtPr>
            <w:rPr>
              <w:color w:val="000000" w:themeColor="text1"/>
            </w:rPr>
            <w:tag w:val="_PLD_80e7c94a1831488d89d22be722443897"/>
            <w:id w:val="-1839077868"/>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送股</w:t>
                </w:r>
              </w:p>
            </w:tc>
          </w:sdtContent>
        </w:sdt>
        <w:sdt>
          <w:sdtPr>
            <w:rPr>
              <w:color w:val="000000" w:themeColor="text1"/>
            </w:rPr>
            <w:tag w:val="_PLD_c1d7f04883eb4aaa9c52067f145ec081"/>
            <w:id w:val="-120149610"/>
          </w:sdtPr>
          <w:sdtEndPr/>
          <w:sdtContent>
            <w:tc>
              <w:tcPr>
                <w:tcW w:w="592"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公积金</w:t>
                </w:r>
              </w:p>
              <w:p w:rsidR="000C5659" w:rsidRDefault="000E33C4">
                <w:pPr>
                  <w:jc w:val="center"/>
                  <w:rPr>
                    <w:color w:val="000000" w:themeColor="text1"/>
                  </w:rPr>
                </w:pPr>
                <w:r>
                  <w:rPr>
                    <w:rFonts w:hint="eastAsia"/>
                    <w:color w:val="000000" w:themeColor="text1"/>
                  </w:rPr>
                  <w:t>转股</w:t>
                </w:r>
              </w:p>
            </w:tc>
          </w:sdtContent>
        </w:sdt>
        <w:sdt>
          <w:sdtPr>
            <w:rPr>
              <w:color w:val="000000" w:themeColor="text1"/>
            </w:rPr>
            <w:tag w:val="_PLD_6e44c9cf090243e19b20f1e88e8231ef"/>
            <w:id w:val="995995457"/>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其他</w:t>
                </w:r>
              </w:p>
            </w:tc>
          </w:sdtContent>
        </w:sdt>
        <w:sdt>
          <w:sdtPr>
            <w:rPr>
              <w:color w:val="000000" w:themeColor="text1"/>
            </w:rPr>
            <w:tag w:val="_PLD_0cee72421f954c94ba296c709c84ef52"/>
            <w:id w:val="-1461642482"/>
          </w:sdtPr>
          <w:sdtEndPr/>
          <w:sdtContent>
            <w:tc>
              <w:tcPr>
                <w:tcW w:w="585"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小计</w:t>
                </w:r>
              </w:p>
            </w:tc>
          </w:sdtContent>
        </w:sdt>
        <w:tc>
          <w:tcPr>
            <w:tcW w:w="750" w:type="pct"/>
            <w:vMerge/>
            <w:tcBorders>
              <w:left w:val="single" w:sz="4" w:space="0" w:color="auto"/>
              <w:bottom w:val="single" w:sz="4" w:space="0" w:color="auto"/>
              <w:right w:val="single" w:sz="4" w:space="0" w:color="auto"/>
            </w:tcBorders>
          </w:tcPr>
          <w:p w:rsidR="000C5659" w:rsidRDefault="000C5659">
            <w:pPr>
              <w:rPr>
                <w:color w:val="000000" w:themeColor="text1"/>
              </w:rPr>
            </w:pPr>
          </w:p>
        </w:tc>
      </w:tr>
      <w:tr w:rsidR="000C5659">
        <w:trPr>
          <w:cantSplit/>
        </w:trPr>
        <w:tc>
          <w:tcPr>
            <w:tcW w:w="640"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股份总数</w:t>
            </w:r>
          </w:p>
        </w:tc>
        <w:tc>
          <w:tcPr>
            <w:tcW w:w="727" w:type="pct"/>
            <w:tcBorders>
              <w:top w:val="single" w:sz="4" w:space="0" w:color="auto"/>
              <w:left w:val="single" w:sz="4" w:space="0" w:color="auto"/>
              <w:bottom w:val="single" w:sz="4" w:space="0" w:color="auto"/>
              <w:right w:val="single" w:sz="4" w:space="0" w:color="auto"/>
            </w:tcBorders>
          </w:tcPr>
          <w:p w:rsidR="000C5659" w:rsidRDefault="000E33C4">
            <w:pPr>
              <w:jc w:val="right"/>
            </w:pPr>
            <w:r>
              <w:t>100,448,700.00</w:t>
            </w:r>
          </w:p>
        </w:tc>
        <w:tc>
          <w:tcPr>
            <w:tcW w:w="55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5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9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600"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85"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750"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100,448,700.00</w:t>
            </w:r>
          </w:p>
        </w:tc>
      </w:tr>
    </w:tbl>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股本变动情况说明"/>
        <w:tag w:val="_GBC_752687f835754470ad7a125ef32391e4"/>
        <w:id w:val="1147635586"/>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其他权益工具</w:t>
      </w:r>
    </w:p>
    <w:p w:rsidR="000C5659" w:rsidRDefault="000E33C4" w:rsidP="000743DD">
      <w:pPr>
        <w:pStyle w:val="43"/>
        <w:numPr>
          <w:ilvl w:val="0"/>
          <w:numId w:val="85"/>
        </w:numPr>
        <w:rPr>
          <w:rFonts w:ascii="宋体" w:hAnsi="宋体"/>
          <w:color w:val="000000" w:themeColor="text1"/>
        </w:rPr>
      </w:pPr>
      <w:r>
        <w:rPr>
          <w:rFonts w:ascii="宋体" w:hAnsi="宋体" w:hint="eastAsia"/>
          <w:color w:val="000000" w:themeColor="text1"/>
        </w:rPr>
        <w:t>期末发行在外的优先股、永续债等其他金融工具基本情况</w:t>
      </w:r>
    </w:p>
    <w:sdt>
      <w:sdtPr>
        <w:rPr>
          <w:color w:val="000000" w:themeColor="text1"/>
        </w:rPr>
        <w:alias w:val="是否适用：期末发行在外的优先股、永续债等其他金融工具基本情况[双击切换]"/>
        <w:tag w:val="_GBC_54d54ac45fe745e1aad9be61a846261f"/>
        <w:id w:val="-3345320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85"/>
        </w:numPr>
        <w:rPr>
          <w:rFonts w:ascii="宋体" w:hAnsi="宋体"/>
          <w:color w:val="000000" w:themeColor="text1"/>
        </w:rPr>
      </w:pPr>
      <w:r>
        <w:rPr>
          <w:rFonts w:ascii="宋体" w:hAnsi="宋体"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其他权益工具[双击切换]"/>
        <w:tag w:val="_GBC_e8c53693e19e485cba80f7cd2a15ab4c"/>
        <w:id w:val="139623433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其他权益工具本期增减变动情况、变动原因说明，以及相关会计处理的依据：</w:t>
      </w:r>
    </w:p>
    <w:sdt>
      <w:sdtPr>
        <w:rPr>
          <w:color w:val="000000" w:themeColor="text1"/>
        </w:rPr>
        <w:alias w:val="是否适用：其他权益工具本期增减变动情况、变动原因说明，以及相关会计处理的依据[双击切换]"/>
        <w:tag w:val="_GBC_6229f0070f0a4c838e1e39f678f8a7bb"/>
        <w:id w:val="195898787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其他权益工具的其他说明[双击切换]"/>
        <w:tag w:val="_GBC_297d299126b041159b18d012f9a18c2e"/>
        <w:id w:val="179655756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资本公积</w:t>
      </w:r>
    </w:p>
    <w:sdt>
      <w:sdtPr>
        <w:rPr>
          <w:color w:val="000000" w:themeColor="text1"/>
        </w:rPr>
        <w:alias w:val="是否适用：资本公积[双击切换]"/>
        <w:tag w:val="_GBC_70f32b67ce344a03adfc93d4ed72949a"/>
        <w:id w:val="2983504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资本公积"/>
          <w:tag w:val="_GBC_88633009fdc64f4e8238c38541b33615"/>
          <w:id w:val="-17168079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资本公积"/>
          <w:tag w:val="_GBC_636aa96d47cb426abc64fc00b61c9353"/>
          <w:id w:val="-4907184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775"/>
        <w:gridCol w:w="1805"/>
        <w:gridCol w:w="1793"/>
        <w:gridCol w:w="1786"/>
      </w:tblGrid>
      <w:tr w:rsidR="000C5659">
        <w:sdt>
          <w:sdtPr>
            <w:rPr>
              <w:color w:val="000000" w:themeColor="text1"/>
            </w:rPr>
            <w:tag w:val="_PLD_177c011500e64862903c4c16dbb2f31f"/>
            <w:id w:val="278066030"/>
          </w:sdtPr>
          <w:sdtEndPr/>
          <w:sdtContent>
            <w:tc>
              <w:tcPr>
                <w:tcW w:w="943" w:type="pct"/>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1519f0add67f49df9173f37c00215eef"/>
            <w:id w:val="601458631"/>
          </w:sdtPr>
          <w:sdtEndPr/>
          <w:sdtContent>
            <w:tc>
              <w:tcPr>
                <w:tcW w:w="1006" w:type="pct"/>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期初余额</w:t>
                </w:r>
              </w:p>
            </w:tc>
          </w:sdtContent>
        </w:sdt>
        <w:sdt>
          <w:sdtPr>
            <w:rPr>
              <w:color w:val="000000" w:themeColor="text1"/>
            </w:rPr>
            <w:tag w:val="_PLD_dcbf1fd9bcaa41fc8ff4def2d0e55143"/>
            <w:id w:val="915437286"/>
          </w:sdtPr>
          <w:sdtEndPr/>
          <w:sdtContent>
            <w:tc>
              <w:tcPr>
                <w:tcW w:w="1023" w:type="pct"/>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本期增加</w:t>
                </w:r>
              </w:p>
            </w:tc>
          </w:sdtContent>
        </w:sdt>
        <w:sdt>
          <w:sdtPr>
            <w:rPr>
              <w:color w:val="000000" w:themeColor="text1"/>
            </w:rPr>
            <w:tag w:val="_PLD_9d88d0ce99474d389c660c414306497d"/>
            <w:id w:val="-1187287047"/>
          </w:sdtPr>
          <w:sdtEndPr/>
          <w:sdtContent>
            <w:tc>
              <w:tcPr>
                <w:tcW w:w="1016" w:type="pct"/>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本期减少</w:t>
                </w:r>
              </w:p>
            </w:tc>
          </w:sdtContent>
        </w:sdt>
        <w:sdt>
          <w:sdtPr>
            <w:rPr>
              <w:color w:val="000000" w:themeColor="text1"/>
            </w:rPr>
            <w:tag w:val="_PLD_4c3f2255a4a24c1cae63eb0cc7781f12"/>
            <w:id w:val="155663777"/>
          </w:sdtPr>
          <w:sdtEndPr/>
          <w:sdtContent>
            <w:tc>
              <w:tcPr>
                <w:tcW w:w="1013" w:type="pct"/>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期末余额</w:t>
                </w:r>
              </w:p>
            </w:tc>
          </w:sdtContent>
        </w:sdt>
      </w:tr>
      <w:tr w:rsidR="000C5659">
        <w:tc>
          <w:tcPr>
            <w:tcW w:w="943" w:type="pct"/>
            <w:shd w:val="clear" w:color="auto" w:fill="auto"/>
          </w:tcPr>
          <w:p w:rsidR="000C5659" w:rsidRDefault="000E33C4">
            <w:pPr>
              <w:autoSpaceDE w:val="0"/>
              <w:autoSpaceDN w:val="0"/>
              <w:adjustRightInd w:val="0"/>
              <w:snapToGrid w:val="0"/>
              <w:rPr>
                <w:color w:val="000000" w:themeColor="text1"/>
              </w:rPr>
            </w:pPr>
            <w:r>
              <w:rPr>
                <w:rFonts w:hint="eastAsia"/>
                <w:color w:val="000000" w:themeColor="text1"/>
              </w:rPr>
              <w:t>资本溢价（股本溢价）</w:t>
            </w:r>
          </w:p>
        </w:tc>
        <w:tc>
          <w:tcPr>
            <w:tcW w:w="1006" w:type="pct"/>
            <w:shd w:val="clear" w:color="auto" w:fill="auto"/>
            <w:vAlign w:val="center"/>
          </w:tcPr>
          <w:p w:rsidR="000C5659" w:rsidRDefault="000E33C4">
            <w:pPr>
              <w:autoSpaceDE w:val="0"/>
              <w:autoSpaceDN w:val="0"/>
              <w:adjustRightInd w:val="0"/>
              <w:snapToGrid w:val="0"/>
              <w:jc w:val="right"/>
            </w:pPr>
            <w:r>
              <w:rPr>
                <w:rFonts w:hint="eastAsia"/>
                <w:color w:val="000000"/>
              </w:rPr>
              <w:t>520,542,643.78</w:t>
            </w:r>
          </w:p>
        </w:tc>
        <w:tc>
          <w:tcPr>
            <w:tcW w:w="1023" w:type="pct"/>
            <w:shd w:val="clear" w:color="auto" w:fill="auto"/>
            <w:vAlign w:val="center"/>
          </w:tcPr>
          <w:p w:rsidR="000C5659" w:rsidRDefault="000E33C4">
            <w:pPr>
              <w:autoSpaceDE w:val="0"/>
              <w:autoSpaceDN w:val="0"/>
              <w:adjustRightInd w:val="0"/>
              <w:snapToGrid w:val="0"/>
              <w:jc w:val="right"/>
            </w:pPr>
            <w:r>
              <w:rPr>
                <w:rFonts w:hint="eastAsia"/>
                <w:color w:val="000000"/>
              </w:rPr>
              <w:t xml:space="preserve">　</w:t>
            </w:r>
          </w:p>
        </w:tc>
        <w:tc>
          <w:tcPr>
            <w:tcW w:w="1016" w:type="pct"/>
            <w:shd w:val="clear" w:color="auto" w:fill="auto"/>
            <w:vAlign w:val="center"/>
          </w:tcPr>
          <w:p w:rsidR="000C5659" w:rsidRDefault="000E33C4">
            <w:pPr>
              <w:autoSpaceDE w:val="0"/>
              <w:autoSpaceDN w:val="0"/>
              <w:adjustRightInd w:val="0"/>
              <w:snapToGrid w:val="0"/>
              <w:jc w:val="right"/>
            </w:pPr>
            <w:r>
              <w:rPr>
                <w:rFonts w:hint="eastAsia"/>
                <w:color w:val="000000"/>
              </w:rPr>
              <w:t>154,589,037.70</w:t>
            </w:r>
          </w:p>
        </w:tc>
        <w:tc>
          <w:tcPr>
            <w:tcW w:w="1013" w:type="pct"/>
            <w:shd w:val="clear" w:color="auto" w:fill="auto"/>
            <w:vAlign w:val="center"/>
          </w:tcPr>
          <w:p w:rsidR="000C5659" w:rsidRDefault="000E33C4">
            <w:pPr>
              <w:autoSpaceDE w:val="0"/>
              <w:autoSpaceDN w:val="0"/>
              <w:adjustRightInd w:val="0"/>
              <w:snapToGrid w:val="0"/>
              <w:jc w:val="right"/>
            </w:pPr>
            <w:r>
              <w:rPr>
                <w:rFonts w:hint="eastAsia"/>
                <w:color w:val="000000"/>
              </w:rPr>
              <w:t>365,953,606.08</w:t>
            </w:r>
          </w:p>
        </w:tc>
      </w:tr>
      <w:tr w:rsidR="000C5659">
        <w:tc>
          <w:tcPr>
            <w:tcW w:w="943" w:type="pct"/>
            <w:shd w:val="clear" w:color="auto" w:fill="auto"/>
          </w:tcPr>
          <w:p w:rsidR="000C5659" w:rsidRDefault="000E33C4">
            <w:pPr>
              <w:autoSpaceDE w:val="0"/>
              <w:autoSpaceDN w:val="0"/>
              <w:adjustRightInd w:val="0"/>
              <w:snapToGrid w:val="0"/>
              <w:rPr>
                <w:color w:val="000000" w:themeColor="text1"/>
              </w:rPr>
            </w:pPr>
            <w:r>
              <w:rPr>
                <w:rFonts w:hint="eastAsia"/>
                <w:color w:val="000000" w:themeColor="text1"/>
              </w:rPr>
              <w:t>其他资本公积</w:t>
            </w:r>
          </w:p>
        </w:tc>
        <w:tc>
          <w:tcPr>
            <w:tcW w:w="1006" w:type="pct"/>
            <w:shd w:val="clear" w:color="auto" w:fill="auto"/>
            <w:vAlign w:val="center"/>
          </w:tcPr>
          <w:p w:rsidR="000C5659" w:rsidRDefault="000E33C4">
            <w:pPr>
              <w:autoSpaceDE w:val="0"/>
              <w:autoSpaceDN w:val="0"/>
              <w:adjustRightInd w:val="0"/>
              <w:snapToGrid w:val="0"/>
              <w:jc w:val="right"/>
            </w:pPr>
            <w:r>
              <w:rPr>
                <w:rFonts w:hint="eastAsia"/>
                <w:color w:val="000000"/>
              </w:rPr>
              <w:t>2,345,063.90</w:t>
            </w:r>
          </w:p>
        </w:tc>
        <w:tc>
          <w:tcPr>
            <w:tcW w:w="1023" w:type="pct"/>
            <w:shd w:val="clear" w:color="auto" w:fill="auto"/>
            <w:vAlign w:val="center"/>
          </w:tcPr>
          <w:p w:rsidR="000C5659" w:rsidRDefault="000E33C4">
            <w:pPr>
              <w:autoSpaceDE w:val="0"/>
              <w:autoSpaceDN w:val="0"/>
              <w:adjustRightInd w:val="0"/>
              <w:snapToGrid w:val="0"/>
              <w:jc w:val="right"/>
            </w:pPr>
            <w:r>
              <w:rPr>
                <w:rFonts w:hint="eastAsia"/>
                <w:color w:val="000000"/>
              </w:rPr>
              <w:t>599,440.50</w:t>
            </w:r>
          </w:p>
        </w:tc>
        <w:tc>
          <w:tcPr>
            <w:tcW w:w="1016" w:type="pct"/>
            <w:shd w:val="clear" w:color="auto" w:fill="auto"/>
            <w:vAlign w:val="center"/>
          </w:tcPr>
          <w:p w:rsidR="000C5659" w:rsidRDefault="000E33C4">
            <w:pPr>
              <w:autoSpaceDE w:val="0"/>
              <w:autoSpaceDN w:val="0"/>
              <w:adjustRightInd w:val="0"/>
              <w:snapToGrid w:val="0"/>
              <w:jc w:val="right"/>
            </w:pPr>
            <w:r>
              <w:rPr>
                <w:rFonts w:hint="eastAsia"/>
                <w:color w:val="000000"/>
              </w:rPr>
              <w:t xml:space="preserve">　</w:t>
            </w:r>
          </w:p>
        </w:tc>
        <w:tc>
          <w:tcPr>
            <w:tcW w:w="1013" w:type="pct"/>
            <w:shd w:val="clear" w:color="auto" w:fill="auto"/>
            <w:vAlign w:val="center"/>
          </w:tcPr>
          <w:p w:rsidR="000C5659" w:rsidRDefault="000E33C4">
            <w:pPr>
              <w:autoSpaceDE w:val="0"/>
              <w:autoSpaceDN w:val="0"/>
              <w:adjustRightInd w:val="0"/>
              <w:snapToGrid w:val="0"/>
              <w:jc w:val="right"/>
            </w:pPr>
            <w:r>
              <w:rPr>
                <w:rFonts w:hint="eastAsia"/>
                <w:color w:val="000000"/>
              </w:rPr>
              <w:t>2,944,504.40</w:t>
            </w:r>
          </w:p>
        </w:tc>
      </w:tr>
      <w:tr w:rsidR="000C5659">
        <w:tc>
          <w:tcPr>
            <w:tcW w:w="943" w:type="pct"/>
            <w:vAlign w:val="center"/>
          </w:tcPr>
          <w:p w:rsidR="000C5659" w:rsidRDefault="000E33C4">
            <w:pPr>
              <w:autoSpaceDE w:val="0"/>
              <w:autoSpaceDN w:val="0"/>
              <w:adjustRightInd w:val="0"/>
              <w:snapToGrid w:val="0"/>
              <w:jc w:val="center"/>
              <w:rPr>
                <w:color w:val="000000" w:themeColor="text1"/>
              </w:rPr>
            </w:pPr>
            <w:r>
              <w:rPr>
                <w:rFonts w:hint="eastAsia"/>
                <w:color w:val="000000" w:themeColor="text1"/>
              </w:rPr>
              <w:t>合计</w:t>
            </w:r>
          </w:p>
        </w:tc>
        <w:tc>
          <w:tcPr>
            <w:tcW w:w="1006" w:type="pct"/>
            <w:vAlign w:val="center"/>
          </w:tcPr>
          <w:p w:rsidR="000C5659" w:rsidRDefault="000E33C4">
            <w:pPr>
              <w:autoSpaceDE w:val="0"/>
              <w:autoSpaceDN w:val="0"/>
              <w:adjustRightInd w:val="0"/>
              <w:snapToGrid w:val="0"/>
              <w:jc w:val="right"/>
            </w:pPr>
            <w:r>
              <w:rPr>
                <w:rFonts w:hint="eastAsia"/>
                <w:color w:val="000000"/>
              </w:rPr>
              <w:t>522,887,707.68</w:t>
            </w:r>
          </w:p>
        </w:tc>
        <w:tc>
          <w:tcPr>
            <w:tcW w:w="1023" w:type="pct"/>
            <w:vAlign w:val="center"/>
          </w:tcPr>
          <w:p w:rsidR="000C5659" w:rsidRDefault="000E33C4">
            <w:pPr>
              <w:autoSpaceDE w:val="0"/>
              <w:autoSpaceDN w:val="0"/>
              <w:adjustRightInd w:val="0"/>
              <w:snapToGrid w:val="0"/>
              <w:jc w:val="right"/>
            </w:pPr>
            <w:r>
              <w:rPr>
                <w:rFonts w:hint="eastAsia"/>
                <w:color w:val="000000"/>
              </w:rPr>
              <w:t>599,440.50</w:t>
            </w:r>
          </w:p>
        </w:tc>
        <w:tc>
          <w:tcPr>
            <w:tcW w:w="1016" w:type="pct"/>
            <w:vAlign w:val="center"/>
          </w:tcPr>
          <w:p w:rsidR="000C5659" w:rsidRDefault="000E33C4">
            <w:pPr>
              <w:autoSpaceDE w:val="0"/>
              <w:autoSpaceDN w:val="0"/>
              <w:adjustRightInd w:val="0"/>
              <w:snapToGrid w:val="0"/>
              <w:jc w:val="right"/>
            </w:pPr>
            <w:r>
              <w:rPr>
                <w:rFonts w:hint="eastAsia"/>
                <w:color w:val="000000"/>
              </w:rPr>
              <w:t>154,589,037.70</w:t>
            </w:r>
          </w:p>
        </w:tc>
        <w:tc>
          <w:tcPr>
            <w:tcW w:w="1013" w:type="pct"/>
            <w:vAlign w:val="center"/>
          </w:tcPr>
          <w:p w:rsidR="000C5659" w:rsidRDefault="000E33C4">
            <w:pPr>
              <w:autoSpaceDE w:val="0"/>
              <w:autoSpaceDN w:val="0"/>
              <w:adjustRightInd w:val="0"/>
              <w:snapToGrid w:val="0"/>
              <w:jc w:val="right"/>
            </w:pPr>
            <w:r>
              <w:rPr>
                <w:rFonts w:hint="eastAsia"/>
                <w:color w:val="000000"/>
              </w:rPr>
              <w:t>368,898,110.48</w:t>
            </w:r>
          </w:p>
        </w:tc>
      </w:tr>
    </w:tbl>
    <w:p w:rsidR="000C5659" w:rsidRDefault="000C5659">
      <w:pPr>
        <w:pStyle w:val="Style325"/>
      </w:pPr>
    </w:p>
    <w:p w:rsidR="000C5659" w:rsidRDefault="000C5659">
      <w:pPr>
        <w:pStyle w:val="Style325"/>
      </w:pPr>
    </w:p>
    <w:p w:rsidR="000C5659" w:rsidRDefault="000E33C4">
      <w:pPr>
        <w:rPr>
          <w:color w:val="000000" w:themeColor="text1"/>
        </w:rPr>
      </w:pPr>
      <w:r>
        <w:rPr>
          <w:rFonts w:hint="eastAsia"/>
          <w:color w:val="000000" w:themeColor="text1"/>
        </w:rPr>
        <w:t>其他说明，包括本期增减变动情况、变动原因说明：</w:t>
      </w:r>
    </w:p>
    <w:sdt>
      <w:sdtPr>
        <w:alias w:val="资本公积说明"/>
        <w:tag w:val="_GBC_014f0762b4274266bec2aa5231aa0981"/>
        <w:id w:val="-1617523528"/>
        <w:placeholder>
          <w:docPart w:val="GBC22222222222222222222222222222"/>
        </w:placeholder>
      </w:sdtPr>
      <w:sdtEndPr/>
      <w:sdtContent>
        <w:p w:rsidR="000C5659" w:rsidRDefault="000E33C4" w:rsidP="000743DD">
          <w:pPr>
            <w:pStyle w:val="aff7"/>
            <w:numPr>
              <w:ilvl w:val="2"/>
              <w:numId w:val="72"/>
            </w:numPr>
            <w:ind w:firstLineChars="0"/>
            <w:rPr>
              <w:color w:val="000000" w:themeColor="text1"/>
            </w:rPr>
          </w:pPr>
          <w:r>
            <w:rPr>
              <w:rFonts w:hint="eastAsia"/>
              <w:color w:val="000000" w:themeColor="text1"/>
            </w:rPr>
            <w:t>本司在善恩康收购义务中存在对少数股权的远期收购义务，根据这一义务</w:t>
          </w:r>
          <w:r>
            <w:rPr>
              <w:rFonts w:hint="eastAsia"/>
            </w:rPr>
            <w:t>确认金融负债</w:t>
          </w:r>
          <w:r>
            <w:rPr>
              <w:rFonts w:hint="eastAsia"/>
            </w:rPr>
            <w:t>1</w:t>
          </w:r>
          <w:r>
            <w:t>48,420,386.18</w:t>
          </w:r>
          <w:r>
            <w:rPr>
              <w:rFonts w:hint="eastAsia"/>
            </w:rPr>
            <w:t>，递延所得税负债</w:t>
          </w:r>
          <w:r>
            <w:rPr>
              <w:rFonts w:hint="eastAsia"/>
            </w:rPr>
            <w:t>6</w:t>
          </w:r>
          <w:r>
            <w:t>,168,651.52</w:t>
          </w:r>
          <w:r>
            <w:rPr>
              <w:rFonts w:hint="eastAsia"/>
            </w:rPr>
            <w:t>，</w:t>
          </w:r>
          <w:r>
            <w:rPr>
              <w:rFonts w:hint="eastAsia"/>
              <w:color w:val="000000" w:themeColor="text1"/>
            </w:rPr>
            <w:t>评估确认对应的资本公积减少</w:t>
          </w:r>
          <w:r>
            <w:rPr>
              <w:rFonts w:hint="eastAsia"/>
              <w:color w:val="000000" w:themeColor="text1"/>
            </w:rPr>
            <w:t>154,589,037.70</w:t>
          </w:r>
          <w:r>
            <w:rPr>
              <w:rFonts w:hint="eastAsia"/>
              <w:color w:val="000000" w:themeColor="text1"/>
            </w:rPr>
            <w:t>。</w:t>
          </w:r>
        </w:p>
        <w:p w:rsidR="000C5659" w:rsidRDefault="000E33C4" w:rsidP="000743DD">
          <w:pPr>
            <w:pStyle w:val="aff7"/>
            <w:numPr>
              <w:ilvl w:val="2"/>
              <w:numId w:val="72"/>
            </w:numPr>
            <w:ind w:firstLineChars="0"/>
            <w:rPr>
              <w:color w:val="000000" w:themeColor="text1"/>
            </w:rPr>
          </w:pPr>
          <w:r>
            <w:rPr>
              <w:rFonts w:hint="eastAsia"/>
            </w:rPr>
            <w:t>本期确认股份支付费用</w:t>
          </w:r>
          <w:r>
            <w:rPr>
              <w:rFonts w:hint="eastAsia"/>
              <w:color w:val="000000"/>
              <w:szCs w:val="21"/>
            </w:rPr>
            <w:t>599,440.50</w:t>
          </w:r>
          <w:r>
            <w:rPr>
              <w:rFonts w:hint="eastAsia"/>
            </w:rPr>
            <w:t>元，计入资本公积及相应费用。</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库存股</w:t>
      </w:r>
    </w:p>
    <w:sdt>
      <w:sdtPr>
        <w:rPr>
          <w:color w:val="000000" w:themeColor="text1"/>
        </w:rPr>
        <w:alias w:val="是否适用：库存股[双击切换]"/>
        <w:tag w:val="_GBC_4aa47a6d9b1044aa8a049146d42c3e9c"/>
        <w:id w:val="-1065797115"/>
        <w:placeholder>
          <w:docPart w:val="GBC22222222222222222222222222222"/>
        </w:placeholder>
      </w:sdtPr>
      <w:sdtEndPr/>
      <w:sdtContent>
        <w:p w:rsidR="000C5659" w:rsidRDefault="000E33C4">
          <w:pPr>
            <w:rPr>
              <w:b/>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30" w:name="_Hlk10537776"/>
      <w:r>
        <w:rPr>
          <w:color w:val="000000" w:themeColor="text1"/>
          <w:szCs w:val="21"/>
        </w:rPr>
        <w:t>其他综合收益</w:t>
      </w:r>
    </w:p>
    <w:sdt>
      <w:sdtPr>
        <w:rPr>
          <w:color w:val="000000" w:themeColor="text1"/>
        </w:rPr>
        <w:alias w:val="是否适用：其他综合收益[双击切换]"/>
        <w:tag w:val="_GBC_a53cc67f2be24dfbbe3af1b633d9bd6d"/>
        <w:id w:val="36372713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其他综合收益情况"/>
          <w:tag w:val="_GBC_3fcad98da74248809a759048ca194814"/>
          <w:id w:val="14491907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综合收益情况"/>
          <w:tag w:val="_GBC_3909f37aa0cc4eda82ff1503a6abe503"/>
          <w:id w:val="-4493223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338"/>
        <w:gridCol w:w="1276"/>
        <w:gridCol w:w="566"/>
        <w:gridCol w:w="690"/>
        <w:gridCol w:w="446"/>
        <w:gridCol w:w="1346"/>
        <w:gridCol w:w="356"/>
        <w:gridCol w:w="1562"/>
      </w:tblGrid>
      <w:tr w:rsidR="000C5659" w:rsidTr="00BB75E8">
        <w:trPr>
          <w:trHeight w:val="215"/>
        </w:trPr>
        <w:sdt>
          <w:sdtPr>
            <w:rPr>
              <w:color w:val="000000" w:themeColor="text1"/>
            </w:rPr>
            <w:tag w:val="_PLD_965475dfd86e41c29d1b9f1fdff70ee0"/>
            <w:id w:val="905416823"/>
          </w:sdtPr>
          <w:sdtEndPr/>
          <w:sdtContent>
            <w:tc>
              <w:tcPr>
                <w:tcW w:w="704" w:type="pct"/>
                <w:vMerge w:val="restar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8a675a3cac5041d29cfb92203b87e9a6"/>
            <w:id w:val="-2015066828"/>
          </w:sdtPr>
          <w:sdtEndPr/>
          <w:sdtContent>
            <w:tc>
              <w:tcPr>
                <w:tcW w:w="758" w:type="pct"/>
                <w:vMerge w:val="restart"/>
                <w:shd w:val="clear" w:color="auto" w:fill="auto"/>
                <w:vAlign w:val="center"/>
              </w:tcPr>
              <w:p w:rsidR="000C5659" w:rsidRDefault="000E33C4">
                <w:pPr>
                  <w:jc w:val="center"/>
                  <w:rPr>
                    <w:color w:val="000000" w:themeColor="text1"/>
                  </w:rPr>
                </w:pPr>
                <w:r>
                  <w:rPr>
                    <w:rFonts w:hint="eastAsia"/>
                    <w:color w:val="000000" w:themeColor="text1"/>
                  </w:rPr>
                  <w:t>期初</w:t>
                </w:r>
              </w:p>
              <w:p w:rsidR="000C5659" w:rsidRDefault="000E33C4">
                <w:pPr>
                  <w:jc w:val="center"/>
                  <w:rPr>
                    <w:color w:val="000000" w:themeColor="text1"/>
                  </w:rPr>
                </w:pPr>
                <w:r>
                  <w:rPr>
                    <w:rFonts w:hint="eastAsia"/>
                    <w:color w:val="000000" w:themeColor="text1"/>
                  </w:rPr>
                  <w:t>余额</w:t>
                </w:r>
              </w:p>
            </w:tc>
          </w:sdtContent>
        </w:sdt>
        <w:sdt>
          <w:sdtPr>
            <w:rPr>
              <w:color w:val="000000" w:themeColor="text1"/>
            </w:rPr>
            <w:tag w:val="_PLD_5ff455f3c2164019b5e694c1e00e4104"/>
            <w:id w:val="1961293488"/>
          </w:sdtPr>
          <w:sdtEndPr/>
          <w:sdtContent>
            <w:tc>
              <w:tcPr>
                <w:tcW w:w="2653" w:type="pct"/>
                <w:gridSpan w:val="6"/>
                <w:shd w:val="clear" w:color="auto" w:fill="auto"/>
                <w:vAlign w:val="center"/>
              </w:tcPr>
              <w:p w:rsidR="000C5659" w:rsidRDefault="000E33C4">
                <w:pPr>
                  <w:jc w:val="center"/>
                  <w:rPr>
                    <w:color w:val="000000" w:themeColor="text1"/>
                  </w:rPr>
                </w:pPr>
                <w:r>
                  <w:rPr>
                    <w:rFonts w:hint="eastAsia"/>
                    <w:color w:val="000000" w:themeColor="text1"/>
                  </w:rPr>
                  <w:t>本期发生金额</w:t>
                </w:r>
              </w:p>
            </w:tc>
          </w:sdtContent>
        </w:sdt>
        <w:sdt>
          <w:sdtPr>
            <w:rPr>
              <w:color w:val="000000" w:themeColor="text1"/>
            </w:rPr>
            <w:tag w:val="_PLD_e74e1b8e6f7d453b8d88ebfc65c302f4"/>
            <w:id w:val="967700775"/>
          </w:sdtPr>
          <w:sdtEndPr/>
          <w:sdtContent>
            <w:tc>
              <w:tcPr>
                <w:tcW w:w="885" w:type="pct"/>
                <w:vMerge w:val="restart"/>
                <w:shd w:val="clear" w:color="auto" w:fill="auto"/>
                <w:vAlign w:val="center"/>
              </w:tcPr>
              <w:p w:rsidR="000C5659" w:rsidRDefault="000E33C4">
                <w:pPr>
                  <w:jc w:val="center"/>
                  <w:rPr>
                    <w:color w:val="000000" w:themeColor="text1"/>
                  </w:rPr>
                </w:pPr>
                <w:r>
                  <w:rPr>
                    <w:rFonts w:hint="eastAsia"/>
                    <w:color w:val="000000" w:themeColor="text1"/>
                  </w:rPr>
                  <w:t>期末</w:t>
                </w:r>
              </w:p>
              <w:p w:rsidR="000C5659" w:rsidRDefault="000E33C4">
                <w:pPr>
                  <w:jc w:val="center"/>
                  <w:rPr>
                    <w:color w:val="000000" w:themeColor="text1"/>
                  </w:rPr>
                </w:pPr>
                <w:r>
                  <w:rPr>
                    <w:rFonts w:hint="eastAsia"/>
                    <w:color w:val="000000" w:themeColor="text1"/>
                  </w:rPr>
                  <w:t>余额</w:t>
                </w:r>
              </w:p>
            </w:tc>
          </w:sdtContent>
        </w:sdt>
      </w:tr>
      <w:tr w:rsidR="000C5659" w:rsidTr="00BB75E8">
        <w:tc>
          <w:tcPr>
            <w:tcW w:w="704" w:type="pct"/>
            <w:vMerge/>
            <w:shd w:val="clear" w:color="auto" w:fill="auto"/>
          </w:tcPr>
          <w:p w:rsidR="000C5659" w:rsidRDefault="000C5659">
            <w:pPr>
              <w:jc w:val="center"/>
              <w:rPr>
                <w:color w:val="000000" w:themeColor="text1"/>
              </w:rPr>
            </w:pPr>
          </w:p>
        </w:tc>
        <w:tc>
          <w:tcPr>
            <w:tcW w:w="758" w:type="pct"/>
            <w:vMerge/>
            <w:shd w:val="clear" w:color="auto" w:fill="auto"/>
          </w:tcPr>
          <w:p w:rsidR="000C5659" w:rsidRDefault="000C5659">
            <w:pPr>
              <w:jc w:val="center"/>
              <w:rPr>
                <w:color w:val="000000" w:themeColor="text1"/>
              </w:rPr>
            </w:pPr>
          </w:p>
        </w:tc>
        <w:sdt>
          <w:sdtPr>
            <w:rPr>
              <w:color w:val="000000" w:themeColor="text1"/>
            </w:rPr>
            <w:tag w:val="_PLD_17c016c4311444368218ab16d2bc7a4c"/>
            <w:id w:val="-1030719575"/>
          </w:sdtPr>
          <w:sdtEndPr/>
          <w:sdtContent>
            <w:tc>
              <w:tcPr>
                <w:tcW w:w="723" w:type="pct"/>
                <w:shd w:val="clear" w:color="auto" w:fill="auto"/>
                <w:vAlign w:val="center"/>
              </w:tcPr>
              <w:p w:rsidR="000C5659" w:rsidRDefault="000E33C4">
                <w:pPr>
                  <w:jc w:val="center"/>
                  <w:rPr>
                    <w:color w:val="000000" w:themeColor="text1"/>
                  </w:rPr>
                </w:pPr>
                <w:r>
                  <w:rPr>
                    <w:rFonts w:hint="eastAsia"/>
                    <w:color w:val="000000" w:themeColor="text1"/>
                  </w:rPr>
                  <w:t>本期所得税前发生额</w:t>
                </w:r>
              </w:p>
            </w:tc>
          </w:sdtContent>
        </w:sdt>
        <w:sdt>
          <w:sdtPr>
            <w:rPr>
              <w:color w:val="000000" w:themeColor="text1"/>
            </w:rPr>
            <w:tag w:val="_PLD_8f95da21a802457ea1d7d10d5c90efb0"/>
            <w:id w:val="-107435004"/>
          </w:sdtPr>
          <w:sdtEndPr/>
          <w:sdtContent>
            <w:tc>
              <w:tcPr>
                <w:tcW w:w="321" w:type="pct"/>
                <w:shd w:val="clear" w:color="auto" w:fill="auto"/>
                <w:vAlign w:val="center"/>
              </w:tcPr>
              <w:p w:rsidR="000C5659" w:rsidRDefault="000E33C4">
                <w:pPr>
                  <w:jc w:val="center"/>
                  <w:rPr>
                    <w:color w:val="000000" w:themeColor="text1"/>
                  </w:rPr>
                </w:pPr>
                <w:r>
                  <w:rPr>
                    <w:rFonts w:hint="eastAsia"/>
                    <w:color w:val="000000" w:themeColor="text1"/>
                  </w:rPr>
                  <w:t>减：前期计入其他综合收益当期转入</w:t>
                </w:r>
                <w:r>
                  <w:rPr>
                    <w:rFonts w:hint="eastAsia"/>
                    <w:color w:val="000000" w:themeColor="text1"/>
                  </w:rPr>
                  <w:lastRenderedPageBreak/>
                  <w:t>损益</w:t>
                </w:r>
              </w:p>
            </w:tc>
          </w:sdtContent>
        </w:sdt>
        <w:tc>
          <w:tcPr>
            <w:tcW w:w="391" w:type="pct"/>
          </w:tcPr>
          <w:sdt>
            <w:sdtPr>
              <w:rPr>
                <w:rFonts w:hint="eastAsia"/>
                <w:color w:val="000000" w:themeColor="text1"/>
              </w:rPr>
              <w:tag w:val="_PLD_7f99e647a5874f909c48e6c0bbc8d50a"/>
              <w:id w:val="-2109956006"/>
            </w:sdtPr>
            <w:sdtEndPr/>
            <w:sdtContent>
              <w:p w:rsidR="000C5659" w:rsidRDefault="000E33C4">
                <w:pPr>
                  <w:jc w:val="center"/>
                  <w:rPr>
                    <w:color w:val="000000" w:themeColor="text1"/>
                  </w:rPr>
                </w:pPr>
                <w:r>
                  <w:rPr>
                    <w:rFonts w:hint="eastAsia"/>
                    <w:color w:val="000000" w:themeColor="text1"/>
                  </w:rPr>
                  <w:t>减：前期计入其他综合收益当期转入留存收益</w:t>
                </w:r>
              </w:p>
            </w:sdtContent>
          </w:sdt>
        </w:tc>
        <w:sdt>
          <w:sdtPr>
            <w:rPr>
              <w:color w:val="000000" w:themeColor="text1"/>
            </w:rPr>
            <w:tag w:val="_PLD_6ee499a1144a462687fb064cc4588343"/>
            <w:id w:val="-132025469"/>
          </w:sdtPr>
          <w:sdtEndPr/>
          <w:sdtContent>
            <w:tc>
              <w:tcPr>
                <w:tcW w:w="253" w:type="pct"/>
                <w:shd w:val="clear" w:color="auto" w:fill="auto"/>
                <w:vAlign w:val="center"/>
              </w:tcPr>
              <w:p w:rsidR="000C5659" w:rsidRDefault="000E33C4">
                <w:pPr>
                  <w:jc w:val="center"/>
                  <w:rPr>
                    <w:color w:val="000000" w:themeColor="text1"/>
                  </w:rPr>
                </w:pPr>
                <w:r>
                  <w:rPr>
                    <w:rFonts w:hint="eastAsia"/>
                    <w:color w:val="000000" w:themeColor="text1"/>
                  </w:rPr>
                  <w:t>减：所得税费用</w:t>
                </w:r>
              </w:p>
            </w:tc>
          </w:sdtContent>
        </w:sdt>
        <w:sdt>
          <w:sdtPr>
            <w:rPr>
              <w:color w:val="000000" w:themeColor="text1"/>
            </w:rPr>
            <w:tag w:val="_PLD_97d686c5a0f042d49d097afc52b9ab56"/>
            <w:id w:val="-1262597123"/>
          </w:sdtPr>
          <w:sdtEndPr/>
          <w:sdtContent>
            <w:tc>
              <w:tcPr>
                <w:tcW w:w="763" w:type="pct"/>
                <w:shd w:val="clear" w:color="auto" w:fill="auto"/>
                <w:vAlign w:val="center"/>
              </w:tcPr>
              <w:p w:rsidR="000C5659" w:rsidRDefault="000E33C4">
                <w:pPr>
                  <w:jc w:val="center"/>
                  <w:rPr>
                    <w:color w:val="000000" w:themeColor="text1"/>
                  </w:rPr>
                </w:pPr>
                <w:r>
                  <w:rPr>
                    <w:rFonts w:hint="eastAsia"/>
                    <w:color w:val="000000" w:themeColor="text1"/>
                  </w:rPr>
                  <w:t>税后归属于母公司</w:t>
                </w:r>
              </w:p>
            </w:tc>
          </w:sdtContent>
        </w:sdt>
        <w:sdt>
          <w:sdtPr>
            <w:rPr>
              <w:color w:val="000000" w:themeColor="text1"/>
            </w:rPr>
            <w:tag w:val="_PLD_dc8c642f883f4ca1b1bbacf56198209b"/>
            <w:id w:val="1866789037"/>
          </w:sdtPr>
          <w:sdtEndPr/>
          <w:sdtContent>
            <w:tc>
              <w:tcPr>
                <w:tcW w:w="202" w:type="pct"/>
                <w:shd w:val="clear" w:color="auto" w:fill="auto"/>
                <w:vAlign w:val="center"/>
              </w:tcPr>
              <w:p w:rsidR="000C5659" w:rsidRDefault="000E33C4">
                <w:pPr>
                  <w:jc w:val="center"/>
                  <w:rPr>
                    <w:color w:val="000000" w:themeColor="text1"/>
                  </w:rPr>
                </w:pPr>
                <w:r>
                  <w:rPr>
                    <w:rFonts w:hint="eastAsia"/>
                    <w:color w:val="000000" w:themeColor="text1"/>
                  </w:rPr>
                  <w:t>税后归属于少数股东</w:t>
                </w:r>
              </w:p>
            </w:tc>
          </w:sdtContent>
        </w:sdt>
        <w:tc>
          <w:tcPr>
            <w:tcW w:w="885" w:type="pct"/>
            <w:vMerge/>
            <w:shd w:val="clear" w:color="auto" w:fill="auto"/>
          </w:tcPr>
          <w:p w:rsidR="000C5659" w:rsidRDefault="000C5659">
            <w:pPr>
              <w:jc w:val="center"/>
              <w:rPr>
                <w:color w:val="000000" w:themeColor="text1"/>
              </w:rPr>
            </w:pPr>
          </w:p>
        </w:tc>
      </w:tr>
      <w:tr w:rsidR="000C5659" w:rsidTr="00BB75E8">
        <w:tc>
          <w:tcPr>
            <w:tcW w:w="704" w:type="pct"/>
            <w:shd w:val="clear" w:color="auto" w:fill="auto"/>
            <w:vAlign w:val="center"/>
          </w:tcPr>
          <w:p w:rsidR="000C5659" w:rsidRDefault="000E33C4">
            <w:pPr>
              <w:rPr>
                <w:color w:val="000000" w:themeColor="text1"/>
              </w:rPr>
            </w:pPr>
            <w:r>
              <w:rPr>
                <w:rFonts w:hint="eastAsia"/>
                <w:color w:val="000000" w:themeColor="text1"/>
              </w:rPr>
              <w:lastRenderedPageBreak/>
              <w:t>一、不能重分类进损益的其他综合收益</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vAlign w:val="center"/>
          </w:tcPr>
          <w:p w:rsidR="000C5659" w:rsidRDefault="000E33C4">
            <w:pPr>
              <w:rPr>
                <w:color w:val="000000" w:themeColor="text1"/>
              </w:rPr>
            </w:pPr>
            <w:r>
              <w:rPr>
                <w:rFonts w:hint="eastAsia"/>
                <w:color w:val="000000" w:themeColor="text1"/>
              </w:rPr>
              <w:t>其中：重新计量设定受益计划变动额</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vAlign w:val="center"/>
          </w:tcPr>
          <w:p w:rsidR="000C5659" w:rsidRDefault="000E33C4">
            <w:pPr>
              <w:rPr>
                <w:color w:val="000000" w:themeColor="text1"/>
              </w:rPr>
            </w:pPr>
            <w:r>
              <w:rPr>
                <w:rFonts w:hint="eastAsia"/>
                <w:color w:val="000000" w:themeColor="text1"/>
              </w:rPr>
              <w:t xml:space="preserve">  权益法下不能转损益的其他综合收益</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vAlign w:val="center"/>
          </w:tcPr>
          <w:p w:rsidR="000C5659" w:rsidRDefault="000E33C4">
            <w:pPr>
              <w:ind w:firstLineChars="100" w:firstLine="210"/>
              <w:rPr>
                <w:color w:val="000000" w:themeColor="text1"/>
              </w:rPr>
            </w:pPr>
            <w:r>
              <w:rPr>
                <w:rFonts w:hint="eastAsia"/>
                <w:color w:val="000000" w:themeColor="text1"/>
              </w:rPr>
              <w:t>其他权益工具投资公允价值变动</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vAlign w:val="center"/>
          </w:tcPr>
          <w:p w:rsidR="000C5659" w:rsidRDefault="000E33C4">
            <w:pPr>
              <w:ind w:firstLineChars="100" w:firstLine="210"/>
              <w:rPr>
                <w:color w:val="000000" w:themeColor="text1"/>
              </w:rPr>
            </w:pPr>
            <w:r>
              <w:rPr>
                <w:rFonts w:hint="eastAsia"/>
                <w:color w:val="000000" w:themeColor="text1"/>
              </w:rPr>
              <w:t>企业自身信用风险公允价值变动</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tcPr>
          <w:p w:rsidR="000C5659" w:rsidRDefault="000C5659">
            <w:pPr>
              <w:pStyle w:val="Style325"/>
            </w:pP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tcPr>
          <w:p w:rsidR="000C5659" w:rsidRDefault="000C5659">
            <w:pPr>
              <w:pStyle w:val="Style325"/>
            </w:pP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tcPr>
          <w:p w:rsidR="000C5659" w:rsidRDefault="000E33C4">
            <w:pPr>
              <w:rPr>
                <w:color w:val="000000" w:themeColor="text1"/>
              </w:rPr>
            </w:pPr>
            <w:r>
              <w:rPr>
                <w:rFonts w:hint="eastAsia"/>
                <w:color w:val="000000" w:themeColor="text1"/>
              </w:rPr>
              <w:t>二、将重分类进损益的其他综合收益</w:t>
            </w:r>
          </w:p>
        </w:tc>
        <w:tc>
          <w:tcPr>
            <w:tcW w:w="758" w:type="pct"/>
            <w:shd w:val="clear" w:color="auto" w:fill="auto"/>
          </w:tcPr>
          <w:p w:rsidR="000C5659" w:rsidRDefault="000E33C4">
            <w:pPr>
              <w:jc w:val="right"/>
            </w:pPr>
            <w:r>
              <w:t>380,350.48</w:t>
            </w:r>
          </w:p>
        </w:tc>
        <w:tc>
          <w:tcPr>
            <w:tcW w:w="723" w:type="pct"/>
            <w:shd w:val="clear" w:color="auto" w:fill="auto"/>
          </w:tcPr>
          <w:p w:rsidR="000C5659" w:rsidRDefault="000E33C4">
            <w:pPr>
              <w:jc w:val="right"/>
            </w:pPr>
            <w:r>
              <w:rPr>
                <w:rFonts w:hint="eastAsia"/>
              </w:rPr>
              <w:t>911,143.30</w:t>
            </w: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E33C4">
            <w:pPr>
              <w:jc w:val="right"/>
            </w:pPr>
            <w:r>
              <w:rPr>
                <w:rFonts w:hint="eastAsia"/>
              </w:rPr>
              <w:t>911,143.30</w:t>
            </w:r>
          </w:p>
        </w:tc>
        <w:tc>
          <w:tcPr>
            <w:tcW w:w="202" w:type="pct"/>
            <w:shd w:val="clear" w:color="auto" w:fill="auto"/>
          </w:tcPr>
          <w:p w:rsidR="000C5659" w:rsidRDefault="000C5659">
            <w:pPr>
              <w:jc w:val="right"/>
            </w:pPr>
          </w:p>
        </w:tc>
        <w:tc>
          <w:tcPr>
            <w:tcW w:w="885" w:type="pct"/>
            <w:shd w:val="clear" w:color="auto" w:fill="auto"/>
          </w:tcPr>
          <w:p w:rsidR="000C5659" w:rsidRDefault="000E33C4">
            <w:pPr>
              <w:jc w:val="right"/>
            </w:pPr>
            <w:r>
              <w:rPr>
                <w:rFonts w:hint="eastAsia"/>
              </w:rPr>
              <w:t>1,291,493.78</w:t>
            </w:r>
          </w:p>
        </w:tc>
      </w:tr>
      <w:tr w:rsidR="000C5659" w:rsidTr="00BB75E8">
        <w:tc>
          <w:tcPr>
            <w:tcW w:w="704" w:type="pct"/>
            <w:shd w:val="clear" w:color="auto" w:fill="auto"/>
          </w:tcPr>
          <w:p w:rsidR="000C5659" w:rsidRDefault="000E33C4">
            <w:pPr>
              <w:rPr>
                <w:color w:val="000000" w:themeColor="text1"/>
              </w:rPr>
            </w:pPr>
            <w:r>
              <w:rPr>
                <w:rFonts w:hint="eastAsia"/>
                <w:color w:val="000000" w:themeColor="text1"/>
              </w:rPr>
              <w:t>其中：权益法下可转损益的其他综合收益</w:t>
            </w:r>
          </w:p>
        </w:tc>
        <w:tc>
          <w:tcPr>
            <w:tcW w:w="758" w:type="pct"/>
            <w:shd w:val="clear" w:color="auto" w:fill="auto"/>
          </w:tcPr>
          <w:p w:rsidR="000C5659" w:rsidRDefault="000E33C4">
            <w:pPr>
              <w:jc w:val="right"/>
            </w:pPr>
            <w:r>
              <w:t>380,350.48</w:t>
            </w:r>
          </w:p>
        </w:tc>
        <w:tc>
          <w:tcPr>
            <w:tcW w:w="723" w:type="pct"/>
            <w:shd w:val="clear" w:color="auto" w:fill="auto"/>
          </w:tcPr>
          <w:p w:rsidR="000C5659" w:rsidRDefault="000E33C4">
            <w:pPr>
              <w:jc w:val="right"/>
            </w:pPr>
            <w:r>
              <w:rPr>
                <w:rFonts w:hint="eastAsia"/>
              </w:rPr>
              <w:t>911,143.30</w:t>
            </w: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E33C4">
            <w:pPr>
              <w:jc w:val="right"/>
            </w:pPr>
            <w:r>
              <w:rPr>
                <w:rFonts w:hint="eastAsia"/>
              </w:rPr>
              <w:t>911,143.30</w:t>
            </w:r>
          </w:p>
        </w:tc>
        <w:tc>
          <w:tcPr>
            <w:tcW w:w="202" w:type="pct"/>
            <w:shd w:val="clear" w:color="auto" w:fill="auto"/>
          </w:tcPr>
          <w:p w:rsidR="000C5659" w:rsidRDefault="000C5659">
            <w:pPr>
              <w:jc w:val="right"/>
            </w:pPr>
          </w:p>
        </w:tc>
        <w:tc>
          <w:tcPr>
            <w:tcW w:w="885" w:type="pct"/>
            <w:shd w:val="clear" w:color="auto" w:fill="auto"/>
          </w:tcPr>
          <w:p w:rsidR="000C5659" w:rsidRDefault="000E33C4">
            <w:pPr>
              <w:jc w:val="right"/>
            </w:pPr>
            <w:r>
              <w:rPr>
                <w:rFonts w:hint="eastAsia"/>
              </w:rPr>
              <w:t>1,291,493.78</w:t>
            </w:r>
          </w:p>
        </w:tc>
      </w:tr>
      <w:tr w:rsidR="000C5659" w:rsidTr="00BB75E8">
        <w:tc>
          <w:tcPr>
            <w:tcW w:w="704" w:type="pct"/>
            <w:shd w:val="clear" w:color="auto" w:fill="auto"/>
          </w:tcPr>
          <w:p w:rsidR="000C5659" w:rsidRDefault="000E33C4">
            <w:pPr>
              <w:ind w:firstLineChars="100" w:firstLine="210"/>
              <w:rPr>
                <w:color w:val="000000" w:themeColor="text1"/>
              </w:rPr>
            </w:pPr>
            <w:r>
              <w:rPr>
                <w:rFonts w:hint="eastAsia"/>
                <w:color w:val="000000" w:themeColor="text1"/>
              </w:rPr>
              <w:t>其他债权投资公允价值变动</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tcPr>
          <w:p w:rsidR="000C5659" w:rsidRDefault="000E33C4">
            <w:pPr>
              <w:ind w:firstLineChars="100" w:firstLine="210"/>
              <w:rPr>
                <w:color w:val="000000" w:themeColor="text1"/>
              </w:rPr>
            </w:pPr>
            <w:r>
              <w:rPr>
                <w:rFonts w:hint="eastAsia"/>
                <w:color w:val="000000" w:themeColor="text1"/>
              </w:rPr>
              <w:t>金融资产重分类计入其他综合收益的金额</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tcPr>
          <w:p w:rsidR="000C5659" w:rsidRDefault="000E33C4">
            <w:pPr>
              <w:ind w:firstLineChars="100" w:firstLine="210"/>
              <w:rPr>
                <w:color w:val="000000" w:themeColor="text1"/>
              </w:rPr>
            </w:pPr>
            <w:r>
              <w:rPr>
                <w:rFonts w:hint="eastAsia"/>
                <w:color w:val="000000" w:themeColor="text1"/>
              </w:rPr>
              <w:t>其他债权投资信用减值准备</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tcPr>
          <w:p w:rsidR="000C5659" w:rsidRDefault="000E33C4">
            <w:pPr>
              <w:rPr>
                <w:color w:val="000000" w:themeColor="text1"/>
              </w:rPr>
            </w:pPr>
            <w:r>
              <w:rPr>
                <w:rFonts w:hint="eastAsia"/>
                <w:color w:val="000000" w:themeColor="text1"/>
              </w:rPr>
              <w:lastRenderedPageBreak/>
              <w:t xml:space="preserve">  </w:t>
            </w:r>
            <w:r>
              <w:rPr>
                <w:color w:val="000000" w:themeColor="text1"/>
              </w:rPr>
              <w:t>现金流量套期储备</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tcPr>
          <w:p w:rsidR="000C5659" w:rsidRDefault="000E33C4">
            <w:pPr>
              <w:rPr>
                <w:color w:val="000000" w:themeColor="text1"/>
              </w:rPr>
            </w:pPr>
            <w:r>
              <w:rPr>
                <w:rFonts w:hint="eastAsia"/>
                <w:color w:val="000000" w:themeColor="text1"/>
              </w:rPr>
              <w:t xml:space="preserve">  外币财务报表折算差额</w:t>
            </w: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tcBorders>
              <w:bottom w:val="single" w:sz="4" w:space="0" w:color="auto"/>
            </w:tcBorders>
            <w:shd w:val="clear" w:color="auto" w:fill="auto"/>
          </w:tcPr>
          <w:p w:rsidR="000C5659" w:rsidRDefault="000C5659">
            <w:pPr>
              <w:pStyle w:val="Style325"/>
            </w:pP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tcBorders>
              <w:bottom w:val="single" w:sz="4" w:space="0" w:color="auto"/>
            </w:tcBorders>
            <w:shd w:val="clear" w:color="auto" w:fill="auto"/>
          </w:tcPr>
          <w:p w:rsidR="000C5659" w:rsidRDefault="000C5659">
            <w:pPr>
              <w:pStyle w:val="Style325"/>
            </w:pPr>
          </w:p>
        </w:tc>
        <w:tc>
          <w:tcPr>
            <w:tcW w:w="758" w:type="pct"/>
            <w:shd w:val="clear" w:color="auto" w:fill="auto"/>
          </w:tcPr>
          <w:p w:rsidR="000C5659" w:rsidRDefault="000C5659">
            <w:pPr>
              <w:jc w:val="right"/>
            </w:pPr>
          </w:p>
        </w:tc>
        <w:tc>
          <w:tcPr>
            <w:tcW w:w="723" w:type="pct"/>
            <w:shd w:val="clear" w:color="auto" w:fill="auto"/>
          </w:tcPr>
          <w:p w:rsidR="000C5659" w:rsidRDefault="000C5659">
            <w:pPr>
              <w:jc w:val="right"/>
            </w:pP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C5659">
            <w:pPr>
              <w:jc w:val="right"/>
            </w:pPr>
          </w:p>
        </w:tc>
        <w:tc>
          <w:tcPr>
            <w:tcW w:w="202" w:type="pct"/>
            <w:shd w:val="clear" w:color="auto" w:fill="auto"/>
          </w:tcPr>
          <w:p w:rsidR="000C5659" w:rsidRDefault="000C5659">
            <w:pPr>
              <w:jc w:val="right"/>
            </w:pPr>
          </w:p>
        </w:tc>
        <w:tc>
          <w:tcPr>
            <w:tcW w:w="885" w:type="pct"/>
            <w:shd w:val="clear" w:color="auto" w:fill="auto"/>
          </w:tcPr>
          <w:p w:rsidR="000C5659" w:rsidRDefault="000C5659">
            <w:pPr>
              <w:jc w:val="right"/>
            </w:pPr>
          </w:p>
        </w:tc>
      </w:tr>
      <w:tr w:rsidR="000C5659" w:rsidTr="00BB75E8">
        <w:tc>
          <w:tcPr>
            <w:tcW w:w="704" w:type="pct"/>
            <w:shd w:val="clear" w:color="auto" w:fill="auto"/>
            <w:vAlign w:val="center"/>
          </w:tcPr>
          <w:p w:rsidR="000C5659" w:rsidRDefault="000E33C4">
            <w:pPr>
              <w:rPr>
                <w:color w:val="000000" w:themeColor="text1"/>
              </w:rPr>
            </w:pPr>
            <w:r>
              <w:rPr>
                <w:rFonts w:hint="eastAsia"/>
                <w:color w:val="000000" w:themeColor="text1"/>
              </w:rPr>
              <w:t>其他综合收益合计</w:t>
            </w:r>
          </w:p>
        </w:tc>
        <w:tc>
          <w:tcPr>
            <w:tcW w:w="758" w:type="pct"/>
            <w:shd w:val="clear" w:color="auto" w:fill="auto"/>
          </w:tcPr>
          <w:p w:rsidR="000C5659" w:rsidRDefault="000E33C4">
            <w:pPr>
              <w:jc w:val="right"/>
            </w:pPr>
            <w:r>
              <w:t>380,350.48</w:t>
            </w:r>
          </w:p>
        </w:tc>
        <w:tc>
          <w:tcPr>
            <w:tcW w:w="723" w:type="pct"/>
            <w:shd w:val="clear" w:color="auto" w:fill="auto"/>
          </w:tcPr>
          <w:p w:rsidR="000C5659" w:rsidRDefault="000E33C4">
            <w:pPr>
              <w:jc w:val="right"/>
            </w:pPr>
            <w:r>
              <w:rPr>
                <w:rFonts w:hint="eastAsia"/>
              </w:rPr>
              <w:t>911,143.30</w:t>
            </w:r>
          </w:p>
        </w:tc>
        <w:tc>
          <w:tcPr>
            <w:tcW w:w="321" w:type="pct"/>
            <w:shd w:val="clear" w:color="auto" w:fill="auto"/>
          </w:tcPr>
          <w:p w:rsidR="000C5659" w:rsidRDefault="000C5659">
            <w:pPr>
              <w:jc w:val="right"/>
            </w:pPr>
          </w:p>
        </w:tc>
        <w:tc>
          <w:tcPr>
            <w:tcW w:w="391" w:type="pct"/>
          </w:tcPr>
          <w:p w:rsidR="000C5659" w:rsidRDefault="000C5659">
            <w:pPr>
              <w:jc w:val="right"/>
            </w:pPr>
          </w:p>
        </w:tc>
        <w:tc>
          <w:tcPr>
            <w:tcW w:w="253" w:type="pct"/>
            <w:shd w:val="clear" w:color="auto" w:fill="auto"/>
          </w:tcPr>
          <w:p w:rsidR="000C5659" w:rsidRDefault="000C5659">
            <w:pPr>
              <w:jc w:val="right"/>
            </w:pPr>
          </w:p>
        </w:tc>
        <w:tc>
          <w:tcPr>
            <w:tcW w:w="763" w:type="pct"/>
            <w:shd w:val="clear" w:color="auto" w:fill="auto"/>
          </w:tcPr>
          <w:p w:rsidR="000C5659" w:rsidRDefault="000E33C4">
            <w:pPr>
              <w:jc w:val="right"/>
            </w:pPr>
            <w:r>
              <w:rPr>
                <w:rFonts w:hint="eastAsia"/>
              </w:rPr>
              <w:t>911,143.30</w:t>
            </w:r>
          </w:p>
        </w:tc>
        <w:tc>
          <w:tcPr>
            <w:tcW w:w="202" w:type="pct"/>
            <w:shd w:val="clear" w:color="auto" w:fill="auto"/>
          </w:tcPr>
          <w:p w:rsidR="000C5659" w:rsidRDefault="000C5659">
            <w:pPr>
              <w:jc w:val="right"/>
            </w:pPr>
          </w:p>
        </w:tc>
        <w:tc>
          <w:tcPr>
            <w:tcW w:w="885" w:type="pct"/>
            <w:shd w:val="clear" w:color="auto" w:fill="auto"/>
          </w:tcPr>
          <w:p w:rsidR="000C5659" w:rsidRDefault="000E33C4">
            <w:pPr>
              <w:jc w:val="right"/>
            </w:pPr>
            <w:r>
              <w:rPr>
                <w:rFonts w:hint="eastAsia"/>
              </w:rPr>
              <w:t>1,291,493.78</w:t>
            </w:r>
          </w:p>
        </w:tc>
      </w:tr>
    </w:tbl>
    <w:p w:rsidR="000C5659" w:rsidRDefault="000C5659">
      <w:pPr>
        <w:pStyle w:val="Style325"/>
      </w:pPr>
    </w:p>
    <w:p w:rsidR="000C5659" w:rsidRDefault="000E33C4">
      <w:pPr>
        <w:spacing w:before="60" w:after="60"/>
        <w:rPr>
          <w:b/>
          <w:color w:val="000000" w:themeColor="text1"/>
        </w:rPr>
      </w:pPr>
      <w:r>
        <w:rPr>
          <w:rFonts w:hint="eastAsia"/>
          <w:color w:val="000000" w:themeColor="text1"/>
        </w:rPr>
        <w:t>其他说明，包括对现金流量套期损益的有效部分转为被套期项目初始确认金额调整：</w:t>
      </w:r>
    </w:p>
    <w:sdt>
      <w:sdtPr>
        <w:rPr>
          <w:rFonts w:hint="eastAsia"/>
          <w:color w:val="000000" w:themeColor="text1"/>
        </w:rPr>
        <w:alias w:val="综合收益情况"/>
        <w:tag w:val="_GBC_c389c92b3ef04746a88c157ed2e05698"/>
        <w:id w:val="-2008505713"/>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bookmarkEnd w:id="330"/>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专项储备</w:t>
      </w:r>
    </w:p>
    <w:sdt>
      <w:sdtPr>
        <w:rPr>
          <w:color w:val="000000" w:themeColor="text1"/>
        </w:rPr>
        <w:alias w:val="是否适用：专项储备[双击切换]"/>
        <w:tag w:val="_GBC_291ec3c1c38144a3ac0bde67edb318cc"/>
        <w:id w:val="-115745784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盈余公积</w:t>
      </w:r>
    </w:p>
    <w:sdt>
      <w:sdtPr>
        <w:rPr>
          <w:color w:val="000000" w:themeColor="text1"/>
        </w:rPr>
        <w:alias w:val="是否适用：盈余公积[双击切换]"/>
        <w:tag w:val="_GBC_52b9917fb423490bb32a9d6648a07db9"/>
        <w:id w:val="8889181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盈余公积"/>
          <w:tag w:val="_GBC_ea3204141ce3498eaccd14c833f64973"/>
          <w:id w:val="18180645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盈余公积"/>
          <w:tag w:val="_GBC_f5c6664d47b9454d919a38095dd3c48d"/>
          <w:id w:val="-4375305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8"/>
        <w:gridCol w:w="1783"/>
        <w:gridCol w:w="1790"/>
        <w:gridCol w:w="1803"/>
        <w:gridCol w:w="1789"/>
      </w:tblGrid>
      <w:tr w:rsidR="000C5659">
        <w:sdt>
          <w:sdtPr>
            <w:rPr>
              <w:color w:val="000000" w:themeColor="text1"/>
            </w:rPr>
            <w:tag w:val="_PLD_70f0cea3df9b4646bf8f9454719b4599"/>
            <w:id w:val="-861892371"/>
          </w:sdtPr>
          <w:sdtEndPr/>
          <w:sdtContent>
            <w:tc>
              <w:tcPr>
                <w:tcW w:w="939" w:type="pct"/>
              </w:tcPr>
              <w:p w:rsidR="000C5659" w:rsidRDefault="000E33C4">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5466d5e3c2b64aeb9abc2e1a21f2e6c0"/>
            <w:id w:val="889453623"/>
          </w:sdtPr>
          <w:sdtEndPr/>
          <w:sdtContent>
            <w:tc>
              <w:tcPr>
                <w:tcW w:w="1010" w:type="pct"/>
              </w:tcPr>
              <w:p w:rsidR="000C5659" w:rsidRDefault="000E33C4">
                <w:pPr>
                  <w:autoSpaceDE w:val="0"/>
                  <w:autoSpaceDN w:val="0"/>
                  <w:adjustRightInd w:val="0"/>
                  <w:snapToGrid w:val="0"/>
                  <w:jc w:val="center"/>
                  <w:rPr>
                    <w:color w:val="000000" w:themeColor="text1"/>
                  </w:rPr>
                </w:pPr>
                <w:r>
                  <w:rPr>
                    <w:rFonts w:hint="eastAsia"/>
                    <w:color w:val="000000" w:themeColor="text1"/>
                  </w:rPr>
                  <w:t>期初余额</w:t>
                </w:r>
              </w:p>
            </w:tc>
          </w:sdtContent>
        </w:sdt>
        <w:sdt>
          <w:sdtPr>
            <w:rPr>
              <w:color w:val="000000" w:themeColor="text1"/>
            </w:rPr>
            <w:tag w:val="_PLD_44b0c825c55949b98cff671f8777dd39"/>
            <w:id w:val="648872963"/>
          </w:sdtPr>
          <w:sdtEndPr/>
          <w:sdtContent>
            <w:tc>
              <w:tcPr>
                <w:tcW w:w="1014" w:type="pct"/>
              </w:tcPr>
              <w:p w:rsidR="000C5659" w:rsidRDefault="000E33C4">
                <w:pPr>
                  <w:autoSpaceDE w:val="0"/>
                  <w:autoSpaceDN w:val="0"/>
                  <w:adjustRightInd w:val="0"/>
                  <w:snapToGrid w:val="0"/>
                  <w:jc w:val="center"/>
                  <w:rPr>
                    <w:color w:val="000000" w:themeColor="text1"/>
                  </w:rPr>
                </w:pPr>
                <w:r>
                  <w:rPr>
                    <w:rFonts w:hint="eastAsia"/>
                    <w:color w:val="000000" w:themeColor="text1"/>
                  </w:rPr>
                  <w:t>本期增加</w:t>
                </w:r>
              </w:p>
            </w:tc>
          </w:sdtContent>
        </w:sdt>
        <w:sdt>
          <w:sdtPr>
            <w:rPr>
              <w:color w:val="000000" w:themeColor="text1"/>
            </w:rPr>
            <w:tag w:val="_PLD_111b02bee52f4f1a879468aa2243106f"/>
            <w:id w:val="834034253"/>
          </w:sdtPr>
          <w:sdtEndPr/>
          <w:sdtContent>
            <w:tc>
              <w:tcPr>
                <w:tcW w:w="1021" w:type="pct"/>
              </w:tcPr>
              <w:p w:rsidR="000C5659" w:rsidRDefault="000E33C4">
                <w:pPr>
                  <w:autoSpaceDE w:val="0"/>
                  <w:autoSpaceDN w:val="0"/>
                  <w:adjustRightInd w:val="0"/>
                  <w:snapToGrid w:val="0"/>
                  <w:jc w:val="center"/>
                  <w:rPr>
                    <w:color w:val="000000" w:themeColor="text1"/>
                  </w:rPr>
                </w:pPr>
                <w:r>
                  <w:rPr>
                    <w:rFonts w:hint="eastAsia"/>
                    <w:color w:val="000000" w:themeColor="text1"/>
                  </w:rPr>
                  <w:t>本期减少</w:t>
                </w:r>
              </w:p>
            </w:tc>
          </w:sdtContent>
        </w:sdt>
        <w:sdt>
          <w:sdtPr>
            <w:rPr>
              <w:color w:val="000000" w:themeColor="text1"/>
            </w:rPr>
            <w:tag w:val="_PLD_e6d9dff1341d44c99d9c3f51d8fd2c2f"/>
            <w:id w:val="-1703003110"/>
          </w:sdtPr>
          <w:sdtEndPr/>
          <w:sdtContent>
            <w:tc>
              <w:tcPr>
                <w:tcW w:w="1014" w:type="pct"/>
              </w:tcPr>
              <w:p w:rsidR="000C5659" w:rsidRDefault="000E33C4">
                <w:pPr>
                  <w:autoSpaceDE w:val="0"/>
                  <w:autoSpaceDN w:val="0"/>
                  <w:adjustRightInd w:val="0"/>
                  <w:snapToGrid w:val="0"/>
                  <w:jc w:val="center"/>
                  <w:rPr>
                    <w:color w:val="000000" w:themeColor="text1"/>
                  </w:rPr>
                </w:pPr>
                <w:r>
                  <w:rPr>
                    <w:rFonts w:hint="eastAsia"/>
                    <w:color w:val="000000" w:themeColor="text1"/>
                  </w:rPr>
                  <w:t>期末余额</w:t>
                </w:r>
              </w:p>
            </w:tc>
          </w:sdtContent>
        </w:sdt>
      </w:tr>
      <w:tr w:rsidR="000C5659">
        <w:tc>
          <w:tcPr>
            <w:tcW w:w="939" w:type="pct"/>
            <w:shd w:val="clear" w:color="auto" w:fill="auto"/>
            <w:vAlign w:val="center"/>
          </w:tcPr>
          <w:p w:rsidR="000C5659" w:rsidRDefault="000E33C4">
            <w:pPr>
              <w:autoSpaceDE w:val="0"/>
              <w:autoSpaceDN w:val="0"/>
              <w:adjustRightInd w:val="0"/>
              <w:snapToGrid w:val="0"/>
              <w:jc w:val="both"/>
              <w:rPr>
                <w:color w:val="000000" w:themeColor="text1"/>
              </w:rPr>
            </w:pPr>
            <w:r>
              <w:rPr>
                <w:rFonts w:hint="eastAsia"/>
                <w:color w:val="000000" w:themeColor="text1"/>
              </w:rPr>
              <w:t>法定盈余公积</w:t>
            </w:r>
          </w:p>
        </w:tc>
        <w:tc>
          <w:tcPr>
            <w:tcW w:w="1010" w:type="pct"/>
            <w:shd w:val="clear" w:color="auto" w:fill="auto"/>
          </w:tcPr>
          <w:p w:rsidR="000C5659" w:rsidRDefault="000E33C4">
            <w:pPr>
              <w:autoSpaceDE w:val="0"/>
              <w:autoSpaceDN w:val="0"/>
              <w:adjustRightInd w:val="0"/>
              <w:snapToGrid w:val="0"/>
              <w:ind w:right="180"/>
              <w:jc w:val="right"/>
            </w:pPr>
            <w:r>
              <w:rPr>
                <w:rFonts w:hint="eastAsia"/>
                <w:szCs w:val="18"/>
              </w:rPr>
              <w:t>46,282,190.67</w:t>
            </w:r>
          </w:p>
        </w:tc>
        <w:tc>
          <w:tcPr>
            <w:tcW w:w="1014" w:type="pct"/>
            <w:shd w:val="clear" w:color="auto" w:fill="auto"/>
          </w:tcPr>
          <w:p w:rsidR="000C5659" w:rsidRDefault="000C5659">
            <w:pPr>
              <w:autoSpaceDE w:val="0"/>
              <w:autoSpaceDN w:val="0"/>
              <w:adjustRightInd w:val="0"/>
              <w:snapToGrid w:val="0"/>
              <w:ind w:right="180"/>
              <w:jc w:val="right"/>
            </w:pPr>
          </w:p>
        </w:tc>
        <w:tc>
          <w:tcPr>
            <w:tcW w:w="1021" w:type="pct"/>
            <w:shd w:val="clear" w:color="auto" w:fill="auto"/>
          </w:tcPr>
          <w:p w:rsidR="000C5659" w:rsidRDefault="000C5659">
            <w:pPr>
              <w:autoSpaceDE w:val="0"/>
              <w:autoSpaceDN w:val="0"/>
              <w:adjustRightInd w:val="0"/>
              <w:snapToGrid w:val="0"/>
              <w:ind w:right="180"/>
              <w:jc w:val="right"/>
            </w:pPr>
          </w:p>
        </w:tc>
        <w:tc>
          <w:tcPr>
            <w:tcW w:w="1014" w:type="pct"/>
            <w:shd w:val="clear" w:color="auto" w:fill="auto"/>
          </w:tcPr>
          <w:p w:rsidR="000C5659" w:rsidRDefault="000E33C4">
            <w:pPr>
              <w:autoSpaceDE w:val="0"/>
              <w:autoSpaceDN w:val="0"/>
              <w:adjustRightInd w:val="0"/>
              <w:snapToGrid w:val="0"/>
              <w:ind w:right="180"/>
              <w:jc w:val="right"/>
            </w:pPr>
            <w:r>
              <w:rPr>
                <w:rFonts w:hint="eastAsia"/>
                <w:szCs w:val="18"/>
              </w:rPr>
              <w:t>46,282,190.67</w:t>
            </w:r>
          </w:p>
        </w:tc>
      </w:tr>
      <w:tr w:rsidR="000C5659">
        <w:tc>
          <w:tcPr>
            <w:tcW w:w="939" w:type="pct"/>
          </w:tcPr>
          <w:p w:rsidR="000C5659" w:rsidRDefault="000E33C4">
            <w:pPr>
              <w:autoSpaceDE w:val="0"/>
              <w:autoSpaceDN w:val="0"/>
              <w:adjustRightInd w:val="0"/>
              <w:snapToGrid w:val="0"/>
              <w:jc w:val="center"/>
              <w:rPr>
                <w:color w:val="000000" w:themeColor="text1"/>
              </w:rPr>
            </w:pPr>
            <w:r>
              <w:rPr>
                <w:rFonts w:hint="eastAsia"/>
                <w:color w:val="000000" w:themeColor="text1"/>
              </w:rPr>
              <w:t>合计</w:t>
            </w:r>
          </w:p>
        </w:tc>
        <w:tc>
          <w:tcPr>
            <w:tcW w:w="1010" w:type="pct"/>
          </w:tcPr>
          <w:p w:rsidR="000C5659" w:rsidRDefault="000E33C4">
            <w:pPr>
              <w:autoSpaceDE w:val="0"/>
              <w:autoSpaceDN w:val="0"/>
              <w:adjustRightInd w:val="0"/>
              <w:snapToGrid w:val="0"/>
              <w:ind w:right="180"/>
              <w:jc w:val="right"/>
            </w:pPr>
            <w:r>
              <w:rPr>
                <w:rFonts w:hint="eastAsia"/>
              </w:rPr>
              <w:t>46,282,190.67</w:t>
            </w:r>
          </w:p>
        </w:tc>
        <w:tc>
          <w:tcPr>
            <w:tcW w:w="1014" w:type="pct"/>
          </w:tcPr>
          <w:p w:rsidR="000C5659" w:rsidRDefault="000C5659">
            <w:pPr>
              <w:autoSpaceDE w:val="0"/>
              <w:autoSpaceDN w:val="0"/>
              <w:adjustRightInd w:val="0"/>
              <w:snapToGrid w:val="0"/>
              <w:ind w:right="180"/>
              <w:jc w:val="right"/>
            </w:pPr>
          </w:p>
        </w:tc>
        <w:tc>
          <w:tcPr>
            <w:tcW w:w="1021" w:type="pct"/>
          </w:tcPr>
          <w:p w:rsidR="000C5659" w:rsidRDefault="000C5659">
            <w:pPr>
              <w:autoSpaceDE w:val="0"/>
              <w:autoSpaceDN w:val="0"/>
              <w:adjustRightInd w:val="0"/>
              <w:snapToGrid w:val="0"/>
              <w:ind w:right="180"/>
              <w:jc w:val="right"/>
            </w:pPr>
          </w:p>
        </w:tc>
        <w:tc>
          <w:tcPr>
            <w:tcW w:w="1014" w:type="pct"/>
          </w:tcPr>
          <w:p w:rsidR="000C5659" w:rsidRDefault="000E33C4">
            <w:pPr>
              <w:autoSpaceDE w:val="0"/>
              <w:autoSpaceDN w:val="0"/>
              <w:adjustRightInd w:val="0"/>
              <w:snapToGrid w:val="0"/>
              <w:ind w:right="180"/>
              <w:jc w:val="right"/>
            </w:pPr>
            <w:r>
              <w:rPr>
                <w:rFonts w:hint="eastAsia"/>
                <w:szCs w:val="18"/>
              </w:rPr>
              <w:t>46,282,190.67</w:t>
            </w:r>
          </w:p>
        </w:tc>
      </w:tr>
    </w:tbl>
    <w:p w:rsidR="000C5659" w:rsidRDefault="000E33C4">
      <w:pPr>
        <w:spacing w:before="60" w:after="60"/>
        <w:rPr>
          <w:color w:val="000000" w:themeColor="text1"/>
        </w:rPr>
      </w:pPr>
      <w:r>
        <w:rPr>
          <w:rFonts w:hint="eastAsia"/>
          <w:color w:val="000000" w:themeColor="text1"/>
        </w:rPr>
        <w:t>盈余公积说明，包括本期增减变动情况、变动原因说明：</w:t>
      </w:r>
    </w:p>
    <w:sdt>
      <w:sdtPr>
        <w:rPr>
          <w:color w:val="000000" w:themeColor="text1"/>
        </w:rPr>
        <w:alias w:val="盈余公积说明"/>
        <w:tag w:val="_GBC_33c5d1ed862f4b36950b5ea2188f5b09"/>
        <w:id w:val="292797277"/>
        <w:placeholder>
          <w:docPart w:val="GBC22222222222222222222222222222"/>
        </w:placeholder>
      </w:sdtPr>
      <w:sdtEndPr/>
      <w:sdtContent>
        <w:p w:rsidR="000C5659" w:rsidRDefault="000E33C4">
          <w:pPr>
            <w:autoSpaceDE w:val="0"/>
            <w:autoSpaceDN w:val="0"/>
            <w:adjustRightInd w:val="0"/>
            <w:rPr>
              <w:color w:val="000000" w:themeColor="text1"/>
            </w:rPr>
          </w:pPr>
          <w:r>
            <w:rPr>
              <w:rFonts w:hint="eastAsia"/>
              <w:color w:val="000000" w:themeColor="text1"/>
            </w:rPr>
            <w:t>无</w:t>
          </w:r>
        </w:p>
      </w:sdtContent>
    </w:sdt>
    <w:p w:rsidR="000C5659" w:rsidRDefault="000E33C4" w:rsidP="000743DD">
      <w:pPr>
        <w:pStyle w:val="35"/>
        <w:numPr>
          <w:ilvl w:val="0"/>
          <w:numId w:val="50"/>
        </w:numPr>
        <w:rPr>
          <w:color w:val="000000" w:themeColor="text1"/>
          <w:szCs w:val="21"/>
        </w:rPr>
      </w:pPr>
      <w:r>
        <w:rPr>
          <w:color w:val="000000" w:themeColor="text1"/>
          <w:szCs w:val="21"/>
        </w:rPr>
        <w:t>未分配利润</w:t>
      </w:r>
    </w:p>
    <w:p w:rsidR="000C5659" w:rsidRDefault="00220B84">
      <w:pPr>
        <w:rPr>
          <w:color w:val="000000" w:themeColor="text1"/>
        </w:rPr>
      </w:pPr>
      <w:sdt>
        <w:sdtPr>
          <w:rPr>
            <w:color w:val="000000" w:themeColor="text1"/>
          </w:rPr>
          <w:alias w:val="是否适用：未分配利润[双击切换]"/>
          <w:tag w:val="_GBC_32c558bdbb77445cabeee783e5ff910e"/>
          <w:id w:val="1439562153"/>
          <w:lock w:val="contentLocked"/>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未分配利润"/>
          <w:tag w:val="_GBC_cfb07ff3eded4b49916cfc42d821bab6"/>
          <w:id w:val="10958308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未分配利润"/>
          <w:tag w:val="_GBC_55c70fe731be4b84be72ea88afd989b8"/>
          <w:id w:val="-11033344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754"/>
        <w:gridCol w:w="2668"/>
      </w:tblGrid>
      <w:tr w:rsidR="000C5659">
        <w:trPr>
          <w:cantSplit/>
        </w:trPr>
        <w:sdt>
          <w:sdtPr>
            <w:rPr>
              <w:color w:val="000000" w:themeColor="text1"/>
            </w:rPr>
            <w:tag w:val="_PLD_b6dc2bd7eebb4e6d9f1ccea8d86e6f47"/>
            <w:id w:val="993922822"/>
          </w:sdtPr>
          <w:sdtEndPr/>
          <w:sdtContent>
            <w:tc>
              <w:tcPr>
                <w:tcW w:w="1927" w:type="pct"/>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6e60054e3c3747d1a0ffc87edacae2b6"/>
            <w:id w:val="-1320032874"/>
          </w:sdtPr>
          <w:sdtEndPr/>
          <w:sdtContent>
            <w:tc>
              <w:tcPr>
                <w:tcW w:w="1560" w:type="pct"/>
                <w:vAlign w:val="center"/>
              </w:tcPr>
              <w:p w:rsidR="000C5659" w:rsidRDefault="000E33C4">
                <w:pPr>
                  <w:jc w:val="center"/>
                  <w:rPr>
                    <w:color w:val="000000" w:themeColor="text1"/>
                  </w:rPr>
                </w:pPr>
                <w:r>
                  <w:rPr>
                    <w:rFonts w:hint="eastAsia"/>
                    <w:color w:val="000000" w:themeColor="text1"/>
                  </w:rPr>
                  <w:t>本期</w:t>
                </w:r>
              </w:p>
            </w:tc>
          </w:sdtContent>
        </w:sdt>
        <w:sdt>
          <w:sdtPr>
            <w:rPr>
              <w:color w:val="000000" w:themeColor="text1"/>
            </w:rPr>
            <w:tag w:val="_PLD_9afd54e9959d4b22b00bfe92596a2a16"/>
            <w:id w:val="481825926"/>
          </w:sdtPr>
          <w:sdtEndPr/>
          <w:sdtContent>
            <w:tc>
              <w:tcPr>
                <w:tcW w:w="1512" w:type="pct"/>
                <w:vAlign w:val="center"/>
              </w:tcPr>
              <w:p w:rsidR="000C5659" w:rsidRDefault="000E33C4">
                <w:pPr>
                  <w:jc w:val="center"/>
                  <w:rPr>
                    <w:color w:val="000000" w:themeColor="text1"/>
                  </w:rPr>
                </w:pPr>
                <w:r>
                  <w:rPr>
                    <w:rFonts w:hint="eastAsia"/>
                    <w:color w:val="000000" w:themeColor="text1"/>
                  </w:rPr>
                  <w:t>上年度</w:t>
                </w:r>
              </w:p>
            </w:tc>
          </w:sdtContent>
        </w:sdt>
      </w:tr>
      <w:tr w:rsidR="000C5659">
        <w:trPr>
          <w:cantSplit/>
        </w:trPr>
        <w:tc>
          <w:tcPr>
            <w:tcW w:w="1927" w:type="pct"/>
          </w:tcPr>
          <w:p w:rsidR="000C5659" w:rsidRDefault="000E33C4">
            <w:pPr>
              <w:rPr>
                <w:color w:val="000000" w:themeColor="text1"/>
              </w:rPr>
            </w:pPr>
            <w:r>
              <w:rPr>
                <w:rFonts w:hint="eastAsia"/>
                <w:color w:val="000000" w:themeColor="text1"/>
              </w:rPr>
              <w:t>调整前上期末未分配利润</w:t>
            </w:r>
          </w:p>
        </w:tc>
        <w:tc>
          <w:tcPr>
            <w:tcW w:w="1560" w:type="pct"/>
          </w:tcPr>
          <w:p w:rsidR="000C5659" w:rsidRDefault="000C5659">
            <w:pPr>
              <w:ind w:right="6"/>
              <w:jc w:val="right"/>
            </w:pPr>
          </w:p>
        </w:tc>
        <w:tc>
          <w:tcPr>
            <w:tcW w:w="1512" w:type="pct"/>
          </w:tcPr>
          <w:p w:rsidR="000C5659" w:rsidRDefault="000C5659">
            <w:pPr>
              <w:jc w:val="right"/>
            </w:pPr>
          </w:p>
        </w:tc>
      </w:tr>
      <w:tr w:rsidR="000C5659">
        <w:trPr>
          <w:cantSplit/>
        </w:trPr>
        <w:tc>
          <w:tcPr>
            <w:tcW w:w="1927" w:type="pct"/>
          </w:tcPr>
          <w:p w:rsidR="000C5659" w:rsidRDefault="000E33C4">
            <w:pPr>
              <w:rPr>
                <w:color w:val="000000" w:themeColor="text1"/>
              </w:rPr>
            </w:pPr>
            <w:r>
              <w:rPr>
                <w:rFonts w:hint="eastAsia"/>
                <w:color w:val="000000" w:themeColor="text1"/>
              </w:rPr>
              <w:t>调整期初未分配利润合计数（调增</w:t>
            </w:r>
            <w:r>
              <w:rPr>
                <w:color w:val="000000" w:themeColor="text1"/>
              </w:rPr>
              <w:t>+</w:t>
            </w:r>
            <w:r>
              <w:rPr>
                <w:rFonts w:hint="eastAsia"/>
                <w:color w:val="000000" w:themeColor="text1"/>
              </w:rPr>
              <w:t>，调减－）</w:t>
            </w:r>
          </w:p>
        </w:tc>
        <w:tc>
          <w:tcPr>
            <w:tcW w:w="1560" w:type="pct"/>
          </w:tcPr>
          <w:p w:rsidR="000C5659" w:rsidRDefault="000C5659">
            <w:pPr>
              <w:ind w:right="6"/>
              <w:jc w:val="right"/>
            </w:pPr>
          </w:p>
        </w:tc>
        <w:tc>
          <w:tcPr>
            <w:tcW w:w="1512" w:type="pct"/>
          </w:tcPr>
          <w:p w:rsidR="000C5659" w:rsidRDefault="000C5659">
            <w:pPr>
              <w:ind w:right="6"/>
              <w:jc w:val="right"/>
            </w:pPr>
          </w:p>
        </w:tc>
      </w:tr>
      <w:tr w:rsidR="000C5659">
        <w:trPr>
          <w:cantSplit/>
        </w:trPr>
        <w:tc>
          <w:tcPr>
            <w:tcW w:w="1927" w:type="pct"/>
          </w:tcPr>
          <w:p w:rsidR="000C5659" w:rsidRDefault="000E33C4">
            <w:pPr>
              <w:rPr>
                <w:color w:val="000000" w:themeColor="text1"/>
              </w:rPr>
            </w:pPr>
            <w:r>
              <w:rPr>
                <w:rFonts w:hint="eastAsia"/>
                <w:color w:val="000000" w:themeColor="text1"/>
              </w:rPr>
              <w:t>调整后期初未分配利润</w:t>
            </w:r>
          </w:p>
        </w:tc>
        <w:tc>
          <w:tcPr>
            <w:tcW w:w="1560" w:type="pct"/>
          </w:tcPr>
          <w:p w:rsidR="000C5659" w:rsidRDefault="000E33C4">
            <w:pPr>
              <w:ind w:right="6"/>
              <w:jc w:val="right"/>
            </w:pPr>
            <w:r>
              <w:rPr>
                <w:szCs w:val="18"/>
              </w:rPr>
              <w:t>579,090,712.40</w:t>
            </w:r>
          </w:p>
        </w:tc>
        <w:tc>
          <w:tcPr>
            <w:tcW w:w="1512" w:type="pct"/>
          </w:tcPr>
          <w:p w:rsidR="000C5659" w:rsidRDefault="000E33C4">
            <w:pPr>
              <w:ind w:right="6"/>
              <w:jc w:val="right"/>
            </w:pPr>
            <w:r>
              <w:t>505,522,580.19</w:t>
            </w:r>
          </w:p>
        </w:tc>
      </w:tr>
      <w:tr w:rsidR="000C5659">
        <w:trPr>
          <w:cantSplit/>
        </w:trPr>
        <w:tc>
          <w:tcPr>
            <w:tcW w:w="1927" w:type="pct"/>
          </w:tcPr>
          <w:p w:rsidR="000C5659" w:rsidRDefault="000E33C4">
            <w:pPr>
              <w:ind w:right="6"/>
              <w:rPr>
                <w:color w:val="000000" w:themeColor="text1"/>
              </w:rPr>
            </w:pPr>
            <w:r>
              <w:rPr>
                <w:rFonts w:hint="eastAsia"/>
                <w:color w:val="000000" w:themeColor="text1"/>
              </w:rPr>
              <w:t>加：本期归属于母公司所有者的净利润</w:t>
            </w:r>
          </w:p>
        </w:tc>
        <w:tc>
          <w:tcPr>
            <w:tcW w:w="1560" w:type="pct"/>
          </w:tcPr>
          <w:p w:rsidR="000C5659" w:rsidRDefault="000E33C4">
            <w:pPr>
              <w:ind w:right="6"/>
              <w:jc w:val="right"/>
            </w:pPr>
            <w:r>
              <w:rPr>
                <w:rFonts w:hint="eastAsia"/>
              </w:rPr>
              <w:t>33,142,878.09</w:t>
            </w:r>
          </w:p>
        </w:tc>
        <w:tc>
          <w:tcPr>
            <w:tcW w:w="1512" w:type="pct"/>
          </w:tcPr>
          <w:p w:rsidR="000C5659" w:rsidRDefault="000E33C4">
            <w:pPr>
              <w:ind w:right="6"/>
              <w:jc w:val="right"/>
            </w:pPr>
            <w:r>
              <w:t>92,513,769.88</w:t>
            </w:r>
          </w:p>
        </w:tc>
      </w:tr>
      <w:tr w:rsidR="000C5659">
        <w:trPr>
          <w:cantSplit/>
        </w:trPr>
        <w:tc>
          <w:tcPr>
            <w:tcW w:w="1927" w:type="pct"/>
          </w:tcPr>
          <w:p w:rsidR="000C5659" w:rsidRDefault="000E33C4">
            <w:pPr>
              <w:autoSpaceDE w:val="0"/>
              <w:autoSpaceDN w:val="0"/>
              <w:adjustRightInd w:val="0"/>
              <w:rPr>
                <w:color w:val="000000" w:themeColor="text1"/>
              </w:rPr>
            </w:pPr>
            <w:r>
              <w:rPr>
                <w:rFonts w:hint="eastAsia"/>
                <w:color w:val="000000" w:themeColor="text1"/>
              </w:rPr>
              <w:t>减：提取法定盈余公积</w:t>
            </w:r>
          </w:p>
        </w:tc>
        <w:tc>
          <w:tcPr>
            <w:tcW w:w="1560" w:type="pct"/>
          </w:tcPr>
          <w:p w:rsidR="000C5659" w:rsidRDefault="000C5659">
            <w:pPr>
              <w:jc w:val="right"/>
            </w:pPr>
          </w:p>
        </w:tc>
        <w:tc>
          <w:tcPr>
            <w:tcW w:w="1512" w:type="pct"/>
          </w:tcPr>
          <w:p w:rsidR="000C5659" w:rsidRDefault="000E33C4">
            <w:pPr>
              <w:ind w:right="6"/>
              <w:jc w:val="right"/>
            </w:pPr>
            <w:r>
              <w:t>926,316.47</w:t>
            </w:r>
          </w:p>
        </w:tc>
      </w:tr>
      <w:tr w:rsidR="000C5659">
        <w:trPr>
          <w:cantSplit/>
        </w:trPr>
        <w:tc>
          <w:tcPr>
            <w:tcW w:w="1927" w:type="pct"/>
          </w:tcPr>
          <w:p w:rsidR="000C5659" w:rsidRDefault="000E33C4">
            <w:pPr>
              <w:autoSpaceDE w:val="0"/>
              <w:autoSpaceDN w:val="0"/>
              <w:adjustRightInd w:val="0"/>
              <w:ind w:firstLine="420"/>
              <w:rPr>
                <w:color w:val="000000" w:themeColor="text1"/>
              </w:rPr>
            </w:pPr>
            <w:r>
              <w:rPr>
                <w:rFonts w:hint="eastAsia"/>
                <w:color w:val="000000" w:themeColor="text1"/>
              </w:rPr>
              <w:t>提取任意盈余公积</w:t>
            </w:r>
          </w:p>
        </w:tc>
        <w:tc>
          <w:tcPr>
            <w:tcW w:w="1560" w:type="pct"/>
          </w:tcPr>
          <w:p w:rsidR="000C5659" w:rsidRDefault="000C5659">
            <w:pPr>
              <w:jc w:val="right"/>
            </w:pPr>
          </w:p>
        </w:tc>
        <w:tc>
          <w:tcPr>
            <w:tcW w:w="1512" w:type="pct"/>
          </w:tcPr>
          <w:p w:rsidR="000C5659" w:rsidRDefault="000C5659">
            <w:pPr>
              <w:ind w:right="6"/>
              <w:jc w:val="right"/>
            </w:pPr>
          </w:p>
        </w:tc>
      </w:tr>
      <w:tr w:rsidR="000C5659">
        <w:trPr>
          <w:cantSplit/>
        </w:trPr>
        <w:tc>
          <w:tcPr>
            <w:tcW w:w="1927" w:type="pct"/>
          </w:tcPr>
          <w:p w:rsidR="000C5659" w:rsidRDefault="000E33C4">
            <w:pPr>
              <w:autoSpaceDE w:val="0"/>
              <w:autoSpaceDN w:val="0"/>
              <w:adjustRightInd w:val="0"/>
              <w:ind w:firstLine="420"/>
              <w:rPr>
                <w:color w:val="000000" w:themeColor="text1"/>
              </w:rPr>
            </w:pPr>
            <w:r>
              <w:rPr>
                <w:rFonts w:hint="eastAsia"/>
                <w:color w:val="000000" w:themeColor="text1"/>
              </w:rPr>
              <w:t>提取一般风险准备</w:t>
            </w:r>
          </w:p>
        </w:tc>
        <w:tc>
          <w:tcPr>
            <w:tcW w:w="1560" w:type="pct"/>
          </w:tcPr>
          <w:p w:rsidR="000C5659" w:rsidRDefault="000C5659">
            <w:pPr>
              <w:jc w:val="right"/>
            </w:pPr>
          </w:p>
        </w:tc>
        <w:tc>
          <w:tcPr>
            <w:tcW w:w="1512" w:type="pct"/>
          </w:tcPr>
          <w:p w:rsidR="000C5659" w:rsidRDefault="000C5659">
            <w:pPr>
              <w:ind w:right="6"/>
              <w:jc w:val="right"/>
            </w:pPr>
          </w:p>
        </w:tc>
      </w:tr>
      <w:tr w:rsidR="000C5659">
        <w:trPr>
          <w:cantSplit/>
        </w:trPr>
        <w:tc>
          <w:tcPr>
            <w:tcW w:w="1927" w:type="pct"/>
          </w:tcPr>
          <w:p w:rsidR="000C5659" w:rsidRDefault="000E33C4">
            <w:pPr>
              <w:autoSpaceDE w:val="0"/>
              <w:autoSpaceDN w:val="0"/>
              <w:adjustRightInd w:val="0"/>
              <w:ind w:firstLine="420"/>
              <w:rPr>
                <w:color w:val="000000" w:themeColor="text1"/>
              </w:rPr>
            </w:pPr>
            <w:r>
              <w:rPr>
                <w:rFonts w:hint="eastAsia"/>
                <w:color w:val="000000" w:themeColor="text1"/>
              </w:rPr>
              <w:t>应付普通股股利</w:t>
            </w:r>
          </w:p>
        </w:tc>
        <w:tc>
          <w:tcPr>
            <w:tcW w:w="1560" w:type="pct"/>
          </w:tcPr>
          <w:p w:rsidR="000C5659" w:rsidRDefault="000E33C4">
            <w:pPr>
              <w:jc w:val="right"/>
            </w:pPr>
            <w:r>
              <w:rPr>
                <w:rFonts w:hint="eastAsia"/>
              </w:rPr>
              <w:t>20,089,740.00</w:t>
            </w:r>
          </w:p>
        </w:tc>
        <w:tc>
          <w:tcPr>
            <w:tcW w:w="1512" w:type="pct"/>
          </w:tcPr>
          <w:p w:rsidR="000C5659" w:rsidRDefault="000E33C4">
            <w:pPr>
              <w:ind w:right="6"/>
              <w:jc w:val="right"/>
            </w:pPr>
            <w:r>
              <w:t>18,019,321.20</w:t>
            </w:r>
          </w:p>
        </w:tc>
      </w:tr>
      <w:tr w:rsidR="000C5659">
        <w:trPr>
          <w:cantSplit/>
        </w:trPr>
        <w:tc>
          <w:tcPr>
            <w:tcW w:w="1927" w:type="pct"/>
          </w:tcPr>
          <w:p w:rsidR="000C5659" w:rsidRDefault="000E33C4">
            <w:pPr>
              <w:autoSpaceDE w:val="0"/>
              <w:autoSpaceDN w:val="0"/>
              <w:adjustRightInd w:val="0"/>
              <w:ind w:firstLine="420"/>
              <w:rPr>
                <w:color w:val="000000" w:themeColor="text1"/>
              </w:rPr>
            </w:pPr>
            <w:r>
              <w:rPr>
                <w:rFonts w:hint="eastAsia"/>
                <w:color w:val="000000" w:themeColor="text1"/>
              </w:rPr>
              <w:t>转作股本的普通股股利</w:t>
            </w:r>
          </w:p>
        </w:tc>
        <w:tc>
          <w:tcPr>
            <w:tcW w:w="1560" w:type="pct"/>
          </w:tcPr>
          <w:p w:rsidR="000C5659" w:rsidRDefault="000C5659">
            <w:pPr>
              <w:jc w:val="right"/>
            </w:pPr>
          </w:p>
        </w:tc>
        <w:tc>
          <w:tcPr>
            <w:tcW w:w="1512" w:type="pct"/>
          </w:tcPr>
          <w:p w:rsidR="000C5659" w:rsidRDefault="000C5659">
            <w:pPr>
              <w:ind w:right="6"/>
              <w:jc w:val="right"/>
            </w:pPr>
          </w:p>
        </w:tc>
      </w:tr>
      <w:tr w:rsidR="000C5659">
        <w:trPr>
          <w:cantSplit/>
        </w:trPr>
        <w:tc>
          <w:tcPr>
            <w:tcW w:w="1927" w:type="pct"/>
          </w:tcPr>
          <w:p w:rsidR="000C5659" w:rsidRDefault="000E33C4">
            <w:pPr>
              <w:autoSpaceDE w:val="0"/>
              <w:autoSpaceDN w:val="0"/>
              <w:adjustRightInd w:val="0"/>
              <w:rPr>
                <w:color w:val="000000" w:themeColor="text1"/>
              </w:rPr>
            </w:pPr>
            <w:r>
              <w:rPr>
                <w:rFonts w:hint="eastAsia"/>
                <w:color w:val="000000" w:themeColor="text1"/>
              </w:rPr>
              <w:t>期末未分配利润</w:t>
            </w:r>
          </w:p>
        </w:tc>
        <w:tc>
          <w:tcPr>
            <w:tcW w:w="1560" w:type="pct"/>
          </w:tcPr>
          <w:p w:rsidR="000C5659" w:rsidRDefault="000E33C4">
            <w:pPr>
              <w:jc w:val="right"/>
            </w:pPr>
            <w:r>
              <w:rPr>
                <w:rFonts w:hint="eastAsia"/>
              </w:rPr>
              <w:t>592,143,850.49</w:t>
            </w:r>
          </w:p>
        </w:tc>
        <w:tc>
          <w:tcPr>
            <w:tcW w:w="1512" w:type="pct"/>
          </w:tcPr>
          <w:p w:rsidR="000C5659" w:rsidRDefault="000E33C4">
            <w:pPr>
              <w:ind w:right="6"/>
              <w:jc w:val="right"/>
            </w:pPr>
            <w:r>
              <w:rPr>
                <w:szCs w:val="18"/>
              </w:rPr>
              <w:t>579,090,712.40</w:t>
            </w:r>
          </w:p>
        </w:tc>
      </w:tr>
    </w:tbl>
    <w:p w:rsidR="000C5659" w:rsidRDefault="000C5659">
      <w:pPr>
        <w:pStyle w:val="Style325"/>
      </w:pPr>
    </w:p>
    <w:p w:rsidR="000C5659" w:rsidRDefault="000E33C4">
      <w:pPr>
        <w:spacing w:before="60" w:after="60"/>
        <w:rPr>
          <w:color w:val="000000" w:themeColor="text1"/>
        </w:rPr>
      </w:pPr>
      <w:r>
        <w:rPr>
          <w:rFonts w:hint="eastAsia"/>
          <w:color w:val="000000" w:themeColor="text1"/>
        </w:rPr>
        <w:t>调整期初未分配利润明细：</w:t>
      </w:r>
    </w:p>
    <w:p w:rsidR="000C5659" w:rsidRDefault="000E33C4">
      <w:pPr>
        <w:rPr>
          <w:color w:val="000000" w:themeColor="text1"/>
        </w:rPr>
      </w:pPr>
      <w:r>
        <w:rPr>
          <w:rFonts w:hint="eastAsia"/>
          <w:color w:val="000000" w:themeColor="text1"/>
        </w:rPr>
        <w:t>1、由于《企业会计准则》及其相关新规定进行追溯调整，影响期初未分配利润</w:t>
      </w:r>
      <w:sdt>
        <w:sdtPr>
          <w:rPr>
            <w:rFonts w:hint="eastAsia"/>
            <w:color w:val="000000" w:themeColor="text1"/>
          </w:rPr>
          <w:alias w:val="依据《企业会计准则》及其相关规定进行追溯调整影响年初未分配利润合计"/>
          <w:tag w:val="_GBC_a54a245e74754754a6239606b5ebbb06"/>
          <w:id w:val="-1647882508"/>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元。</w:t>
      </w:r>
    </w:p>
    <w:p w:rsidR="000C5659" w:rsidRDefault="000E33C4">
      <w:pPr>
        <w:rPr>
          <w:color w:val="000000" w:themeColor="text1"/>
        </w:rPr>
      </w:pPr>
      <w:r>
        <w:rPr>
          <w:rFonts w:hint="eastAsia"/>
          <w:color w:val="000000" w:themeColor="text1"/>
        </w:rPr>
        <w:t>2、由于会计政策变更，影响期初未分配利润</w:t>
      </w:r>
      <w:sdt>
        <w:sdtPr>
          <w:rPr>
            <w:rFonts w:hint="eastAsia"/>
            <w:color w:val="000000" w:themeColor="text1"/>
          </w:rPr>
          <w:alias w:val="由于会计政策变更影响年初未分配利润"/>
          <w:tag w:val="_GBC_8295d6891c8842f58b58e4223b4e1700"/>
          <w:id w:val="874889440"/>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元。</w:t>
      </w:r>
    </w:p>
    <w:p w:rsidR="000C5659" w:rsidRDefault="000E33C4">
      <w:pPr>
        <w:rPr>
          <w:color w:val="000000" w:themeColor="text1"/>
        </w:rPr>
      </w:pPr>
      <w:r>
        <w:rPr>
          <w:rFonts w:hint="eastAsia"/>
          <w:color w:val="000000" w:themeColor="text1"/>
        </w:rPr>
        <w:t>3、由于重大会计差错更正，影响期初未分配利润</w:t>
      </w:r>
      <w:sdt>
        <w:sdtPr>
          <w:rPr>
            <w:rFonts w:hint="eastAsia"/>
            <w:color w:val="000000" w:themeColor="text1"/>
          </w:rPr>
          <w:alias w:val="由于重大会计差错更正影响年初未分配利润"/>
          <w:tag w:val="_GBC_34728ea6faff41218abab9b8fede268c"/>
          <w:id w:val="-1180272477"/>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元。</w:t>
      </w:r>
    </w:p>
    <w:p w:rsidR="000C5659" w:rsidRDefault="000E33C4">
      <w:pPr>
        <w:rPr>
          <w:color w:val="000000" w:themeColor="text1"/>
        </w:rPr>
      </w:pPr>
      <w:r>
        <w:rPr>
          <w:rFonts w:hint="eastAsia"/>
          <w:color w:val="000000" w:themeColor="text1"/>
        </w:rPr>
        <w:t>4、由于同一控制导致的合并范围变更，影响期初未分配利润</w:t>
      </w:r>
      <w:sdt>
        <w:sdtPr>
          <w:rPr>
            <w:rFonts w:hint="eastAsia"/>
            <w:color w:val="000000" w:themeColor="text1"/>
          </w:rPr>
          <w:alias w:val="同一控制导致的合并范围变更影响年初未分配利润"/>
          <w:tag w:val="_GBC_4d9b7a873cb94aba9044210a45f81108"/>
          <w:id w:val="1482272610"/>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元。</w:t>
      </w:r>
    </w:p>
    <w:p w:rsidR="000C5659" w:rsidRDefault="000E33C4">
      <w:pPr>
        <w:rPr>
          <w:color w:val="000000" w:themeColor="text1"/>
        </w:rPr>
      </w:pPr>
      <w:r>
        <w:rPr>
          <w:rFonts w:hint="eastAsia"/>
          <w:color w:val="000000" w:themeColor="text1"/>
        </w:rPr>
        <w:lastRenderedPageBreak/>
        <w:t>5、其他调整合计影响期初未分配利润</w:t>
      </w:r>
      <w:sdt>
        <w:sdtPr>
          <w:rPr>
            <w:rFonts w:hint="eastAsia"/>
            <w:color w:val="000000" w:themeColor="text1"/>
          </w:rPr>
          <w:alias w:val="其他调整合计影响年初未分配利润"/>
          <w:tag w:val="_GBC_ccd86b3788e04a70a2e6a2167027d7cb"/>
          <w:id w:val="-1339231174"/>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元。</w:t>
      </w:r>
    </w:p>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营业收入和营业成本</w:t>
      </w:r>
    </w:p>
    <w:p w:rsidR="000C5659" w:rsidRDefault="000E33C4" w:rsidP="000743DD">
      <w:pPr>
        <w:pStyle w:val="43"/>
        <w:numPr>
          <w:ilvl w:val="0"/>
          <w:numId w:val="86"/>
        </w:numPr>
        <w:ind w:left="426" w:hanging="426"/>
        <w:rPr>
          <w:color w:val="000000" w:themeColor="text1"/>
        </w:rPr>
      </w:pPr>
      <w:r>
        <w:rPr>
          <w:rFonts w:hint="eastAsia"/>
          <w:color w:val="000000" w:themeColor="text1"/>
        </w:rPr>
        <w:t>营业收入和营业成本情况</w:t>
      </w:r>
    </w:p>
    <w:sdt>
      <w:sdtPr>
        <w:rPr>
          <w:color w:val="000000" w:themeColor="text1"/>
        </w:rPr>
        <w:alias w:val="是否适用：营业收入和营业成本[双击切换]"/>
        <w:tag w:val="_GBC_876680c4ba6b433896b625efff84d599"/>
        <w:id w:val="-73324054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营业收入"/>
          <w:tag w:val="_GBC_611ed6dd25a247cf86a0fb98cd86e68f"/>
          <w:id w:val="-15580869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营业收入"/>
          <w:tag w:val="_GBC_ba5cd3776b804cc291ae4c216c605f02"/>
          <w:id w:val="-15215412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18"/>
        <w:gridCol w:w="1830"/>
        <w:gridCol w:w="1828"/>
        <w:gridCol w:w="1828"/>
      </w:tblGrid>
      <w:tr w:rsidR="000C5659">
        <w:sdt>
          <w:sdtPr>
            <w:rPr>
              <w:color w:val="000000" w:themeColor="text1"/>
            </w:rPr>
            <w:tag w:val="_PLD_d41752618c6a4ee08ca01f5944b34b81"/>
            <w:id w:val="1439021728"/>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f88658ae6cb94ea390736e112b0d5ffc"/>
            <w:id w:val="33155895"/>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0840d72efce94f22bdf4d566046b2e87"/>
            <w:id w:val="-36903652"/>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上期发生额</w:t>
                </w:r>
              </w:p>
            </w:tc>
          </w:sdtContent>
        </w:sdt>
      </w:tr>
      <w:tr w:rsidR="000C5659">
        <w:tc>
          <w:tcPr>
            <w:tcW w:w="805"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sdt>
          <w:sdtPr>
            <w:rPr>
              <w:color w:val="000000" w:themeColor="text1"/>
            </w:rPr>
            <w:tag w:val="_PLD_39942ac1f2654fa6bda80d7116d83859"/>
            <w:id w:val="-776101781"/>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收入</w:t>
                </w:r>
              </w:p>
            </w:tc>
          </w:sdtContent>
        </w:sdt>
        <w:sdt>
          <w:sdtPr>
            <w:rPr>
              <w:color w:val="000000" w:themeColor="text1"/>
            </w:rPr>
            <w:tag w:val="_PLD_5075262c52564bf09f90a67ee6a84b17"/>
            <w:id w:val="-2029172464"/>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成本</w:t>
                </w:r>
              </w:p>
            </w:tc>
          </w:sdtContent>
        </w:sdt>
        <w:sdt>
          <w:sdtPr>
            <w:rPr>
              <w:color w:val="000000" w:themeColor="text1"/>
            </w:rPr>
            <w:tag w:val="_PLD_33a1015c666d49cba108bce6aafea1f7"/>
            <w:id w:val="1072321559"/>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收入</w:t>
                </w:r>
              </w:p>
            </w:tc>
          </w:sdtContent>
        </w:sdt>
        <w:sdt>
          <w:sdtPr>
            <w:rPr>
              <w:color w:val="000000" w:themeColor="text1"/>
            </w:rPr>
            <w:tag w:val="_PLD_d09deaa2e4d443459a3584a1d7e92203"/>
            <w:id w:val="1124354707"/>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成本</w:t>
                </w:r>
              </w:p>
            </w:tc>
          </w:sdtContent>
        </w:sdt>
      </w:tr>
      <w:tr w:rsidR="000C5659">
        <w:tc>
          <w:tcPr>
            <w:tcW w:w="80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主营业务</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616,226,075.37</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461,367,435.13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478,454,396.20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371,113,387.30</w:t>
            </w:r>
          </w:p>
        </w:tc>
      </w:tr>
      <w:tr w:rsidR="000C5659">
        <w:tc>
          <w:tcPr>
            <w:tcW w:w="80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其他业务</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3,934,447.45</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2,081,497.75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3,796,014.16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1,619,704.66</w:t>
            </w:r>
          </w:p>
        </w:tc>
      </w:tr>
      <w:tr w:rsidR="000C5659">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620,160,522.82</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463,448,932.88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482,250,410.36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372,733,091.96</w:t>
            </w:r>
          </w:p>
        </w:tc>
      </w:tr>
    </w:tbl>
    <w:p w:rsidR="000C5659" w:rsidRDefault="000C5659">
      <w:pPr>
        <w:rPr>
          <w:color w:val="000000" w:themeColor="text1"/>
        </w:rPr>
      </w:pPr>
    </w:p>
    <w:sdt>
      <w:sdtPr>
        <w:rPr>
          <w:rFonts w:ascii="宋体" w:hAnsi="宋体" w:cs="宋体" w:hint="eastAsia"/>
          <w:b w:val="0"/>
          <w:bCs w:val="0"/>
          <w:color w:val="000000" w:themeColor="text1"/>
          <w:kern w:val="0"/>
          <w:szCs w:val="24"/>
        </w:rPr>
        <w:alias w:val="模块:合同产生的收入的情况"/>
        <w:tag w:val="_SEC_c4e8c6d213eb4da9850e04355e0aa292"/>
        <w:id w:val="684871173"/>
        <w:placeholder>
          <w:docPart w:val="GBC22222222222222222222222222222"/>
        </w:placeholder>
      </w:sdtPr>
      <w:sdtEndPr>
        <w:rPr>
          <w:rFonts w:hint="default"/>
          <w:szCs w:val="21"/>
        </w:rPr>
      </w:sdtEndPr>
      <w:sdtContent>
        <w:p w:rsidR="000C5659" w:rsidRDefault="000E33C4" w:rsidP="000743DD">
          <w:pPr>
            <w:pStyle w:val="4"/>
            <w:numPr>
              <w:ilvl w:val="0"/>
              <w:numId w:val="86"/>
            </w:numPr>
            <w:spacing w:before="0" w:after="0"/>
            <w:ind w:left="0" w:firstLine="0"/>
            <w:rPr>
              <w:bCs w:val="0"/>
              <w:color w:val="000000" w:themeColor="text1"/>
            </w:rPr>
          </w:pPr>
          <w:r>
            <w:rPr>
              <w:rFonts w:hint="eastAsia"/>
              <w:bCs w:val="0"/>
              <w:color w:val="000000" w:themeColor="text1"/>
            </w:rPr>
            <w:t>营业收入、营业成本的分解信息</w:t>
          </w:r>
          <w:r>
            <w:rPr>
              <w:bCs w:val="0"/>
              <w:color w:val="000000" w:themeColor="text1"/>
            </w:rPr>
            <w:t xml:space="preserve"> </w:t>
          </w:r>
        </w:p>
        <w:sdt>
          <w:sdtPr>
            <w:rPr>
              <w:rFonts w:ascii="宋体" w:hAnsi="宋体"/>
              <w:color w:val="000000" w:themeColor="text1"/>
              <w:szCs w:val="21"/>
            </w:rPr>
            <w:alias w:val="是否适用：营业收入、营业成本的分解信息 [双击切换]"/>
            <w:tag w:val="_GBC_efc78032c33b40119a8d8db1511a7505"/>
            <w:id w:val="1041626697"/>
            <w:placeholder>
              <w:docPart w:val="B4D2B78D7BEB40E88EAE6A3DB36D7891"/>
            </w:placeholder>
          </w:sdtPr>
          <w:sdtEndPr/>
          <w:sdtContent>
            <w:p w:rsidR="000C5659" w:rsidRDefault="000E33C4">
              <w:pPr>
                <w:pStyle w:val="aff7"/>
                <w:ind w:firstLineChars="0" w:firstLine="0"/>
                <w:jc w:val="left"/>
                <w:rPr>
                  <w:rFonts w:ascii="宋体" w:hAnsi="宋体"/>
                  <w:color w:val="000000" w:themeColor="text1"/>
                  <w:szCs w:val="21"/>
                </w:rPr>
              </w:pP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√适用 </w:instrText>
              </w:r>
              <w:r>
                <w:rPr>
                  <w:rFonts w:ascii="宋体" w:hAnsi="宋体"/>
                  <w:color w:val="000000" w:themeColor="text1"/>
                  <w:szCs w:val="21"/>
                </w:rPr>
                <w:fldChar w:fldCharType="end"/>
              </w: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□不适用 </w:instrText>
              </w:r>
              <w:r>
                <w:rPr>
                  <w:rFonts w:ascii="宋体" w:hAnsi="宋体"/>
                  <w:color w:val="000000" w:themeColor="text1"/>
                  <w:szCs w:val="21"/>
                </w:rPr>
                <w:fldChar w:fldCharType="end"/>
              </w:r>
            </w:p>
          </w:sdtContent>
        </w:sdt>
        <w:p w:rsidR="000C5659" w:rsidRDefault="000E33C4">
          <w:pPr>
            <w:pStyle w:val="aff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营业收入、营业成本的分解信息 "/>
              <w:tag w:val="_GBC_3ccd36a6a17f4de6846b5579f456e2eb"/>
              <w:id w:val="-1780635799"/>
              <w:placeholder>
                <w:docPart w:val="B4D2B78D7BEB40E88EAE6A3DB36D7891"/>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营业收入、营业成本的分解信息 "/>
              <w:tag w:val="_GBC_4476d84f223c43caad2810c5a30db364"/>
              <w:id w:val="288089235"/>
              <w:placeholder>
                <w:docPart w:val="B4D2B78D7BEB40E88EAE6A3DB36D789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86"/>
            <w:gridCol w:w="1686"/>
            <w:gridCol w:w="1686"/>
            <w:gridCol w:w="1686"/>
          </w:tblGrid>
          <w:tr w:rsidR="000C5659">
            <w:sdt>
              <w:sdtPr>
                <w:rPr>
                  <w:rFonts w:hint="eastAsia"/>
                  <w:color w:val="000000" w:themeColor="text1"/>
                </w:rPr>
                <w:tag w:val="_PLD_c4e262a708374d868aa4623ec11e26b7"/>
                <w:id w:val="1835183302"/>
              </w:sdtPr>
              <w:sdtEndPr/>
              <w:sdtContent>
                <w:tc>
                  <w:tcPr>
                    <w:tcW w:w="1260"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合同分类</w:t>
                    </w:r>
                  </w:p>
                </w:tc>
              </w:sdtContent>
            </w:sdt>
            <w:sdt>
              <w:sdtPr>
                <w:rPr>
                  <w:rFonts w:hint="eastAsia"/>
                  <w:color w:val="000000" w:themeColor="text1"/>
                </w:rPr>
                <w:alias w:val="合同产生的收入分部名称"/>
                <w:tag w:val="_GBC_7df3bc31c2b74e979c5b3e4de1f79f5e"/>
                <w:id w:val="-2091072788"/>
              </w:sdtPr>
              <w:sdtEndPr/>
              <w:sdtContent>
                <w:tc>
                  <w:tcPr>
                    <w:tcW w:w="1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货物销售</w:t>
                    </w:r>
                  </w:p>
                </w:tc>
              </w:sdtContent>
            </w:sdt>
            <w:sdt>
              <w:sdtPr>
                <w:rPr>
                  <w:rFonts w:hint="eastAsia"/>
                  <w:color w:val="000000" w:themeColor="text1"/>
                </w:rPr>
                <w:tag w:val="_PLD_2383d04a4c7d404b94d983ebd7656098"/>
                <w:id w:val="790090034"/>
              </w:sdtPr>
              <w:sdtEndPr/>
              <w:sdtContent>
                <w:tc>
                  <w:tcPr>
                    <w:tcW w:w="1871"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sdtContent>
            </w:sdt>
          </w:tr>
          <w:tr w:rsidR="000C5659">
            <w:tc>
              <w:tcPr>
                <w:tcW w:w="1260"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sdt>
              <w:sdtPr>
                <w:rPr>
                  <w:rFonts w:hint="eastAsia"/>
                  <w:color w:val="000000" w:themeColor="text1"/>
                </w:rPr>
                <w:tag w:val="_PLD_4711bdc80818489d98e7ea5c86d37301"/>
                <w:id w:val="-560022676"/>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营业收入</w:t>
                    </w:r>
                  </w:p>
                </w:tc>
              </w:sdtContent>
            </w:sdt>
            <w:sdt>
              <w:sdtPr>
                <w:rPr>
                  <w:rFonts w:hint="eastAsia"/>
                  <w:color w:val="000000" w:themeColor="text1"/>
                </w:rPr>
                <w:tag w:val="_PLD_4fa9a0416b22463b91b8e9af73e6832a"/>
                <w:id w:val="1895779176"/>
              </w:sdtPr>
              <w:sdtEndPr/>
              <w:sdtContent>
                <w:tc>
                  <w:tcPr>
                    <w:tcW w:w="937"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营业成本</w:t>
                    </w:r>
                  </w:p>
                </w:tc>
              </w:sdtContent>
            </w:sdt>
            <w:sdt>
              <w:sdtPr>
                <w:rPr>
                  <w:rFonts w:hint="eastAsia"/>
                  <w:color w:val="000000" w:themeColor="text1"/>
                </w:rPr>
                <w:tag w:val="_PLD_58de911da1324e8586f84ab9937bcdeb"/>
                <w:id w:val="825099773"/>
              </w:sdtPr>
              <w:sdtEndPr/>
              <w:sdtContent>
                <w:tc>
                  <w:tcPr>
                    <w:tcW w:w="937"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营业收入</w:t>
                    </w:r>
                  </w:p>
                </w:tc>
              </w:sdtContent>
            </w:sdt>
            <w:sdt>
              <w:sdtPr>
                <w:rPr>
                  <w:rFonts w:hint="eastAsia"/>
                  <w:color w:val="000000" w:themeColor="text1"/>
                </w:rPr>
                <w:tag w:val="_PLD_b60d678e181949d998ae7d21f7dd9556"/>
                <w:id w:val="-116369934"/>
              </w:sdtPr>
              <w:sdtEndPr/>
              <w:sdtContent>
                <w:tc>
                  <w:tcPr>
                    <w:tcW w:w="934"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营业成本</w:t>
                    </w:r>
                  </w:p>
                </w:tc>
              </w:sdtContent>
            </w:sdt>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商品类型</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 xml:space="preserve">　</w:t>
                </w:r>
              </w:p>
            </w:tc>
            <w:tc>
              <w:tcPr>
                <w:tcW w:w="937"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c>
              <w:tcPr>
                <w:tcW w:w="937"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c>
              <w:tcPr>
                <w:tcW w:w="934"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ind w:firstLineChars="200" w:firstLine="420"/>
                </w:pPr>
                <w:r>
                  <w:rPr>
                    <w:rFonts w:hint="eastAsia"/>
                  </w:rPr>
                  <w:t>牙刷类产品</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250,378,737.46</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184,069,875.16</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250,378,737.46</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184,069,875.16</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ind w:firstLineChars="200" w:firstLine="420"/>
                </w:pPr>
                <w:r>
                  <w:t>湿巾</w:t>
                </w:r>
                <w:r>
                  <w:rPr>
                    <w:rFonts w:hint="eastAsia"/>
                  </w:rPr>
                  <w:t>类产品</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199,447,448.70</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154,675,223.54</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199,447,448.70</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154,675,223.54</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ind w:firstLineChars="200" w:firstLine="420"/>
                </w:pPr>
                <w:r>
                  <w:t>益生菌制品</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14,967,166.12</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12,210,206.55</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14,967,166.12</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12,210,206.55</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ind w:firstLineChars="200" w:firstLine="420"/>
                  <w:rPr>
                    <w:color w:val="000000" w:themeColor="text1"/>
                  </w:rPr>
                </w:pPr>
                <w:r>
                  <w:rPr>
                    <w:rFonts w:hint="eastAsia"/>
                  </w:rPr>
                  <w:t>其他产品</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rPr>
                    <w:color w:val="000000" w:themeColor="text1"/>
                  </w:rPr>
                </w:pPr>
                <w:r>
                  <w:rPr>
                    <w:rFonts w:hint="eastAsia"/>
                    <w:color w:val="000000"/>
                    <w:lang w:bidi="ar"/>
                  </w:rPr>
                  <w:t>155,367,170.54</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112,493,627.63</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155,367,170.54</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112,493,627.63</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ind w:firstLineChars="200" w:firstLine="420"/>
                  <w:rPr>
                    <w:color w:val="000000" w:themeColor="text1"/>
                  </w:rPr>
                </w:pPr>
                <w:r>
                  <w:rPr>
                    <w:rFonts w:hint="eastAsia"/>
                    <w:color w:val="000000" w:themeColor="text1"/>
                  </w:rPr>
                  <w:t>合计</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rPr>
                    <w:color w:val="000000" w:themeColor="text1"/>
                  </w:rPr>
                </w:pPr>
                <w:r>
                  <w:rPr>
                    <w:rFonts w:hint="eastAsia"/>
                    <w:color w:val="000000"/>
                    <w:lang w:bidi="ar"/>
                  </w:rPr>
                  <w:t>620,160,522.82</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463,448,932.88</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620,160,522.82</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463,448,932.88</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按经营地区分类</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C5659">
                <w:pPr>
                  <w:jc w:val="right"/>
                  <w:rPr>
                    <w:color w:val="000000" w:themeColor="text1"/>
                  </w:rPr>
                </w:pP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color w:val="000000" w:themeColor="text1"/>
                  </w:rPr>
                </w:pP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color w:val="000000" w:themeColor="text1"/>
                  </w:rPr>
                </w:pP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ind w:firstLineChars="200" w:firstLine="420"/>
                </w:pPr>
                <w:r>
                  <w:rPr>
                    <w:rFonts w:hint="eastAsia"/>
                  </w:rPr>
                  <w:t xml:space="preserve">　国外销售</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382,060,068.73</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278,635,813.75</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382,060,068.73</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278,635,813.75</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ind w:firstLineChars="200" w:firstLine="420"/>
                  <w:rPr>
                    <w:color w:val="000000" w:themeColor="text1"/>
                  </w:rPr>
                </w:pPr>
                <w:r>
                  <w:rPr>
                    <w:rFonts w:hint="eastAsia"/>
                    <w:color w:val="000000" w:themeColor="text1"/>
                  </w:rPr>
                  <w:t xml:space="preserve">　国内销售</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rPr>
                    <w:color w:val="000000" w:themeColor="text1"/>
                  </w:rPr>
                </w:pPr>
                <w:r>
                  <w:rPr>
                    <w:rFonts w:hint="eastAsia"/>
                    <w:color w:val="000000"/>
                    <w:lang w:bidi="ar"/>
                  </w:rPr>
                  <w:t>238,100,454.09</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184,813,119.13</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238,100,454.09</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184,813,119.13</w:t>
                </w:r>
              </w:p>
            </w:tc>
          </w:tr>
          <w:tr w:rsidR="000C5659">
            <w:tc>
              <w:tcPr>
                <w:tcW w:w="126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合计</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rPr>
                    <w:color w:val="000000" w:themeColor="text1"/>
                  </w:rPr>
                </w:pPr>
                <w:r>
                  <w:rPr>
                    <w:rFonts w:hint="eastAsia"/>
                    <w:color w:val="000000"/>
                    <w:lang w:bidi="ar"/>
                  </w:rPr>
                  <w:t>620,160,522.82</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463,448,932.88</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620,160,522.82</w:t>
                </w:r>
              </w:p>
            </w:tc>
            <w:tc>
              <w:tcPr>
                <w:tcW w:w="1690"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color w:val="000000" w:themeColor="text1"/>
                  </w:rPr>
                </w:pPr>
                <w:r>
                  <w:rPr>
                    <w:rFonts w:hint="eastAsia"/>
                    <w:color w:val="000000"/>
                    <w:lang w:bidi="ar"/>
                  </w:rPr>
                  <w:t>463,448,932.88</w:t>
                </w:r>
              </w:p>
            </w:tc>
          </w:tr>
        </w:tbl>
        <w:p w:rsidR="000C5659" w:rsidRDefault="000C5659"/>
        <w:p w:rsidR="000C5659" w:rsidRDefault="000E33C4">
          <w:pPr>
            <w:rPr>
              <w:color w:val="000000" w:themeColor="text1"/>
            </w:rPr>
          </w:pPr>
          <w:r>
            <w:rPr>
              <w:rFonts w:hint="eastAsia"/>
              <w:color w:val="000000" w:themeColor="text1"/>
            </w:rPr>
            <w:t>其他说明</w:t>
          </w:r>
        </w:p>
        <w:sdt>
          <w:sdtPr>
            <w:rPr>
              <w:color w:val="000000" w:themeColor="text1"/>
            </w:rPr>
            <w:alias w:val="是否适用：营业收入、营业成本的分解信息说明 [双击切换]"/>
            <w:tag w:val="_GBC_04602e125f9d4f519cbc5efd2f4ee0ea"/>
            <w:id w:val="895014137"/>
            <w:placeholder>
              <w:docPart w:val="B4D2B78D7BEB40E88EAE6A3DB36D7891"/>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Content>
    </w:sdt>
    <w:p w:rsidR="000C5659" w:rsidRDefault="000C5659">
      <w:bookmarkStart w:id="331" w:name="_Hlk167969685"/>
    </w:p>
    <w:p w:rsidR="000C5659" w:rsidRDefault="000E33C4" w:rsidP="000743DD">
      <w:pPr>
        <w:pStyle w:val="43"/>
        <w:numPr>
          <w:ilvl w:val="0"/>
          <w:numId w:val="86"/>
        </w:numPr>
        <w:ind w:left="426" w:hanging="426"/>
        <w:rPr>
          <w:color w:val="000000" w:themeColor="text1"/>
        </w:rPr>
      </w:pPr>
      <w:bookmarkStart w:id="332" w:name="_Hlk533670431"/>
      <w:r>
        <w:rPr>
          <w:rFonts w:hint="eastAsia"/>
          <w:color w:val="000000" w:themeColor="text1"/>
        </w:rPr>
        <w:t>履约义务的说明</w:t>
      </w:r>
    </w:p>
    <w:sdt>
      <w:sdtPr>
        <w:rPr>
          <w:color w:val="000000" w:themeColor="text1"/>
        </w:rPr>
        <w:alias w:val="是否适用：履约义务的说明[双击切换]"/>
        <w:tag w:val="_GBC_ec22242632ae490ba6bc8afe3b2e35bc"/>
        <w:id w:val="89848214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32"/>
    <w:p w:rsidR="000C5659" w:rsidRDefault="000C5659">
      <w:pPr>
        <w:rPr>
          <w:color w:val="000000" w:themeColor="text1"/>
        </w:rPr>
      </w:pPr>
    </w:p>
    <w:p w:rsidR="000C5659" w:rsidRDefault="000E33C4" w:rsidP="000743DD">
      <w:pPr>
        <w:pStyle w:val="43"/>
        <w:numPr>
          <w:ilvl w:val="0"/>
          <w:numId w:val="86"/>
        </w:numPr>
        <w:ind w:left="426" w:hanging="426"/>
        <w:rPr>
          <w:color w:val="000000" w:themeColor="text1"/>
        </w:rPr>
      </w:pPr>
      <w:bookmarkStart w:id="333" w:name="_Hlk10538107"/>
      <w:bookmarkStart w:id="334" w:name="_Hlk10538117"/>
      <w:bookmarkEnd w:id="331"/>
      <w:r>
        <w:rPr>
          <w:rFonts w:hint="eastAsia"/>
          <w:color w:val="000000" w:themeColor="text1"/>
        </w:rPr>
        <w:t>分摊至剩余履约义务的说明</w:t>
      </w:r>
      <w:bookmarkEnd w:id="333"/>
    </w:p>
    <w:sdt>
      <w:sdtPr>
        <w:rPr>
          <w:color w:val="000000" w:themeColor="text1"/>
        </w:rPr>
        <w:alias w:val="是否适用：分摊至剩余履约义务的说明[双击切换]"/>
        <w:tag w:val="_GBC_3e12eb65fc9e4c7b80815a7392be58f2"/>
        <w:id w:val="52968761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34"/>
    <w:p w:rsidR="000C5659" w:rsidRDefault="000C5659">
      <w:pPr>
        <w:rPr>
          <w:color w:val="000000" w:themeColor="text1"/>
        </w:rPr>
      </w:pPr>
    </w:p>
    <w:sdt>
      <w:sdtPr>
        <w:rPr>
          <w:color w:val="000000" w:themeColor="text1"/>
        </w:rPr>
        <w:alias w:val="是否适用：分摊至剩余履约义务的说明[双击切换]"/>
        <w:tag w:val="_GBC_3e12eb65fc9e4c7b80815a7392be58f2"/>
        <w:id w:val="-164411255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86"/>
        </w:numPr>
        <w:ind w:left="426" w:hanging="426"/>
        <w:rPr>
          <w:color w:val="000000" w:themeColor="text1"/>
        </w:rPr>
      </w:pPr>
      <w:bookmarkStart w:id="335" w:name="_Hlk167969793"/>
      <w:r>
        <w:rPr>
          <w:rFonts w:hint="eastAsia"/>
          <w:color w:val="000000" w:themeColor="text1"/>
        </w:rPr>
        <w:t>重大合同变更或重大交易价格调整</w:t>
      </w:r>
    </w:p>
    <w:sdt>
      <w:sdtPr>
        <w:rPr>
          <w:color w:val="000000" w:themeColor="text1"/>
        </w:rPr>
        <w:alias w:val="是否适用：重大合同变更或重大交易价格调整[双击切换]"/>
        <w:tag w:val="_GBC_4ff195f785f7474ba9def45795b4e11c"/>
        <w:id w:val="21231146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ascii="Arial" w:hAnsi="Arial"/>
          <w:color w:val="000000" w:themeColor="text1"/>
        </w:rPr>
      </w:pPr>
    </w:p>
    <w:bookmarkEnd w:id="335"/>
    <w:p w:rsidR="000C5659" w:rsidRDefault="000E33C4">
      <w:pPr>
        <w:spacing w:before="60" w:after="60"/>
        <w:rPr>
          <w:color w:val="000000" w:themeColor="text1"/>
        </w:rPr>
      </w:pPr>
      <w:r>
        <w:rPr>
          <w:rFonts w:hint="eastAsia"/>
          <w:color w:val="000000" w:themeColor="text1"/>
        </w:rPr>
        <w:t>其他说明：</w:t>
      </w:r>
    </w:p>
    <w:p w:rsidR="000C5659" w:rsidRDefault="00220B84">
      <w:pPr>
        <w:rPr>
          <w:color w:val="000000" w:themeColor="text1"/>
        </w:rPr>
      </w:pPr>
      <w:sdt>
        <w:sdtPr>
          <w:rPr>
            <w:color w:val="000000" w:themeColor="text1"/>
          </w:rPr>
          <w:alias w:val="主营业务说明"/>
          <w:tag w:val="_GBC_72a96250960e4e188d2fa1097869655e"/>
          <w:id w:val="-1721205645"/>
          <w:placeholder>
            <w:docPart w:val="GBC22222222222222222222222222222"/>
          </w:placeholder>
        </w:sdtPr>
        <w:sdtEndPr/>
        <w:sdtContent>
          <w:r w:rsidR="000E33C4">
            <w:rPr>
              <w:rFonts w:hint="eastAsia"/>
              <w:color w:val="000000" w:themeColor="text1"/>
            </w:rPr>
            <w:t>无</w:t>
          </w:r>
        </w:sdtContent>
      </w:sdt>
    </w:p>
    <w:p w:rsidR="000C5659" w:rsidRDefault="000C5659">
      <w:pPr>
        <w:rPr>
          <w:color w:val="000000" w:themeColor="text1"/>
        </w:rPr>
      </w:pPr>
    </w:p>
    <w:p w:rsidR="000C5659" w:rsidRDefault="000E33C4">
      <w:pPr>
        <w:spacing w:before="60" w:after="60"/>
        <w:rPr>
          <w:color w:val="000000" w:themeColor="text1"/>
        </w:rPr>
      </w:pPr>
      <w:bookmarkStart w:id="336" w:name="_Hlk26364697"/>
      <w:bookmarkStart w:id="337" w:name="_Hlk41487523"/>
      <w:r>
        <w:rPr>
          <w:rFonts w:hint="eastAsia"/>
          <w:color w:val="000000" w:themeColor="text1"/>
        </w:rPr>
        <w:t>其他说明：</w:t>
      </w:r>
    </w:p>
    <w:p w:rsidR="000C5659" w:rsidRDefault="00220B84">
      <w:pPr>
        <w:rPr>
          <w:color w:val="000000" w:themeColor="text1"/>
        </w:rPr>
      </w:pPr>
      <w:sdt>
        <w:sdtPr>
          <w:rPr>
            <w:color w:val="000000" w:themeColor="text1"/>
          </w:rPr>
          <w:alias w:val="主营业务说明"/>
          <w:tag w:val="_GBC_72a96250960e4e188d2fa1097869655e"/>
          <w:id w:val="-1732762572"/>
          <w:placeholder>
            <w:docPart w:val="GBC22222222222222222222222222222"/>
          </w:placeholder>
        </w:sdtPr>
        <w:sdtEndPr/>
        <w:sdtContent>
          <w:r w:rsidR="000E33C4">
            <w:rPr>
              <w:rFonts w:hint="eastAsia"/>
              <w:color w:val="000000" w:themeColor="text1"/>
            </w:rPr>
            <w:t>无</w:t>
          </w:r>
        </w:sdtContent>
      </w:sdt>
      <w:bookmarkEnd w:id="336"/>
    </w:p>
    <w:p w:rsidR="000C5659" w:rsidRDefault="000C5659">
      <w:pPr>
        <w:rPr>
          <w:color w:val="000000" w:themeColor="text1"/>
        </w:rPr>
      </w:pPr>
    </w:p>
    <w:bookmarkEnd w:id="337"/>
    <w:p w:rsidR="000C5659" w:rsidRDefault="000E33C4" w:rsidP="000743DD">
      <w:pPr>
        <w:pStyle w:val="35"/>
        <w:numPr>
          <w:ilvl w:val="0"/>
          <w:numId w:val="50"/>
        </w:numPr>
        <w:rPr>
          <w:color w:val="000000" w:themeColor="text1"/>
          <w:szCs w:val="21"/>
        </w:rPr>
      </w:pPr>
      <w:r>
        <w:rPr>
          <w:color w:val="000000" w:themeColor="text1"/>
          <w:szCs w:val="21"/>
        </w:rPr>
        <w:t>税金及附加</w:t>
      </w:r>
    </w:p>
    <w:sdt>
      <w:sdtPr>
        <w:rPr>
          <w:color w:val="000000" w:themeColor="text1"/>
        </w:rPr>
        <w:alias w:val="是否适用：税金及附加[双击切换]"/>
        <w:tag w:val="_GBC_e6e37ca7fd2a435e8e042586945bb4d2"/>
        <w:id w:val="88352588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b/>
          <w:color w:val="000000" w:themeColor="text1"/>
        </w:rPr>
      </w:pPr>
      <w:r>
        <w:rPr>
          <w:rFonts w:hint="eastAsia"/>
          <w:color w:val="000000" w:themeColor="text1"/>
        </w:rPr>
        <w:t>单位：</w:t>
      </w:r>
      <w:sdt>
        <w:sdtPr>
          <w:rPr>
            <w:rFonts w:hint="eastAsia"/>
            <w:color w:val="000000" w:themeColor="text1"/>
          </w:rPr>
          <w:alias w:val="单位：财务附注：税金及附加"/>
          <w:tag w:val="_GBC_bdd382ceb0b74413bcc8ce354afae4a8"/>
          <w:id w:val="14264529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税金及附加"/>
          <w:tag w:val="_GBC_ecf8b53c11ec4336b91007df3f6b5f78"/>
          <w:id w:val="9156730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3"/>
        <w:gridCol w:w="2992"/>
        <w:gridCol w:w="2992"/>
      </w:tblGrid>
      <w:tr w:rsidR="000C5659">
        <w:sdt>
          <w:sdtPr>
            <w:rPr>
              <w:color w:val="000000" w:themeColor="text1"/>
            </w:rPr>
            <w:tag w:val="_PLD_444bcf5500dc4f7f9041afd20c147408"/>
            <w:id w:val="96537052"/>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986496e04f5841889074687e953bf8a9"/>
            <w:id w:val="1975172450"/>
          </w:sdtPr>
          <w:sdtEndPr/>
          <w:sdtContent>
            <w:tc>
              <w:tcPr>
                <w:tcW w:w="1696" w:type="pct"/>
                <w:tcBorders>
                  <w:top w:val="single" w:sz="6" w:space="0" w:color="auto"/>
                  <w:left w:val="single" w:sz="6" w:space="0" w:color="auto"/>
                  <w:bottom w:val="single" w:sz="6" w:space="0" w:color="auto"/>
                  <w:right w:val="single" w:sz="6" w:space="0" w:color="auto"/>
                </w:tcBorders>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4ab1376344dc484195a5459c78069a64"/>
            <w:id w:val="-1241243066"/>
          </w:sdtPr>
          <w:sdtEndPr/>
          <w:sdtContent>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center"/>
                  <w:rPr>
                    <w:color w:val="000000" w:themeColor="text1"/>
                  </w:rPr>
                </w:pPr>
                <w:r>
                  <w:rPr>
                    <w:rFonts w:hint="eastAsia"/>
                    <w:color w:val="000000" w:themeColor="text1"/>
                  </w:rPr>
                  <w:t>上期发生额</w:t>
                </w:r>
              </w:p>
            </w:tc>
          </w:sdtContent>
        </w:sdt>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城市维护建设税</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2,145,820.98</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1,229,576.24</w:t>
            </w: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教育费附加</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1,284,285.70</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728,945.77</w:t>
            </w: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rPr>
                <w:color w:val="000000" w:themeColor="text1"/>
              </w:rPr>
            </w:pPr>
            <w:r>
              <w:rPr>
                <w:rFonts w:hint="eastAsia"/>
                <w:color w:val="000000" w:themeColor="text1"/>
              </w:rPr>
              <w:t>资源税</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C5659">
            <w:pPr>
              <w:jc w:val="right"/>
            </w:pP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C5659">
            <w:pPr>
              <w:jc w:val="right"/>
              <w:rPr>
                <w:rFonts w:ascii="Times New Roman" w:eastAsia="Times New Roman" w:hAnsi="Times New Roman" w:cs="Times New Roman"/>
                <w:sz w:val="20"/>
                <w:szCs w:val="20"/>
              </w:rPr>
            </w:pP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rPr>
                <w:color w:val="000000" w:themeColor="text1"/>
              </w:rPr>
            </w:pPr>
            <w:r>
              <w:rPr>
                <w:color w:val="000000" w:themeColor="text1"/>
              </w:rPr>
              <w:t>房产税</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rPr>
                <w:sz w:val="24"/>
                <w:szCs w:val="24"/>
              </w:rPr>
            </w:pPr>
            <w:r>
              <w:t>1,574,858.87</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1,182,285.56</w:t>
            </w: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rPr>
                <w:color w:val="000000" w:themeColor="text1"/>
              </w:rPr>
            </w:pPr>
            <w:r>
              <w:rPr>
                <w:color w:val="000000" w:themeColor="text1"/>
              </w:rPr>
              <w:t>土地使用税</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218,709.34</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191,039.68</w:t>
            </w: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rPr>
                <w:color w:val="000000" w:themeColor="text1"/>
              </w:rPr>
            </w:pPr>
            <w:r>
              <w:rPr>
                <w:color w:val="000000" w:themeColor="text1"/>
              </w:rPr>
              <w:t>车船使用税</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C5659">
            <w:pPr>
              <w:jc w:val="right"/>
            </w:pP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C5659">
            <w:pPr>
              <w:jc w:val="right"/>
              <w:rPr>
                <w:rFonts w:ascii="Times New Roman" w:eastAsia="Times New Roman" w:hAnsi="Times New Roman" w:cs="Times New Roman"/>
                <w:sz w:val="20"/>
                <w:szCs w:val="20"/>
              </w:rPr>
            </w:pP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rPr>
                <w:color w:val="000000" w:themeColor="text1"/>
              </w:rPr>
            </w:pPr>
            <w:r>
              <w:rPr>
                <w:color w:val="000000" w:themeColor="text1"/>
              </w:rPr>
              <w:t>印花税</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rPr>
                <w:sz w:val="24"/>
                <w:szCs w:val="24"/>
              </w:rPr>
            </w:pPr>
            <w:r>
              <w:t>354,323.95</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295,143.39</w:t>
            </w: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pPr>
            <w:r>
              <w:t>地方教育附加</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856,190.47</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485,963.84</w:t>
            </w: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pPr>
            <w:r>
              <w:t>环境保护税</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1,066.71</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1,098.66</w:t>
            </w: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pPr>
            <w:r>
              <w:t>水利基金</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4,996.84</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C5659">
            <w:pPr>
              <w:jc w:val="right"/>
            </w:pPr>
          </w:p>
        </w:tc>
      </w:tr>
      <w:tr w:rsidR="000C5659">
        <w:tc>
          <w:tcPr>
            <w:tcW w:w="1606" w:type="pct"/>
            <w:tcBorders>
              <w:top w:val="single" w:sz="6" w:space="0" w:color="auto"/>
              <w:left w:val="single" w:sz="6" w:space="0" w:color="auto"/>
              <w:bottom w:val="single" w:sz="6" w:space="0" w:color="auto"/>
              <w:right w:val="single" w:sz="6"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rPr>
                <w:color w:val="000000"/>
              </w:rPr>
            </w:pPr>
            <w:r>
              <w:rPr>
                <w:rFonts w:hint="eastAsia"/>
                <w:color w:val="000000"/>
              </w:rPr>
              <w:t>6,440,252.86</w:t>
            </w:r>
          </w:p>
        </w:tc>
        <w:tc>
          <w:tcPr>
            <w:tcW w:w="169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rPr>
                <w:color w:val="000000"/>
              </w:rPr>
            </w:pPr>
            <w:r>
              <w:rPr>
                <w:rFonts w:hint="eastAsia"/>
                <w:color w:val="000000"/>
              </w:rPr>
              <w:t>4,114,053.14</w:t>
            </w:r>
          </w:p>
        </w:tc>
      </w:tr>
    </w:tbl>
    <w:p w:rsidR="000C5659" w:rsidRDefault="000C5659">
      <w:pPr>
        <w:pStyle w:val="Style325"/>
      </w:pPr>
    </w:p>
    <w:p w:rsidR="000C5659" w:rsidRDefault="000E33C4">
      <w:pPr>
        <w:spacing w:before="60" w:after="60"/>
        <w:rPr>
          <w:color w:val="000000" w:themeColor="text1"/>
        </w:rPr>
      </w:pPr>
      <w:r>
        <w:rPr>
          <w:rFonts w:hint="eastAsia"/>
          <w:color w:val="000000" w:themeColor="text1"/>
        </w:rPr>
        <w:t>其他说明：</w:t>
      </w:r>
    </w:p>
    <w:sdt>
      <w:sdtPr>
        <w:rPr>
          <w:rFonts w:hint="eastAsia"/>
          <w:color w:val="000000" w:themeColor="text1"/>
        </w:rPr>
        <w:alias w:val="税金及附加说明"/>
        <w:tag w:val="_GBC_f78e413320ad4d20a3dab91dff935491"/>
        <w:id w:val="830026127"/>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销售费用</w:t>
      </w:r>
    </w:p>
    <w:sdt>
      <w:sdtPr>
        <w:rPr>
          <w:color w:val="000000" w:themeColor="text1"/>
        </w:rPr>
        <w:alias w:val="是否适用：销售费用[双击切换]"/>
        <w:tag w:val="_GBC_5302d6af48674660a2279c7c8a87bb8c"/>
        <w:id w:val="-18960415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26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销售费用"/>
          <w:tag w:val="_GBC_893203a5a3df44649aef388407d22c68"/>
          <w:id w:val="7573344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销售费用"/>
          <w:tag w:val="_GBC_4954a9fca98d4f279270fb28f987aa6f"/>
          <w:id w:val="19242241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626"/>
        <w:gridCol w:w="2359"/>
      </w:tblGrid>
      <w:tr w:rsidR="000C5659">
        <w:sdt>
          <w:sdtPr>
            <w:rPr>
              <w:color w:val="000000" w:themeColor="text1"/>
            </w:rPr>
            <w:tag w:val="_PLD_16c47970a3b145c98f438f3cb34ff636"/>
            <w:id w:val="1423223483"/>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b3ce435531054240b373e649bc9ae7a1"/>
            <w:id w:val="895087556"/>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9480cd5806624557b975b5d0ce06575b"/>
            <w:id w:val="467785387"/>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上期发生额</w:t>
                </w:r>
              </w:p>
            </w:tc>
          </w:sdtContent>
        </w:sdt>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差旅费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1,361,155.14</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983,833.17</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代理费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634,898.45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821,105.66</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广告费、展览及业务宣传费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1,970,377.60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558,151.14</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海关、物流费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4,558,930.14</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3,593,577.08</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薪酬</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10,388,685.40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10,649,897.28</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邮电费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5,246,012.64</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1,733,231.02</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股份支付费用</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140,089.06</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277,403.31</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运营费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14,598,530.87</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8,316,443.66</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业务招待费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495,634.08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499,112.60</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样品费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354,929.38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231,374.89</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折旧费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366,394.97</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109,959.38</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制版费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310,442.38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342,010.86</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专利商标费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64,336.98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222,378.75</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咨询费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120,124.37</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211,359.51</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软件费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303,884.37</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119,880.27</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检测费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435,057.31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237,937.40</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其他</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2,755,394.57</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2,124,121.53</w:t>
            </w:r>
          </w:p>
        </w:tc>
      </w:tr>
      <w:tr w:rsidR="000C565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44,104,877.71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31,031,777.51</w:t>
            </w:r>
          </w:p>
        </w:tc>
      </w:tr>
    </w:tbl>
    <w:p w:rsidR="000C5659" w:rsidRDefault="000C5659">
      <w:pPr>
        <w:pStyle w:val="Style325"/>
      </w:pPr>
    </w:p>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销售费用的其他说明事项"/>
        <w:tag w:val="_GBC_42921bca5478449e9dd3932a8303975a"/>
        <w:id w:val="-1010293598"/>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lastRenderedPageBreak/>
        <w:t>管理费用</w:t>
      </w:r>
    </w:p>
    <w:sdt>
      <w:sdtPr>
        <w:rPr>
          <w:color w:val="000000" w:themeColor="text1"/>
        </w:rPr>
        <w:alias w:val="是否适用：管理费用[双击切换]"/>
        <w:tag w:val="_GBC_864c9dd9adce435698261f1da02ab8fb"/>
        <w:id w:val="-115853183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管理费用"/>
          <w:tag w:val="_GBC_b8198aec3f7748d28785c1eebbf02df7"/>
          <w:id w:val="3870816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管理费用"/>
          <w:tag w:val="_GBC_f92af61f8b3b45ba9ec818ede9725428"/>
          <w:id w:val="-995955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0C5659">
        <w:sdt>
          <w:sdtPr>
            <w:rPr>
              <w:color w:val="000000" w:themeColor="text1"/>
            </w:rPr>
            <w:tag w:val="_PLD_249fd0c096ba421285089a0fada9d43a"/>
            <w:id w:val="-1919473816"/>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acf5bcbf929244268be56ad5d0f3ea18"/>
            <w:id w:val="450133685"/>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d37d8a59d4d74c26ac22dc33983efa29"/>
            <w:id w:val="1159425601"/>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上期发生额</w:t>
                </w:r>
              </w:p>
            </w:tc>
          </w:sdtContent>
        </w:sdt>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办公费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80,790.88</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77,004.11</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保险费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253,779.60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102,840.65</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报刊费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78,080.73</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153,640.37</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差旅费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93,871.43</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51,203.10</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低值易耗品</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222,552.77</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261,317.06</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董事会费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167,000.74</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165,050.00</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股份支付</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223,088.48</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405,369.50</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环保费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259,261.54</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634,965.50</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培训费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32,805.56</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265,877.78</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软件费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448,331.60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330,848.24</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水电费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812,004.93</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698,485.30</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无形资产摊销</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1,328,710.52</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784,051.76</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薪酬</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11,932,789.90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9,299,913.08</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修理费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267,747.62</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411,390.90</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招待费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377,300.70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611,966.90</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招聘费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390,835.23</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58,396.89</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折旧费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4,732,525.20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6,464,716.71</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专利商标费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122,760.61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126,421.51</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咨询费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1,285,320.42</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1,008,747.81</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汽车费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308,105.84</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203,009.76</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基金管理费</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1,125,756.00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1,850,807.35</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其他</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1,363,547.21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694,906.98</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合计</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25,906,967.51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color w:val="000000"/>
                <w:lang w:bidi="ar"/>
              </w:rPr>
              <w:t>24,660,931.26</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p>
    <w:sdt>
      <w:sdtPr>
        <w:rPr>
          <w:color w:val="000000" w:themeColor="text1"/>
        </w:rPr>
        <w:alias w:val="管理费用的其他说明事项"/>
        <w:tag w:val="_GBC_2ddba7c397f842b2a457e4f7fe020aca"/>
        <w:id w:val="420912121"/>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38" w:name="_Hlk10538261"/>
      <w:r>
        <w:rPr>
          <w:color w:val="000000" w:themeColor="text1"/>
          <w:szCs w:val="21"/>
        </w:rPr>
        <w:t>研发费用</w:t>
      </w:r>
    </w:p>
    <w:sdt>
      <w:sdtPr>
        <w:rPr>
          <w:color w:val="000000" w:themeColor="text1"/>
        </w:rPr>
        <w:alias w:val="是否适用：研发费用[双击切换]"/>
        <w:tag w:val="_GBC_48b4a6beb6f54c3ba7c01af3727337bb"/>
        <w:id w:val="301209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268"/>
        <w:ind w:left="420"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研发费用"/>
          <w:tag w:val="_GBC_a0292321d82f46b8823ab163b1084fea"/>
          <w:id w:val="1388846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研发费用"/>
          <w:tag w:val="_GBC_a0b2b92cacc24641a2d69fc025b920ea"/>
          <w:id w:val="6620562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0C5659">
        <w:sdt>
          <w:sdtPr>
            <w:rPr>
              <w:color w:val="000000" w:themeColor="text1"/>
            </w:rPr>
            <w:tag w:val="_PLD_878c2bf88dff43e8bf48fe187921cf85"/>
            <w:id w:val="-1851941505"/>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043e1c3ae76a497c9be9c1eef3db33c6"/>
            <w:id w:val="1877113546"/>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d0588c88282b4dae9e42d7ffd38d27c6"/>
            <w:id w:val="-131103276"/>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上期发生额</w:t>
                </w:r>
              </w:p>
            </w:tc>
          </w:sdtContent>
        </w:sdt>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直接投入</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5,295,701.54</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2,588,754.38</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薪酬</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11,550,504.69</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9,574,486.34</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折旧及长期待摊费用</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999,739.78</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735,368.92</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股份支付费用</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169,951.30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395,922.41</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无形资产摊销</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507,301.19</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C5659">
            <w:pPr>
              <w:jc w:val="right"/>
            </w:pP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其他相关费用</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2,205,897.50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680,167.88</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20,729,096.00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textAlignment w:val="center"/>
            </w:pPr>
            <w:r>
              <w:rPr>
                <w:rFonts w:hint="eastAsia"/>
                <w:lang w:bidi="ar"/>
              </w:rPr>
              <w:t>13,974,699.93</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p>
    <w:sdt>
      <w:sdtPr>
        <w:rPr>
          <w:color w:val="000000" w:themeColor="text1"/>
        </w:rPr>
        <w:alias w:val="研发费用其他说明"/>
        <w:tag w:val="_GBC_f09ad1e9748e43059f8db34f9454426c"/>
        <w:id w:val="1670901074"/>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bookmarkEnd w:id="338"/>
    <w:p w:rsidR="000C5659" w:rsidRDefault="000E33C4" w:rsidP="000743DD">
      <w:pPr>
        <w:pStyle w:val="35"/>
        <w:numPr>
          <w:ilvl w:val="0"/>
          <w:numId w:val="50"/>
        </w:numPr>
        <w:rPr>
          <w:color w:val="000000" w:themeColor="text1"/>
          <w:szCs w:val="21"/>
        </w:rPr>
      </w:pPr>
      <w:r>
        <w:rPr>
          <w:color w:val="000000" w:themeColor="text1"/>
          <w:szCs w:val="21"/>
        </w:rPr>
        <w:t>财务费用</w:t>
      </w:r>
    </w:p>
    <w:sdt>
      <w:sdtPr>
        <w:rPr>
          <w:color w:val="000000" w:themeColor="text1"/>
        </w:rPr>
        <w:alias w:val="是否适用：财务费用[双击切换]"/>
        <w:tag w:val="_GBC_699d8bdb2f1f4504a0ea4ccbc8889cfa"/>
        <w:id w:val="-56594756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lastRenderedPageBreak/>
        <w:t>单位：</w:t>
      </w:r>
      <w:sdt>
        <w:sdtPr>
          <w:rPr>
            <w:rFonts w:hint="eastAsia"/>
            <w:color w:val="000000" w:themeColor="text1"/>
          </w:rPr>
          <w:alias w:val="单位：财务费用"/>
          <w:tag w:val="_GBC_eb9e02dce68144759561a3427fb3099a"/>
          <w:id w:val="11120142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费用"/>
          <w:tag w:val="_GBC_8e992a76854b4bd0a3f5cd49b31a4604"/>
          <w:id w:val="-16152133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0C5659">
        <w:sdt>
          <w:sdtPr>
            <w:rPr>
              <w:color w:val="000000" w:themeColor="text1"/>
            </w:rPr>
            <w:tag w:val="_PLD_c57c227174f044c4bfa2c0fda1e37156"/>
            <w:id w:val="484361492"/>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d7b23aa0bcb6433894875c858270ab7f"/>
            <w:id w:val="-374627851"/>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d79245f93e3d475b953b3e44bb1c6425"/>
            <w:id w:val="-1927029990"/>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上期发生额</w:t>
                </w:r>
              </w:p>
            </w:tc>
          </w:sdtContent>
        </w:sdt>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7,719,939.23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3,101,401.74</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-422,013.04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-837,689.82</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-6,902,250.21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-4,538,724.52</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t>邮汇费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256,501.86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233,920.32</w:t>
            </w:r>
          </w:p>
        </w:tc>
      </w:tr>
      <w:tr w:rsidR="000C5659">
        <w:tc>
          <w:tcPr>
            <w:tcW w:w="221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652,177.84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-2,041,092.28</w:t>
            </w:r>
          </w:p>
        </w:tc>
      </w:tr>
    </w:tbl>
    <w:p w:rsidR="000C5659" w:rsidRDefault="000C5659">
      <w:pPr>
        <w:pStyle w:val="Style325"/>
      </w:pPr>
    </w:p>
    <w:p w:rsidR="000C5659" w:rsidRDefault="000E33C4">
      <w:pPr>
        <w:rPr>
          <w:color w:val="000000" w:themeColor="text1"/>
        </w:rPr>
      </w:pPr>
      <w:r>
        <w:rPr>
          <w:rFonts w:hint="eastAsia"/>
          <w:color w:val="000000" w:themeColor="text1"/>
        </w:rPr>
        <w:t>其他说明：</w:t>
      </w:r>
    </w:p>
    <w:sdt>
      <w:sdtPr>
        <w:rPr>
          <w:color w:val="000000" w:themeColor="text1"/>
        </w:rPr>
        <w:alias w:val="财务费用的其他说明事项"/>
        <w:tag w:val="_GBC_5bd15645edcc4a51b94ddca48ee9be98"/>
        <w:id w:val="-814411197"/>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其他收益</w:t>
      </w:r>
    </w:p>
    <w:sdt>
      <w:sdtPr>
        <w:rPr>
          <w:color w:val="000000" w:themeColor="text1"/>
        </w:rPr>
        <w:alias w:val="是否适用：财务报表其他收益[双击切换]"/>
        <w:tag w:val="_GBC_86fde94b0d4e4b1f997adc6f063babf7"/>
        <w:id w:val="-36621292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rFonts w:cstheme="minorBidi"/>
          <w:color w:val="000000" w:themeColor="text1"/>
          <w:szCs w:val="22"/>
        </w:rPr>
      </w:pPr>
      <w:r>
        <w:rPr>
          <w:rFonts w:cstheme="minorBidi"/>
          <w:color w:val="000000" w:themeColor="text1"/>
          <w:szCs w:val="22"/>
        </w:rPr>
        <w:t>单位：</w:t>
      </w:r>
      <w:sdt>
        <w:sdtPr>
          <w:rPr>
            <w:rFonts w:cstheme="minorBidi"/>
            <w:color w:val="000000" w:themeColor="text1"/>
            <w:szCs w:val="22"/>
          </w:rPr>
          <w:alias w:val="单位：财务报表其他收益明细"/>
          <w:tag w:val="_GBC_12755937dc3b48a489abda6cc5cda8d6"/>
          <w:id w:val="-434471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cstheme="minorBidi" w:hint="eastAsia"/>
              <w:color w:val="000000" w:themeColor="text1"/>
              <w:szCs w:val="22"/>
            </w:rPr>
            <w:t>元</w:t>
          </w:r>
        </w:sdtContent>
      </w:sdt>
      <w:r>
        <w:rPr>
          <w:rFonts w:cstheme="minorBidi"/>
          <w:color w:val="000000" w:themeColor="text1"/>
          <w:szCs w:val="22"/>
        </w:rPr>
        <w:t xml:space="preserve">  币种：</w:t>
      </w:r>
      <w:sdt>
        <w:sdtPr>
          <w:rPr>
            <w:rFonts w:cstheme="minorBidi"/>
            <w:color w:val="000000" w:themeColor="text1"/>
            <w:szCs w:val="22"/>
          </w:rPr>
          <w:alias w:val="币种：财务报表其他收益明细"/>
          <w:tag w:val="_GBC_3daaaf66c73e4201b067378f3d17e13f"/>
          <w:id w:val="4017233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cstheme="minorBidi" w:hint="eastAsia"/>
              <w:color w:val="000000" w:themeColor="text1"/>
              <w:szCs w:val="22"/>
            </w:rPr>
            <w:t>人民币</w:t>
          </w:r>
        </w:sdtContent>
      </w:sdt>
    </w:p>
    <w:tbl>
      <w:tblPr>
        <w:tblStyle w:val="g8"/>
        <w:tblW w:w="0" w:type="auto"/>
        <w:tblLook w:val="04A0" w:firstRow="1" w:lastRow="0" w:firstColumn="1" w:lastColumn="0" w:noHBand="0" w:noVBand="1"/>
      </w:tblPr>
      <w:tblGrid>
        <w:gridCol w:w="3932"/>
        <w:gridCol w:w="2509"/>
        <w:gridCol w:w="2382"/>
      </w:tblGrid>
      <w:tr w:rsidR="000C5659">
        <w:tc>
          <w:tcPr>
            <w:tcW w:w="4077" w:type="dxa"/>
          </w:tcPr>
          <w:sdt>
            <w:sdtPr>
              <w:rPr>
                <w:rFonts w:ascii="Times New Roman" w:hAnsi="Times New Roman" w:hint="eastAsia"/>
                <w:color w:val="000000" w:themeColor="text1"/>
              </w:rPr>
              <w:tag w:val="_PLD_92b33ced889140b7b84894c5f486f4e6"/>
              <w:id w:val="-155924013"/>
            </w:sdtPr>
            <w:sdtEndPr/>
            <w:sdtContent>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按性质分类</w:t>
                </w:r>
              </w:p>
            </w:sdtContent>
          </w:sdt>
        </w:tc>
        <w:tc>
          <w:tcPr>
            <w:tcW w:w="2552" w:type="dxa"/>
          </w:tcPr>
          <w:sdt>
            <w:sdtPr>
              <w:rPr>
                <w:rFonts w:ascii="Times New Roman" w:hAnsi="Times New Roman" w:hint="eastAsia"/>
                <w:color w:val="000000" w:themeColor="text1"/>
              </w:rPr>
              <w:tag w:val="_PLD_73b3023fbaed423bbb8ca1ec42a2eaf9"/>
              <w:id w:val="99614185"/>
            </w:sdtPr>
            <w:sdtEndPr/>
            <w:sdtContent>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本期发生额</w:t>
                </w:r>
              </w:p>
            </w:sdtContent>
          </w:sdt>
        </w:tc>
        <w:tc>
          <w:tcPr>
            <w:tcW w:w="2420" w:type="dxa"/>
          </w:tcPr>
          <w:sdt>
            <w:sdtPr>
              <w:rPr>
                <w:rFonts w:ascii="Times New Roman" w:hAnsi="Times New Roman" w:hint="eastAsia"/>
                <w:color w:val="000000" w:themeColor="text1"/>
              </w:rPr>
              <w:tag w:val="_PLD_9f39351a333c497da22a0955aff07b4c"/>
              <w:id w:val="1135134035"/>
            </w:sdtPr>
            <w:sdtEndPr/>
            <w:sdtContent>
              <w:p w:rsidR="000C5659" w:rsidRDefault="000E33C4">
                <w:pPr>
                  <w:jc w:val="center"/>
                  <w:rPr>
                    <w:rFonts w:ascii="Times New Roman" w:hAnsi="Times New Roman"/>
                    <w:color w:val="000000" w:themeColor="text1"/>
                  </w:rPr>
                </w:pPr>
                <w:r>
                  <w:rPr>
                    <w:rFonts w:ascii="Times New Roman" w:hAnsi="Times New Roman" w:hint="eastAsia"/>
                    <w:color w:val="000000" w:themeColor="text1"/>
                  </w:rPr>
                  <w:t>上期发生额</w:t>
                </w:r>
              </w:p>
            </w:sdtContent>
          </w:sdt>
        </w:tc>
      </w:tr>
      <w:tr w:rsidR="000C5659">
        <w:tc>
          <w:tcPr>
            <w:tcW w:w="4077" w:type="dxa"/>
          </w:tcPr>
          <w:p w:rsidR="000C5659" w:rsidRDefault="000E33C4">
            <w:pPr>
              <w:rPr>
                <w:rFonts w:ascii="Times New Roman" w:hAnsi="Times New Roman"/>
              </w:rPr>
            </w:pPr>
            <w:r>
              <w:rPr>
                <w:rFonts w:ascii="Times New Roman" w:hAnsi="Times New Roman"/>
              </w:rPr>
              <w:t>政府补助</w:t>
            </w:r>
          </w:p>
        </w:tc>
        <w:tc>
          <w:tcPr>
            <w:tcW w:w="2552"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2,351,285.98</w:t>
            </w:r>
          </w:p>
        </w:tc>
        <w:tc>
          <w:tcPr>
            <w:tcW w:w="2420"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1,702,513.15</w:t>
            </w:r>
          </w:p>
        </w:tc>
      </w:tr>
      <w:tr w:rsidR="000C5659">
        <w:tc>
          <w:tcPr>
            <w:tcW w:w="4077" w:type="dxa"/>
          </w:tcPr>
          <w:p w:rsidR="000C5659" w:rsidRDefault="000E33C4">
            <w:pPr>
              <w:rPr>
                <w:rFonts w:ascii="Times New Roman" w:hAnsi="Times New Roman"/>
              </w:rPr>
            </w:pPr>
            <w:r>
              <w:rPr>
                <w:rFonts w:ascii="Times New Roman" w:hAnsi="Times New Roman"/>
              </w:rPr>
              <w:t>代扣个人所得税手续费</w:t>
            </w:r>
          </w:p>
        </w:tc>
        <w:tc>
          <w:tcPr>
            <w:tcW w:w="2552"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51,786.48</w:t>
            </w:r>
          </w:p>
        </w:tc>
        <w:tc>
          <w:tcPr>
            <w:tcW w:w="2420"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63,590.18</w:t>
            </w:r>
          </w:p>
        </w:tc>
      </w:tr>
      <w:tr w:rsidR="000C5659">
        <w:tc>
          <w:tcPr>
            <w:tcW w:w="4077" w:type="dxa"/>
          </w:tcPr>
          <w:p w:rsidR="000C5659" w:rsidRDefault="000E33C4">
            <w:pPr>
              <w:rPr>
                <w:rFonts w:ascii="Times New Roman" w:hAnsi="Times New Roman"/>
              </w:rPr>
            </w:pPr>
            <w:r>
              <w:rPr>
                <w:rFonts w:ascii="Times New Roman" w:hAnsi="Times New Roman"/>
              </w:rPr>
              <w:t>进项税加计抵减</w:t>
            </w:r>
          </w:p>
        </w:tc>
        <w:tc>
          <w:tcPr>
            <w:tcW w:w="2552"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97,671.20</w:t>
            </w:r>
          </w:p>
        </w:tc>
        <w:tc>
          <w:tcPr>
            <w:tcW w:w="2420" w:type="dxa"/>
          </w:tcPr>
          <w:p w:rsidR="000C5659" w:rsidRDefault="000C5659">
            <w:pPr>
              <w:jc w:val="right"/>
              <w:rPr>
                <w:rFonts w:asciiTheme="minorEastAsia" w:eastAsiaTheme="minorEastAsia" w:hAnsiTheme="minorEastAsia" w:cstheme="minorEastAsia"/>
              </w:rPr>
            </w:pPr>
          </w:p>
        </w:tc>
      </w:tr>
      <w:tr w:rsidR="000C5659">
        <w:tc>
          <w:tcPr>
            <w:tcW w:w="4077" w:type="dxa"/>
          </w:tcPr>
          <w:p w:rsidR="000C5659" w:rsidRDefault="000E33C4">
            <w:pPr>
              <w:rPr>
                <w:rFonts w:ascii="Times New Roman" w:hAnsi="Times New Roman"/>
              </w:rPr>
            </w:pPr>
            <w:r>
              <w:rPr>
                <w:rFonts w:ascii="Times New Roman" w:hAnsi="Times New Roman"/>
              </w:rPr>
              <w:t>销项税减免</w:t>
            </w:r>
          </w:p>
        </w:tc>
        <w:tc>
          <w:tcPr>
            <w:tcW w:w="2552" w:type="dxa"/>
          </w:tcPr>
          <w:p w:rsidR="000C5659" w:rsidRDefault="000C5659">
            <w:pPr>
              <w:jc w:val="right"/>
              <w:rPr>
                <w:rFonts w:asciiTheme="minorEastAsia" w:eastAsiaTheme="minorEastAsia" w:hAnsiTheme="minorEastAsia" w:cstheme="minorEastAsia"/>
              </w:rPr>
            </w:pPr>
          </w:p>
        </w:tc>
        <w:tc>
          <w:tcPr>
            <w:tcW w:w="2420"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291.26</w:t>
            </w:r>
          </w:p>
        </w:tc>
      </w:tr>
      <w:tr w:rsidR="000C5659">
        <w:tc>
          <w:tcPr>
            <w:tcW w:w="4077"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合计</w:t>
            </w:r>
          </w:p>
        </w:tc>
        <w:tc>
          <w:tcPr>
            <w:tcW w:w="2552" w:type="dxa"/>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2,500,743.66</w:t>
            </w:r>
          </w:p>
        </w:tc>
        <w:tc>
          <w:tcPr>
            <w:tcW w:w="2420" w:type="dxa"/>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1,766,394.59</w:t>
            </w:r>
          </w:p>
        </w:tc>
      </w:tr>
    </w:tbl>
    <w:p w:rsidR="000C5659" w:rsidRDefault="000C5659">
      <w:pPr>
        <w:pStyle w:val="Style325"/>
      </w:pPr>
    </w:p>
    <w:p w:rsidR="000C5659" w:rsidRDefault="000E33C4">
      <w:pPr>
        <w:rPr>
          <w:color w:val="000000" w:themeColor="text1"/>
        </w:rPr>
      </w:pPr>
      <w:r>
        <w:rPr>
          <w:rFonts w:hint="eastAsia"/>
          <w:color w:val="000000" w:themeColor="text1"/>
        </w:rPr>
        <w:t>其他</w:t>
      </w:r>
      <w:r>
        <w:rPr>
          <w:color w:val="000000" w:themeColor="text1"/>
        </w:rPr>
        <w:t>说明：</w:t>
      </w:r>
    </w:p>
    <w:sdt>
      <w:sdtPr>
        <w:rPr>
          <w:color w:val="000000" w:themeColor="text1"/>
        </w:rPr>
        <w:alias w:val="财务报表其他收益其他说明"/>
        <w:tag w:val="_GBC_9489a93c45754a9ea78d3a872093a735"/>
        <w:id w:val="1906097074"/>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39" w:name="_Hlk11857276"/>
      <w:r>
        <w:rPr>
          <w:color w:val="000000" w:themeColor="text1"/>
          <w:szCs w:val="21"/>
        </w:rPr>
        <w:t>投资收益</w:t>
      </w:r>
    </w:p>
    <w:sdt>
      <w:sdtPr>
        <w:rPr>
          <w:color w:val="000000" w:themeColor="text1"/>
        </w:rPr>
        <w:alias w:val="是否适用：投资收益[双击切换]"/>
        <w:tag w:val="_GBC_39356fd9dd9e4f5497d61d781210b2fe"/>
        <w:id w:val="-28958989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b/>
          <w:color w:val="000000" w:themeColor="text1"/>
        </w:rPr>
      </w:pPr>
      <w:bookmarkStart w:id="340" w:name="_Hlk10538462"/>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8785b82a02ca4b0db1de3227128775b4"/>
          <w:id w:val="20098580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r>
        <w:rPr>
          <w:rFonts w:hint="eastAsia"/>
          <w:color w:val="000000" w:themeColor="text1"/>
        </w:rPr>
        <w:t>：</w:t>
      </w:r>
      <w:sdt>
        <w:sdtPr>
          <w:rPr>
            <w:rFonts w:hint="eastAsia"/>
            <w:color w:val="000000" w:themeColor="text1"/>
          </w:rPr>
          <w:alias w:val="币种：财务附注：会计报表中的投资收益项目增加"/>
          <w:tag w:val="_GBC_c4394dc445a94e9a8a4b83889c79fcb1"/>
          <w:id w:val="966864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0C5659">
        <w:sdt>
          <w:sdtPr>
            <w:rPr>
              <w:color w:val="000000" w:themeColor="text1"/>
            </w:rPr>
            <w:tag w:val="_PLD_2fef67a5db2c453288257a2dfe03fd6e"/>
            <w:id w:val="1687401186"/>
          </w:sdtPr>
          <w:sdtEndPr/>
          <w:sdtContent>
            <w:tc>
              <w:tcPr>
                <w:tcW w:w="2018" w:type="pct"/>
                <w:vAlign w:val="center"/>
              </w:tcPr>
              <w:p w:rsidR="000C5659" w:rsidRDefault="000E33C4">
                <w:pPr>
                  <w:ind w:left="420" w:hanging="420"/>
                  <w:jc w:val="center"/>
                  <w:rPr>
                    <w:color w:val="000000" w:themeColor="text1"/>
                  </w:rPr>
                </w:pPr>
                <w:r>
                  <w:rPr>
                    <w:rFonts w:hint="eastAsia"/>
                    <w:color w:val="000000" w:themeColor="text1"/>
                  </w:rPr>
                  <w:t>项目</w:t>
                </w:r>
              </w:p>
            </w:tc>
          </w:sdtContent>
        </w:sdt>
        <w:sdt>
          <w:sdtPr>
            <w:rPr>
              <w:color w:val="000000" w:themeColor="text1"/>
            </w:rPr>
            <w:tag w:val="_PLD_3f927d0ff25c47abb0f9b18794554af6"/>
            <w:id w:val="-425502543"/>
          </w:sdtPr>
          <w:sdtEndPr/>
          <w:sdtContent>
            <w:tc>
              <w:tcPr>
                <w:tcW w:w="1488" w:type="pct"/>
                <w:vAlign w:val="center"/>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a6cbfed1438f48b7947079a5821a9eba"/>
            <w:id w:val="-511074851"/>
          </w:sdtPr>
          <w:sdtEndPr/>
          <w:sdtContent>
            <w:tc>
              <w:tcPr>
                <w:tcW w:w="1494" w:type="pct"/>
                <w:vAlign w:val="center"/>
              </w:tcPr>
              <w:p w:rsidR="000C5659" w:rsidRDefault="000E33C4">
                <w:pPr>
                  <w:jc w:val="center"/>
                  <w:rPr>
                    <w:color w:val="000000" w:themeColor="text1"/>
                  </w:rPr>
                </w:pPr>
                <w:r>
                  <w:rPr>
                    <w:rFonts w:hint="eastAsia"/>
                    <w:color w:val="000000" w:themeColor="text1"/>
                  </w:rPr>
                  <w:t>上期发生额</w:t>
                </w:r>
              </w:p>
            </w:tc>
          </w:sdtContent>
        </w:sdt>
      </w:tr>
      <w:tr w:rsidR="000C5659">
        <w:tc>
          <w:tcPr>
            <w:tcW w:w="2018" w:type="pct"/>
          </w:tcPr>
          <w:p w:rsidR="000C5659" w:rsidRDefault="000E33C4">
            <w:pPr>
              <w:rPr>
                <w:color w:val="000000" w:themeColor="text1"/>
              </w:rPr>
            </w:pPr>
            <w:r>
              <w:rPr>
                <w:rFonts w:hint="eastAsia"/>
                <w:color w:val="000000" w:themeColor="text1"/>
              </w:rPr>
              <w:t>权益法核算的长期股权投资收益</w:t>
            </w:r>
          </w:p>
        </w:tc>
        <w:tc>
          <w:tcPr>
            <w:tcW w:w="1488" w:type="pct"/>
            <w:vAlign w:val="center"/>
          </w:tcPr>
          <w:p w:rsidR="000C5659" w:rsidRDefault="000E33C4">
            <w:pPr>
              <w:jc w:val="right"/>
            </w:pPr>
            <w:r>
              <w:rPr>
                <w:rFonts w:hint="eastAsia"/>
                <w:color w:val="000000"/>
              </w:rPr>
              <w:t>-15,090,031.23</w:t>
            </w:r>
          </w:p>
        </w:tc>
        <w:tc>
          <w:tcPr>
            <w:tcW w:w="1494" w:type="pct"/>
            <w:vAlign w:val="center"/>
          </w:tcPr>
          <w:p w:rsidR="000C5659" w:rsidRDefault="000E33C4">
            <w:pPr>
              <w:jc w:val="right"/>
            </w:pPr>
            <w:r>
              <w:rPr>
                <w:rFonts w:hint="eastAsia"/>
                <w:color w:val="000000"/>
              </w:rPr>
              <w:t>7,381,633.14</w:t>
            </w:r>
          </w:p>
        </w:tc>
      </w:tr>
      <w:tr w:rsidR="000C5659">
        <w:tc>
          <w:tcPr>
            <w:tcW w:w="2018" w:type="pct"/>
          </w:tcPr>
          <w:p w:rsidR="000C5659" w:rsidRDefault="000E33C4">
            <w:pPr>
              <w:rPr>
                <w:color w:val="000000" w:themeColor="text1"/>
              </w:rPr>
            </w:pPr>
            <w:r>
              <w:rPr>
                <w:rFonts w:hint="eastAsia"/>
                <w:color w:val="000000" w:themeColor="text1"/>
              </w:rPr>
              <w:t>处置长期股权投资产生的投资收益</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rPr>
                <w:color w:val="000000" w:themeColor="text1"/>
              </w:rPr>
            </w:pPr>
            <w:r>
              <w:rPr>
                <w:rFonts w:hint="eastAsia"/>
                <w:color w:val="000000" w:themeColor="text1"/>
              </w:rPr>
              <w:t>交易性金融资产在持有期间的投资收益</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-3,387.76</w:t>
            </w:r>
          </w:p>
        </w:tc>
      </w:tr>
      <w:tr w:rsidR="000C5659">
        <w:tc>
          <w:tcPr>
            <w:tcW w:w="2018" w:type="pct"/>
          </w:tcPr>
          <w:p w:rsidR="000C5659" w:rsidRDefault="000E33C4">
            <w:pPr>
              <w:rPr>
                <w:color w:val="000000" w:themeColor="text1"/>
              </w:rPr>
            </w:pPr>
            <w:r>
              <w:rPr>
                <w:rFonts w:hint="eastAsia"/>
                <w:color w:val="000000" w:themeColor="text1"/>
              </w:rPr>
              <w:t>其他权益工具投资在持有期间取得的股利收入</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rPr>
                <w:color w:val="000000" w:themeColor="text1"/>
              </w:rPr>
            </w:pPr>
            <w:r>
              <w:rPr>
                <w:rFonts w:hint="eastAsia"/>
                <w:color w:val="000000" w:themeColor="text1"/>
              </w:rPr>
              <w:t>债权投资在持有期间取得的利息收入</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rPr>
                <w:color w:val="000000" w:themeColor="text1"/>
              </w:rPr>
            </w:pPr>
            <w:r>
              <w:rPr>
                <w:rFonts w:hint="eastAsia"/>
                <w:color w:val="000000" w:themeColor="text1"/>
              </w:rPr>
              <w:t>其他债权投资在持有期间取得的利息收入</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rPr>
                <w:color w:val="000000" w:themeColor="text1"/>
              </w:rPr>
            </w:pPr>
            <w:r>
              <w:rPr>
                <w:rFonts w:hint="eastAsia"/>
                <w:color w:val="000000" w:themeColor="text1"/>
              </w:rPr>
              <w:t>处置交易性金融资产取得的投资收益</w:t>
            </w:r>
          </w:p>
        </w:tc>
        <w:tc>
          <w:tcPr>
            <w:tcW w:w="1488" w:type="pct"/>
            <w:vAlign w:val="center"/>
          </w:tcPr>
          <w:p w:rsidR="000C5659" w:rsidRDefault="000E33C4">
            <w:pPr>
              <w:jc w:val="right"/>
            </w:pPr>
            <w:r>
              <w:rPr>
                <w:rFonts w:hint="eastAsia"/>
                <w:color w:val="000000"/>
              </w:rPr>
              <w:t>-32,961.87</w:t>
            </w:r>
          </w:p>
        </w:tc>
        <w:tc>
          <w:tcPr>
            <w:tcW w:w="1494" w:type="pct"/>
            <w:vAlign w:val="center"/>
          </w:tcPr>
          <w:p w:rsidR="000C5659" w:rsidRDefault="000E33C4">
            <w:pPr>
              <w:jc w:val="right"/>
            </w:pPr>
            <w:r>
              <w:rPr>
                <w:rFonts w:hint="eastAsia"/>
                <w:color w:val="000000"/>
              </w:rPr>
              <w:t>-4,748,883.90</w:t>
            </w:r>
          </w:p>
        </w:tc>
      </w:tr>
      <w:tr w:rsidR="000C5659">
        <w:tc>
          <w:tcPr>
            <w:tcW w:w="2018" w:type="pct"/>
          </w:tcPr>
          <w:p w:rsidR="000C5659" w:rsidRDefault="000E33C4">
            <w:pPr>
              <w:rPr>
                <w:color w:val="000000" w:themeColor="text1"/>
              </w:rPr>
            </w:pPr>
            <w:r>
              <w:rPr>
                <w:rFonts w:hint="eastAsia"/>
                <w:color w:val="000000" w:themeColor="text1"/>
              </w:rPr>
              <w:t>处置其他权益工具投资取得的投资收益</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rPr>
                <w:color w:val="000000" w:themeColor="text1"/>
              </w:rPr>
            </w:pPr>
            <w:r>
              <w:rPr>
                <w:rFonts w:hint="eastAsia"/>
                <w:color w:val="000000" w:themeColor="text1"/>
              </w:rPr>
              <w:t>处置债权投资取得的投资收益</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rPr>
                <w:color w:val="000000" w:themeColor="text1"/>
              </w:rPr>
            </w:pPr>
            <w:r>
              <w:rPr>
                <w:rFonts w:hint="eastAsia"/>
                <w:color w:val="000000" w:themeColor="text1"/>
              </w:rPr>
              <w:t>处置其他债权投资取得的投资收益</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rPr>
                <w:color w:val="000000" w:themeColor="text1"/>
              </w:rPr>
            </w:pPr>
            <w:r>
              <w:rPr>
                <w:rFonts w:hint="eastAsia"/>
                <w:color w:val="000000" w:themeColor="text1"/>
              </w:rPr>
              <w:t>债务重组收益</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 xml:space="preserve">　</w:t>
            </w:r>
          </w:p>
        </w:tc>
      </w:tr>
      <w:tr w:rsidR="000C5659">
        <w:tc>
          <w:tcPr>
            <w:tcW w:w="2018" w:type="pct"/>
          </w:tcPr>
          <w:p w:rsidR="000C5659" w:rsidRDefault="000E33C4">
            <w:pPr>
              <w:pStyle w:val="Style325"/>
            </w:pPr>
            <w:r>
              <w:rPr>
                <w:rFonts w:hint="eastAsia"/>
              </w:rPr>
              <w:t>理财产品等投资收益</w:t>
            </w:r>
          </w:p>
        </w:tc>
        <w:tc>
          <w:tcPr>
            <w:tcW w:w="1488" w:type="pct"/>
            <w:vAlign w:val="center"/>
          </w:tcPr>
          <w:p w:rsidR="000C5659" w:rsidRDefault="000E33C4">
            <w:pPr>
              <w:jc w:val="right"/>
            </w:pPr>
            <w:r>
              <w:rPr>
                <w:rFonts w:hint="eastAsia"/>
                <w:color w:val="000000"/>
              </w:rPr>
              <w:t xml:space="preserve">　</w:t>
            </w:r>
          </w:p>
        </w:tc>
        <w:tc>
          <w:tcPr>
            <w:tcW w:w="1494" w:type="pct"/>
            <w:vAlign w:val="center"/>
          </w:tcPr>
          <w:p w:rsidR="000C5659" w:rsidRDefault="000E33C4">
            <w:pPr>
              <w:jc w:val="right"/>
            </w:pPr>
            <w:r>
              <w:rPr>
                <w:rFonts w:hint="eastAsia"/>
                <w:color w:val="000000"/>
              </w:rPr>
              <w:t>19,331.50</w:t>
            </w:r>
          </w:p>
        </w:tc>
      </w:tr>
      <w:tr w:rsidR="000C5659">
        <w:tc>
          <w:tcPr>
            <w:tcW w:w="2018" w:type="pct"/>
            <w:vAlign w:val="center"/>
          </w:tcPr>
          <w:p w:rsidR="000C5659" w:rsidRDefault="000E33C4">
            <w:pPr>
              <w:jc w:val="center"/>
              <w:rPr>
                <w:color w:val="000000" w:themeColor="text1"/>
              </w:rPr>
            </w:pPr>
            <w:r>
              <w:rPr>
                <w:rFonts w:hint="eastAsia"/>
                <w:color w:val="000000" w:themeColor="text1"/>
              </w:rPr>
              <w:t>合计</w:t>
            </w:r>
          </w:p>
        </w:tc>
        <w:tc>
          <w:tcPr>
            <w:tcW w:w="1488" w:type="pct"/>
            <w:vAlign w:val="center"/>
          </w:tcPr>
          <w:p w:rsidR="000C5659" w:rsidRDefault="000E33C4">
            <w:pPr>
              <w:jc w:val="right"/>
            </w:pPr>
            <w:r>
              <w:rPr>
                <w:rFonts w:hint="eastAsia"/>
                <w:color w:val="000000"/>
              </w:rPr>
              <w:t>-15,122,993.10</w:t>
            </w:r>
          </w:p>
        </w:tc>
        <w:tc>
          <w:tcPr>
            <w:tcW w:w="1494" w:type="pct"/>
            <w:vAlign w:val="center"/>
          </w:tcPr>
          <w:p w:rsidR="000C5659" w:rsidRDefault="000E33C4">
            <w:pPr>
              <w:jc w:val="right"/>
            </w:pPr>
            <w:r>
              <w:rPr>
                <w:rFonts w:hint="eastAsia"/>
                <w:color w:val="000000"/>
              </w:rPr>
              <w:t>2,648,692.98</w:t>
            </w:r>
          </w:p>
        </w:tc>
      </w:tr>
    </w:tbl>
    <w:bookmarkEnd w:id="340"/>
    <w:p w:rsidR="000C5659" w:rsidRDefault="000E33C4">
      <w:pPr>
        <w:spacing w:before="60" w:after="60" w:line="360" w:lineRule="exact"/>
        <w:rPr>
          <w:color w:val="000000" w:themeColor="text1"/>
        </w:rPr>
      </w:pPr>
      <w:r>
        <w:rPr>
          <w:rFonts w:hint="eastAsia"/>
          <w:color w:val="000000" w:themeColor="text1"/>
        </w:rPr>
        <w:t>其他说明：</w:t>
      </w:r>
    </w:p>
    <w:sdt>
      <w:sdtPr>
        <w:rPr>
          <w:rFonts w:hint="eastAsia"/>
          <w:color w:val="000000" w:themeColor="text1"/>
        </w:rPr>
        <w:alias w:val="投资收益说明"/>
        <w:tag w:val="_GBC_911712f239a14e98b4c6c89180ceef27"/>
        <w:id w:val="-1761975966"/>
        <w:placeholder>
          <w:docPart w:val="GBC22222222222222222222222222222"/>
        </w:placeholder>
      </w:sdtPr>
      <w:sdtEndPr/>
      <w:sdtContent>
        <w:p w:rsidR="000C5659" w:rsidRDefault="000E33C4">
          <w:pPr>
            <w:autoSpaceDE w:val="0"/>
            <w:autoSpaceDN w:val="0"/>
            <w:adjustRightInd w:val="0"/>
            <w:rPr>
              <w:color w:val="000000" w:themeColor="text1"/>
            </w:rPr>
          </w:pPr>
          <w:r>
            <w:rPr>
              <w:rFonts w:hint="eastAsia"/>
              <w:color w:val="000000" w:themeColor="text1"/>
            </w:rPr>
            <w:t>无</w:t>
          </w:r>
        </w:p>
      </w:sdtContent>
    </w:sdt>
    <w:bookmarkEnd w:id="339"/>
    <w:p w:rsidR="000C5659" w:rsidRDefault="000C5659">
      <w:pPr>
        <w:autoSpaceDE w:val="0"/>
        <w:autoSpaceDN w:val="0"/>
        <w:adjustRightInd w:val="0"/>
        <w:rPr>
          <w:color w:val="000000" w:themeColor="text1"/>
        </w:rPr>
      </w:pPr>
    </w:p>
    <w:p w:rsidR="000C5659" w:rsidRDefault="000E33C4" w:rsidP="000743DD">
      <w:pPr>
        <w:pStyle w:val="35"/>
        <w:numPr>
          <w:ilvl w:val="0"/>
          <w:numId w:val="50"/>
        </w:numPr>
        <w:rPr>
          <w:color w:val="000000" w:themeColor="text1"/>
          <w:szCs w:val="21"/>
        </w:rPr>
      </w:pPr>
      <w:bookmarkStart w:id="341" w:name="_Hlk10538831"/>
      <w:r>
        <w:rPr>
          <w:color w:val="000000" w:themeColor="text1"/>
          <w:szCs w:val="21"/>
        </w:rPr>
        <w:t>净敞口套期收益</w:t>
      </w:r>
    </w:p>
    <w:sdt>
      <w:sdtPr>
        <w:rPr>
          <w:color w:val="000000" w:themeColor="text1"/>
        </w:rPr>
        <w:alias w:val="是否适用：净敞口套期收益[双击切换]"/>
        <w:tag w:val="_GBC_33e106b71ec640cd9126570421557bda"/>
        <w:id w:val="85670449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41"/>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42" w:name="_Hlk10538896"/>
      <w:r>
        <w:rPr>
          <w:color w:val="000000" w:themeColor="text1"/>
          <w:szCs w:val="21"/>
        </w:rPr>
        <w:t>公允价值变动收益</w:t>
      </w:r>
    </w:p>
    <w:sdt>
      <w:sdtPr>
        <w:rPr>
          <w:color w:val="000000" w:themeColor="text1"/>
        </w:rPr>
        <w:alias w:val="是否适用：公允价值变动收益[双击切换]"/>
        <w:tag w:val="_GBC_21669fdeb74c4273a55facece1a56109"/>
        <w:id w:val="84019839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公允价值变动收益"/>
          <w:tag w:val="_GBC_a2b6fb2423244bbaa3600e1be3b4d548"/>
          <w:id w:val="16917180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公允价值变动收益"/>
          <w:tag w:val="_GBC_0343c5436a0742acbf5d87cc18c51638"/>
          <w:id w:val="-18670622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755"/>
        <w:gridCol w:w="2755"/>
      </w:tblGrid>
      <w:tr w:rsidR="000C5659">
        <w:sdt>
          <w:sdtPr>
            <w:rPr>
              <w:color w:val="000000" w:themeColor="text1"/>
            </w:rPr>
            <w:tag w:val="_PLD_a07c0df95be549039f5bf24c4a595cbd"/>
            <w:id w:val="124119780"/>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产生公允价值变动收益的来源</w:t>
                </w:r>
              </w:p>
            </w:tc>
          </w:sdtContent>
        </w:sdt>
        <w:sdt>
          <w:sdtPr>
            <w:rPr>
              <w:color w:val="000000" w:themeColor="text1"/>
            </w:rPr>
            <w:tag w:val="_PLD_b9803e3282e549d5b5e179588ec75dc3"/>
            <w:id w:val="-1969357291"/>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本期发生额</w:t>
                </w:r>
              </w:p>
            </w:tc>
          </w:sdtContent>
        </w:sdt>
        <w:sdt>
          <w:sdtPr>
            <w:rPr>
              <w:color w:val="000000" w:themeColor="text1"/>
            </w:rPr>
            <w:tag w:val="_PLD_943dd94af7be43cd9f57756acf9a8c19"/>
            <w:id w:val="-811253071"/>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上期发生额</w:t>
                </w:r>
              </w:p>
            </w:tc>
          </w:sdtContent>
        </w:sdt>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pStyle w:val="Style325"/>
            </w:pPr>
            <w:r>
              <w:t>交易性金融资产负债及其他非流动金融资产</w:t>
            </w:r>
          </w:p>
        </w:tc>
        <w:tc>
          <w:tcPr>
            <w:tcW w:w="1561" w:type="pct"/>
            <w:tcBorders>
              <w:top w:val="single" w:sz="4" w:space="0" w:color="auto"/>
              <w:left w:val="single" w:sz="4" w:space="0" w:color="auto"/>
              <w:bottom w:val="single" w:sz="4" w:space="0" w:color="auto"/>
              <w:right w:val="single" w:sz="4" w:space="0" w:color="auto"/>
            </w:tcBorders>
          </w:tcPr>
          <w:p w:rsidR="000C5659" w:rsidRDefault="000E33C4">
            <w:pPr>
              <w:jc w:val="right"/>
            </w:pPr>
            <w:r>
              <w:t>-165,705.98</w:t>
            </w:r>
          </w:p>
        </w:tc>
        <w:tc>
          <w:tcPr>
            <w:tcW w:w="156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3,220,437.00</w:t>
            </w:r>
          </w:p>
        </w:tc>
      </w:tr>
      <w:tr w:rsidR="000C5659">
        <w:tc>
          <w:tcPr>
            <w:tcW w:w="1878"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合计</w:t>
            </w:r>
          </w:p>
        </w:tc>
        <w:tc>
          <w:tcPr>
            <w:tcW w:w="1561" w:type="pct"/>
            <w:tcBorders>
              <w:top w:val="single" w:sz="4" w:space="0" w:color="auto"/>
              <w:left w:val="single" w:sz="4" w:space="0" w:color="auto"/>
              <w:bottom w:val="single" w:sz="4" w:space="0" w:color="auto"/>
              <w:right w:val="single" w:sz="4" w:space="0" w:color="auto"/>
            </w:tcBorders>
          </w:tcPr>
          <w:p w:rsidR="000C5659" w:rsidRDefault="000E33C4">
            <w:pPr>
              <w:jc w:val="right"/>
            </w:pPr>
            <w:r>
              <w:t>-165,705.98</w:t>
            </w:r>
          </w:p>
        </w:tc>
        <w:tc>
          <w:tcPr>
            <w:tcW w:w="156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3,220,437.00</w:t>
            </w:r>
          </w:p>
        </w:tc>
      </w:tr>
    </w:tbl>
    <w:p w:rsidR="000C5659" w:rsidRDefault="000C5659">
      <w:pPr>
        <w:pStyle w:val="Style325"/>
      </w:pPr>
    </w:p>
    <w:p w:rsidR="000C5659" w:rsidRDefault="000E33C4">
      <w:pPr>
        <w:spacing w:before="60" w:after="60"/>
        <w:rPr>
          <w:color w:val="000000" w:themeColor="text1"/>
        </w:rPr>
      </w:pPr>
      <w:r>
        <w:rPr>
          <w:rFonts w:hint="eastAsia"/>
          <w:color w:val="000000" w:themeColor="text1"/>
        </w:rPr>
        <w:t>其他说明：</w:t>
      </w:r>
    </w:p>
    <w:sdt>
      <w:sdtPr>
        <w:rPr>
          <w:rFonts w:hint="eastAsia"/>
          <w:color w:val="000000" w:themeColor="text1"/>
        </w:rPr>
        <w:alias w:val="公允价值变动收益的说明"/>
        <w:tag w:val="_GBC_ca97bf4455704ba1b8c90a97a9d856f0"/>
        <w:id w:val="-781656291"/>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bookmarkEnd w:id="342"/>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43" w:name="_Hlk167969990"/>
      <w:r>
        <w:rPr>
          <w:color w:val="000000" w:themeColor="text1"/>
          <w:szCs w:val="21"/>
        </w:rPr>
        <w:t>信用减值损失</w:t>
      </w:r>
    </w:p>
    <w:sdt>
      <w:sdtPr>
        <w:rPr>
          <w:color w:val="000000" w:themeColor="text1"/>
        </w:rPr>
        <w:alias w:val="是否适用：信用减值损失[双击切换]"/>
        <w:tag w:val="_GBC_7f51453d7f2c4601a61d6f9899836b88"/>
        <w:id w:val="-124017436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268"/>
        <w:ind w:left="420" w:firstLineChars="0" w:firstLine="0"/>
        <w:jc w:val="right"/>
        <w:rPr>
          <w:color w:val="000000" w:themeColor="text1"/>
        </w:rPr>
      </w:pPr>
      <w:r>
        <w:rPr>
          <w:rFonts w:hint="eastAsia"/>
          <w:color w:val="000000" w:themeColor="text1"/>
        </w:rPr>
        <w:t>单位：</w:t>
      </w:r>
      <w:sdt>
        <w:sdtPr>
          <w:rPr>
            <w:rFonts w:hint="eastAsia"/>
            <w:color w:val="000000" w:themeColor="text1"/>
          </w:rPr>
          <w:alias w:val="单位：信用减值损失"/>
          <w:tag w:val="_GBC_04574a815f0f459c8817f0fb84a3e2d6"/>
          <w:id w:val="-15417301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信用减值损失"/>
          <w:tag w:val="_GBC_5ba737d77bb34cc79c6966984148e6e6"/>
          <w:id w:val="1184249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0C5659">
        <w:sdt>
          <w:sdtPr>
            <w:rPr>
              <w:color w:val="000000" w:themeColor="text1"/>
            </w:rPr>
            <w:tag w:val="_PLD_2cc5ebd0cdc447b691d0c5739979c390"/>
            <w:id w:val="445740334"/>
          </w:sdtPr>
          <w:sdtEndPr/>
          <w:sdtContent>
            <w:tc>
              <w:tcPr>
                <w:tcW w:w="2017" w:type="pc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667ef9498e104cfdabeee4ef172c6ab3"/>
            <w:id w:val="-1318260914"/>
          </w:sdtPr>
          <w:sdtEndPr/>
          <w:sdtContent>
            <w:tc>
              <w:tcPr>
                <w:tcW w:w="1485" w:type="pct"/>
                <w:shd w:val="clear" w:color="auto" w:fill="auto"/>
                <w:vAlign w:val="center"/>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8c64052cb7e64d9095f4b7e849e06d53"/>
            <w:id w:val="-523178856"/>
          </w:sdtPr>
          <w:sdtEndPr/>
          <w:sdtContent>
            <w:tc>
              <w:tcPr>
                <w:tcW w:w="1498" w:type="pct"/>
                <w:shd w:val="clear" w:color="auto" w:fill="auto"/>
                <w:vAlign w:val="center"/>
              </w:tcPr>
              <w:p w:rsidR="000C5659" w:rsidRDefault="000E33C4">
                <w:pPr>
                  <w:jc w:val="center"/>
                  <w:rPr>
                    <w:color w:val="000000" w:themeColor="text1"/>
                  </w:rPr>
                </w:pPr>
                <w:r>
                  <w:rPr>
                    <w:rFonts w:hint="eastAsia"/>
                    <w:color w:val="000000" w:themeColor="text1"/>
                  </w:rPr>
                  <w:t>上期发生额</w:t>
                </w:r>
              </w:p>
            </w:tc>
          </w:sdtContent>
        </w:sdt>
      </w:tr>
      <w:tr w:rsidR="000C5659">
        <w:tc>
          <w:tcPr>
            <w:tcW w:w="2017" w:type="pct"/>
            <w:shd w:val="clear" w:color="auto" w:fill="auto"/>
            <w:vAlign w:val="center"/>
          </w:tcPr>
          <w:p w:rsidR="000C5659" w:rsidRDefault="000E33C4">
            <w:pPr>
              <w:rPr>
                <w:color w:val="000000" w:themeColor="text1"/>
              </w:rPr>
            </w:pPr>
            <w:r>
              <w:rPr>
                <w:rFonts w:hint="eastAsia"/>
                <w:color w:val="000000" w:themeColor="text1"/>
              </w:rPr>
              <w:t>应收票据坏账损失</w:t>
            </w:r>
          </w:p>
        </w:tc>
        <w:tc>
          <w:tcPr>
            <w:tcW w:w="1485" w:type="pct"/>
            <w:shd w:val="clear" w:color="auto" w:fill="auto"/>
          </w:tcPr>
          <w:p w:rsidR="000C5659" w:rsidRDefault="000C5659">
            <w:pPr>
              <w:jc w:val="right"/>
            </w:pPr>
          </w:p>
        </w:tc>
        <w:tc>
          <w:tcPr>
            <w:tcW w:w="1498" w:type="pct"/>
            <w:shd w:val="clear" w:color="auto" w:fill="auto"/>
          </w:tcPr>
          <w:p w:rsidR="000C5659" w:rsidRDefault="000C5659">
            <w:pPr>
              <w:jc w:val="right"/>
            </w:pPr>
          </w:p>
        </w:tc>
      </w:tr>
      <w:tr w:rsidR="000C5659">
        <w:tc>
          <w:tcPr>
            <w:tcW w:w="2017" w:type="pct"/>
            <w:shd w:val="clear" w:color="auto" w:fill="auto"/>
            <w:vAlign w:val="center"/>
          </w:tcPr>
          <w:p w:rsidR="000C5659" w:rsidRDefault="000E33C4">
            <w:pPr>
              <w:rPr>
                <w:color w:val="000000" w:themeColor="text1"/>
              </w:rPr>
            </w:pPr>
            <w:r>
              <w:rPr>
                <w:rFonts w:hint="eastAsia"/>
                <w:color w:val="000000" w:themeColor="text1"/>
              </w:rPr>
              <w:t>应收账款坏账损失</w:t>
            </w:r>
          </w:p>
        </w:tc>
        <w:tc>
          <w:tcPr>
            <w:tcW w:w="1485" w:type="pct"/>
            <w:shd w:val="clear" w:color="auto" w:fill="auto"/>
            <w:vAlign w:val="center"/>
          </w:tcPr>
          <w:p w:rsidR="000C5659" w:rsidRDefault="000E33C4">
            <w:pPr>
              <w:jc w:val="right"/>
            </w:pPr>
            <w:r>
              <w:rPr>
                <w:rFonts w:hint="eastAsia"/>
                <w:color w:val="000000"/>
              </w:rPr>
              <w:t>1,676,963.17</w:t>
            </w:r>
          </w:p>
        </w:tc>
        <w:tc>
          <w:tcPr>
            <w:tcW w:w="1498" w:type="pct"/>
            <w:shd w:val="clear" w:color="auto" w:fill="auto"/>
            <w:vAlign w:val="center"/>
          </w:tcPr>
          <w:p w:rsidR="000C5659" w:rsidRDefault="000E33C4">
            <w:pPr>
              <w:jc w:val="right"/>
            </w:pPr>
            <w:r>
              <w:rPr>
                <w:rFonts w:hint="eastAsia"/>
                <w:color w:val="000000"/>
              </w:rPr>
              <w:t>381,522.95</w:t>
            </w:r>
          </w:p>
        </w:tc>
      </w:tr>
      <w:tr w:rsidR="000C5659">
        <w:tc>
          <w:tcPr>
            <w:tcW w:w="2017" w:type="pct"/>
            <w:shd w:val="clear" w:color="auto" w:fill="auto"/>
            <w:vAlign w:val="center"/>
          </w:tcPr>
          <w:p w:rsidR="000C5659" w:rsidRDefault="000E33C4">
            <w:pPr>
              <w:rPr>
                <w:color w:val="000000" w:themeColor="text1"/>
              </w:rPr>
            </w:pPr>
            <w:r>
              <w:rPr>
                <w:rFonts w:hint="eastAsia"/>
                <w:color w:val="000000" w:themeColor="text1"/>
              </w:rPr>
              <w:t>其他应收款坏账损失</w:t>
            </w:r>
          </w:p>
        </w:tc>
        <w:tc>
          <w:tcPr>
            <w:tcW w:w="1485" w:type="pct"/>
            <w:shd w:val="clear" w:color="auto" w:fill="auto"/>
            <w:vAlign w:val="center"/>
          </w:tcPr>
          <w:p w:rsidR="000C5659" w:rsidRDefault="000E33C4">
            <w:pPr>
              <w:jc w:val="right"/>
            </w:pPr>
            <w:r>
              <w:rPr>
                <w:rFonts w:hint="eastAsia"/>
                <w:color w:val="000000"/>
              </w:rPr>
              <w:t>28,065.00</w:t>
            </w:r>
          </w:p>
        </w:tc>
        <w:tc>
          <w:tcPr>
            <w:tcW w:w="1498" w:type="pct"/>
            <w:shd w:val="clear" w:color="auto" w:fill="auto"/>
            <w:vAlign w:val="center"/>
          </w:tcPr>
          <w:p w:rsidR="000C5659" w:rsidRDefault="000E33C4">
            <w:pPr>
              <w:jc w:val="right"/>
            </w:pPr>
            <w:r>
              <w:rPr>
                <w:rFonts w:hint="eastAsia"/>
                <w:color w:val="000000"/>
              </w:rPr>
              <w:t>21,498.25</w:t>
            </w:r>
          </w:p>
        </w:tc>
      </w:tr>
      <w:tr w:rsidR="000C5659">
        <w:tc>
          <w:tcPr>
            <w:tcW w:w="2017" w:type="pct"/>
            <w:shd w:val="clear" w:color="auto" w:fill="auto"/>
            <w:vAlign w:val="center"/>
          </w:tcPr>
          <w:p w:rsidR="000C5659" w:rsidRDefault="000E33C4">
            <w:pPr>
              <w:rPr>
                <w:color w:val="000000" w:themeColor="text1"/>
              </w:rPr>
            </w:pPr>
            <w:r>
              <w:rPr>
                <w:rFonts w:hint="eastAsia"/>
                <w:color w:val="000000" w:themeColor="text1"/>
              </w:rPr>
              <w:t>债权投资减值损失</w:t>
            </w:r>
          </w:p>
        </w:tc>
        <w:tc>
          <w:tcPr>
            <w:tcW w:w="1485" w:type="pct"/>
            <w:shd w:val="clear" w:color="auto" w:fill="auto"/>
          </w:tcPr>
          <w:p w:rsidR="000C5659" w:rsidRDefault="000C5659">
            <w:pPr>
              <w:jc w:val="right"/>
            </w:pPr>
          </w:p>
        </w:tc>
        <w:tc>
          <w:tcPr>
            <w:tcW w:w="1498" w:type="pct"/>
            <w:shd w:val="clear" w:color="auto" w:fill="auto"/>
          </w:tcPr>
          <w:p w:rsidR="000C5659" w:rsidRDefault="000C5659">
            <w:pPr>
              <w:jc w:val="right"/>
            </w:pPr>
          </w:p>
        </w:tc>
      </w:tr>
      <w:tr w:rsidR="000C5659">
        <w:tc>
          <w:tcPr>
            <w:tcW w:w="2017" w:type="pct"/>
            <w:shd w:val="clear" w:color="auto" w:fill="auto"/>
            <w:vAlign w:val="center"/>
          </w:tcPr>
          <w:p w:rsidR="000C5659" w:rsidRDefault="000E33C4">
            <w:pPr>
              <w:rPr>
                <w:color w:val="000000" w:themeColor="text1"/>
              </w:rPr>
            </w:pPr>
            <w:r>
              <w:rPr>
                <w:rFonts w:hint="eastAsia"/>
                <w:color w:val="000000" w:themeColor="text1"/>
              </w:rPr>
              <w:t>其他债权投资减值损失</w:t>
            </w:r>
          </w:p>
        </w:tc>
        <w:tc>
          <w:tcPr>
            <w:tcW w:w="1485" w:type="pct"/>
            <w:shd w:val="clear" w:color="auto" w:fill="auto"/>
          </w:tcPr>
          <w:p w:rsidR="000C5659" w:rsidRDefault="000C5659">
            <w:pPr>
              <w:jc w:val="right"/>
            </w:pPr>
          </w:p>
        </w:tc>
        <w:tc>
          <w:tcPr>
            <w:tcW w:w="1498" w:type="pct"/>
            <w:shd w:val="clear" w:color="auto" w:fill="auto"/>
          </w:tcPr>
          <w:p w:rsidR="000C5659" w:rsidRDefault="000C5659">
            <w:pPr>
              <w:jc w:val="right"/>
            </w:pPr>
          </w:p>
        </w:tc>
      </w:tr>
      <w:tr w:rsidR="000C5659">
        <w:tc>
          <w:tcPr>
            <w:tcW w:w="2017" w:type="pct"/>
            <w:shd w:val="clear" w:color="auto" w:fill="auto"/>
            <w:vAlign w:val="center"/>
          </w:tcPr>
          <w:p w:rsidR="000C5659" w:rsidRDefault="000E33C4">
            <w:pPr>
              <w:rPr>
                <w:color w:val="000000" w:themeColor="text1"/>
              </w:rPr>
            </w:pPr>
            <w:r>
              <w:rPr>
                <w:rFonts w:hint="eastAsia"/>
                <w:color w:val="000000" w:themeColor="text1"/>
              </w:rPr>
              <w:t>长期应收款坏账损失</w:t>
            </w:r>
          </w:p>
        </w:tc>
        <w:tc>
          <w:tcPr>
            <w:tcW w:w="1485" w:type="pct"/>
            <w:shd w:val="clear" w:color="auto" w:fill="auto"/>
          </w:tcPr>
          <w:p w:rsidR="000C5659" w:rsidRDefault="000C5659">
            <w:pPr>
              <w:jc w:val="right"/>
            </w:pPr>
          </w:p>
        </w:tc>
        <w:tc>
          <w:tcPr>
            <w:tcW w:w="1498" w:type="pct"/>
            <w:shd w:val="clear" w:color="auto" w:fill="auto"/>
          </w:tcPr>
          <w:p w:rsidR="000C5659" w:rsidRDefault="000C5659">
            <w:pPr>
              <w:jc w:val="right"/>
            </w:pPr>
          </w:p>
        </w:tc>
      </w:tr>
      <w:tr w:rsidR="000C5659">
        <w:tc>
          <w:tcPr>
            <w:tcW w:w="2017" w:type="pct"/>
            <w:shd w:val="clear" w:color="auto" w:fill="auto"/>
            <w:vAlign w:val="center"/>
          </w:tcPr>
          <w:p w:rsidR="000C5659" w:rsidRDefault="000E33C4">
            <w:pPr>
              <w:rPr>
                <w:color w:val="000000" w:themeColor="text1"/>
              </w:rPr>
            </w:pPr>
            <w:r>
              <w:rPr>
                <w:rFonts w:hint="eastAsia"/>
                <w:color w:val="000000" w:themeColor="text1"/>
              </w:rPr>
              <w:t>财务担保相关减值损失</w:t>
            </w:r>
          </w:p>
        </w:tc>
        <w:tc>
          <w:tcPr>
            <w:tcW w:w="1485" w:type="pct"/>
            <w:shd w:val="clear" w:color="auto" w:fill="auto"/>
          </w:tcPr>
          <w:p w:rsidR="000C5659" w:rsidRDefault="000C5659">
            <w:pPr>
              <w:jc w:val="right"/>
            </w:pPr>
          </w:p>
        </w:tc>
        <w:tc>
          <w:tcPr>
            <w:tcW w:w="1498" w:type="pct"/>
            <w:shd w:val="clear" w:color="auto" w:fill="auto"/>
          </w:tcPr>
          <w:p w:rsidR="000C5659" w:rsidRDefault="000C5659">
            <w:pPr>
              <w:jc w:val="right"/>
            </w:pPr>
          </w:p>
        </w:tc>
      </w:tr>
      <w:tr w:rsidR="000C5659">
        <w:tc>
          <w:tcPr>
            <w:tcW w:w="2017" w:type="pct"/>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1485" w:type="pct"/>
            <w:shd w:val="clear" w:color="auto" w:fill="auto"/>
            <w:vAlign w:val="center"/>
          </w:tcPr>
          <w:p w:rsidR="000C5659" w:rsidRDefault="000E33C4">
            <w:pPr>
              <w:jc w:val="right"/>
            </w:pPr>
            <w:r>
              <w:rPr>
                <w:rFonts w:hint="eastAsia"/>
                <w:color w:val="000000"/>
              </w:rPr>
              <w:t>1,705,028.17</w:t>
            </w:r>
          </w:p>
        </w:tc>
        <w:tc>
          <w:tcPr>
            <w:tcW w:w="1498" w:type="pct"/>
            <w:shd w:val="clear" w:color="auto" w:fill="auto"/>
            <w:vAlign w:val="center"/>
          </w:tcPr>
          <w:p w:rsidR="000C5659" w:rsidRDefault="000E33C4">
            <w:pPr>
              <w:jc w:val="right"/>
            </w:pPr>
            <w:r>
              <w:rPr>
                <w:rFonts w:hint="eastAsia"/>
                <w:color w:val="000000"/>
              </w:rPr>
              <w:t>403,021.20</w:t>
            </w:r>
          </w:p>
        </w:tc>
      </w:tr>
    </w:tbl>
    <w:p w:rsidR="000C5659" w:rsidRDefault="000E33C4">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信用减值损失其他说明"/>
        <w:tag w:val="_GBC_9228576c4e3741acb19023ad6b79421f"/>
        <w:id w:val="-212424121"/>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44" w:name="_Hlk167970079"/>
      <w:bookmarkEnd w:id="343"/>
      <w:r>
        <w:rPr>
          <w:color w:val="000000" w:themeColor="text1"/>
          <w:szCs w:val="21"/>
        </w:rPr>
        <w:t>资产减值损失</w:t>
      </w:r>
    </w:p>
    <w:sdt>
      <w:sdtPr>
        <w:rPr>
          <w:color w:val="000000" w:themeColor="text1"/>
        </w:rPr>
        <w:alias w:val="是否适用：资产减值损失[双击切换]"/>
        <w:tag w:val="_GBC_d729834ad00147fc807d3aad7ca8698d"/>
        <w:id w:val="-76724171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资产减值损失"/>
          <w:tag w:val="_GBC_5d74a968092c4c99a3fdb43c04a992ef"/>
          <w:id w:val="-19816826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资产减值损失"/>
          <w:tag w:val="_GBC_9cac437936ec413c943d5e1475abfd21"/>
          <w:id w:val="6079369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0C5659">
        <w:sdt>
          <w:sdtPr>
            <w:rPr>
              <w:color w:val="000000" w:themeColor="text1"/>
            </w:rPr>
            <w:tag w:val="_PLD_3f6f45e6360d44d4b7b42549a3560832"/>
            <w:id w:val="-264460539"/>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项目</w:t>
                </w:r>
              </w:p>
            </w:tc>
          </w:sdtContent>
        </w:sdt>
        <w:sdt>
          <w:sdtPr>
            <w:rPr>
              <w:color w:val="000000" w:themeColor="text1"/>
            </w:rPr>
            <w:tag w:val="_PLD_3f2aa2c829b6428e99a0c7c8da36e428"/>
            <w:id w:val="-1122528782"/>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本期发生额</w:t>
                </w:r>
              </w:p>
            </w:tc>
          </w:sdtContent>
        </w:sdt>
        <w:sdt>
          <w:sdtPr>
            <w:rPr>
              <w:color w:val="000000" w:themeColor="text1"/>
            </w:rPr>
            <w:tag w:val="_PLD_071b09715e3b43be922c6fbde3b45eb6"/>
            <w:id w:val="1263421295"/>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上期发生额</w:t>
                </w:r>
              </w:p>
            </w:tc>
          </w:sdtContent>
        </w:sdt>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一、合同资产减值损失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-111,677.09</w:t>
            </w:r>
          </w:p>
        </w:tc>
        <w:tc>
          <w:tcPr>
            <w:tcW w:w="170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-467,205.16</w:t>
            </w: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三、长期股权投资减值损失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四、投资性房地产减值损失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五、固定资产减值损失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六、工程物资减值损失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七、在建工程减值损失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八、生产性生物资产减值损失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九、油气资产减值损失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十、无形资产减值损失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十一、商誉减值损失</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lastRenderedPageBreak/>
              <w:t>十二、其他</w:t>
            </w:r>
          </w:p>
        </w:tc>
        <w:tc>
          <w:tcPr>
            <w:tcW w:w="1422"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700"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1878"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center"/>
              <w:rPr>
                <w:color w:val="000000" w:themeColor="text1"/>
              </w:rPr>
            </w:pPr>
            <w:r>
              <w:rPr>
                <w:rFonts w:hint="eastAsia"/>
                <w:color w:val="000000" w:themeColor="text1"/>
              </w:rPr>
              <w:t>合计</w:t>
            </w:r>
          </w:p>
        </w:tc>
        <w:tc>
          <w:tcPr>
            <w:tcW w:w="1422"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-111,677.09</w:t>
            </w:r>
          </w:p>
        </w:tc>
        <w:tc>
          <w:tcPr>
            <w:tcW w:w="170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-467,205.16</w:t>
            </w:r>
          </w:p>
        </w:tc>
      </w:tr>
    </w:tbl>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资产减值损失的说明"/>
        <w:tag w:val="_GBC_72181df9e6ac4b4492c9dfa445964871"/>
        <w:id w:val="-781108448"/>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rFonts w:asciiTheme="minorHAnsi" w:eastAsiaTheme="minorEastAsia" w:hAnsiTheme="minorHAnsi"/>
          <w:color w:val="000000" w:themeColor="text1"/>
          <w:szCs w:val="22"/>
        </w:rPr>
      </w:pPr>
    </w:p>
    <w:bookmarkEnd w:id="344"/>
    <w:p w:rsidR="000C5659" w:rsidRDefault="000E33C4" w:rsidP="000743DD">
      <w:pPr>
        <w:pStyle w:val="35"/>
        <w:numPr>
          <w:ilvl w:val="0"/>
          <w:numId w:val="50"/>
        </w:numPr>
        <w:rPr>
          <w:color w:val="000000" w:themeColor="text1"/>
          <w:szCs w:val="21"/>
        </w:rPr>
      </w:pPr>
      <w:r>
        <w:rPr>
          <w:color w:val="000000" w:themeColor="text1"/>
          <w:szCs w:val="21"/>
        </w:rPr>
        <w:t>资产处置收益</w:t>
      </w:r>
    </w:p>
    <w:sdt>
      <w:sdtPr>
        <w:rPr>
          <w:rFonts w:hint="eastAsia"/>
          <w:color w:val="000000" w:themeColor="text1"/>
        </w:rPr>
        <w:alias w:val="是否适用：资产处置收益[双击切换]"/>
        <w:tag w:val="_GBC_9e584d6f46c648d195946caa434a4619"/>
        <w:id w:val="-19806042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color w:val="000000" w:themeColor="text1"/>
        </w:rPr>
        <w:t>单位：</w:t>
      </w:r>
      <w:sdt>
        <w:sdtPr>
          <w:rPr>
            <w:color w:val="000000" w:themeColor="text1"/>
          </w:rPr>
          <w:alias w:val="单位：资产处置收益明细"/>
          <w:tag w:val="_GBC_72dc168499e249b988d6753a6df1ce44"/>
          <w:id w:val="71493028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资产处置收益明细"/>
          <w:tag w:val="_GBC_d68880ec5b074fdc8846b703ead631e2"/>
          <w:id w:val="20574254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8"/>
        <w:tblW w:w="0" w:type="auto"/>
        <w:tblLook w:val="04A0" w:firstRow="1" w:lastRow="0" w:firstColumn="1" w:lastColumn="0" w:noHBand="0" w:noVBand="1"/>
      </w:tblPr>
      <w:tblGrid>
        <w:gridCol w:w="2924"/>
        <w:gridCol w:w="2949"/>
        <w:gridCol w:w="2950"/>
      </w:tblGrid>
      <w:tr w:rsidR="000C5659">
        <w:tc>
          <w:tcPr>
            <w:tcW w:w="3016" w:type="dxa"/>
          </w:tcPr>
          <w:sdt>
            <w:sdtPr>
              <w:rPr>
                <w:rFonts w:ascii="Times New Roman" w:hAnsi="Times New Roman" w:hint="eastAsia"/>
                <w:color w:val="000000" w:themeColor="text1"/>
              </w:rPr>
              <w:tag w:val="_PLD_5ae5d7d7d48342e7bc1da8d90a245459"/>
              <w:id w:val="1140614573"/>
            </w:sdtPr>
            <w:sdtEndPr/>
            <w:sdtContent>
              <w:p w:rsidR="000C5659" w:rsidRDefault="000E33C4">
                <w:pPr>
                  <w:jc w:val="center"/>
                  <w:rPr>
                    <w:rFonts w:ascii="Times New Roman" w:hAnsi="Times New Roman"/>
                    <w:color w:val="000000" w:themeColor="text1"/>
                  </w:rPr>
                </w:pPr>
                <w:r>
                  <w:rPr>
                    <w:rFonts w:ascii="Times New Roman" w:hAnsi="Times New Roman" w:hint="eastAsia"/>
                    <w:color w:val="000000" w:themeColor="text1"/>
                  </w:rPr>
                  <w:t>项目</w:t>
                </w:r>
              </w:p>
            </w:sdtContent>
          </w:sdt>
        </w:tc>
        <w:tc>
          <w:tcPr>
            <w:tcW w:w="3016" w:type="dxa"/>
          </w:tcPr>
          <w:sdt>
            <w:sdtPr>
              <w:rPr>
                <w:rFonts w:ascii="Times New Roman" w:hAnsi="Times New Roman" w:hint="eastAsia"/>
                <w:color w:val="000000" w:themeColor="text1"/>
              </w:rPr>
              <w:tag w:val="_PLD_879cf215b86c45c790218e646c831e7d"/>
              <w:id w:val="-337926990"/>
            </w:sdtPr>
            <w:sdtEndPr/>
            <w:sdtContent>
              <w:p w:rsidR="000C5659" w:rsidRDefault="000E33C4">
                <w:pPr>
                  <w:jc w:val="center"/>
                  <w:rPr>
                    <w:rFonts w:ascii="Times New Roman" w:hAnsi="Times New Roman"/>
                    <w:color w:val="000000" w:themeColor="text1"/>
                  </w:rPr>
                </w:pPr>
                <w:r>
                  <w:rPr>
                    <w:rFonts w:ascii="Times New Roman" w:hAnsi="Times New Roman" w:hint="eastAsia"/>
                    <w:color w:val="000000" w:themeColor="text1"/>
                  </w:rPr>
                  <w:t>本期发生额</w:t>
                </w:r>
              </w:p>
            </w:sdtContent>
          </w:sdt>
        </w:tc>
        <w:tc>
          <w:tcPr>
            <w:tcW w:w="3017" w:type="dxa"/>
          </w:tcPr>
          <w:sdt>
            <w:sdtPr>
              <w:rPr>
                <w:rFonts w:ascii="Times New Roman" w:hAnsi="Times New Roman" w:hint="eastAsia"/>
                <w:color w:val="000000" w:themeColor="text1"/>
              </w:rPr>
              <w:tag w:val="_PLD_8860a002ccc44e14bf36aa3e10fb5d70"/>
              <w:id w:val="-1598787973"/>
            </w:sdtPr>
            <w:sdtEndPr/>
            <w:sdtContent>
              <w:p w:rsidR="000C5659" w:rsidRDefault="000E33C4">
                <w:pPr>
                  <w:jc w:val="center"/>
                  <w:rPr>
                    <w:rFonts w:ascii="Times New Roman" w:hAnsi="Times New Roman"/>
                    <w:color w:val="000000" w:themeColor="text1"/>
                  </w:rPr>
                </w:pPr>
                <w:r>
                  <w:rPr>
                    <w:rFonts w:ascii="Times New Roman" w:hAnsi="Times New Roman" w:hint="eastAsia"/>
                    <w:color w:val="000000" w:themeColor="text1"/>
                  </w:rPr>
                  <w:t>上期发生额</w:t>
                </w:r>
              </w:p>
            </w:sdtContent>
          </w:sdt>
        </w:tc>
      </w:tr>
      <w:tr w:rsidR="000C5659">
        <w:tc>
          <w:tcPr>
            <w:tcW w:w="3016" w:type="dxa"/>
            <w:vAlign w:val="center"/>
          </w:tcPr>
          <w:p w:rsidR="000C5659" w:rsidRDefault="000E33C4">
            <w:pPr>
              <w:rPr>
                <w:rFonts w:ascii="Times New Roman" w:hAnsi="Times New Roman"/>
              </w:rPr>
            </w:pPr>
            <w:r>
              <w:rPr>
                <w:rFonts w:ascii="Times New Roman" w:hAnsi="Times New Roman" w:hint="eastAsia"/>
                <w:color w:val="000000"/>
              </w:rPr>
              <w:t>非流动资产处置</w:t>
            </w:r>
          </w:p>
        </w:tc>
        <w:tc>
          <w:tcPr>
            <w:tcW w:w="3016" w:type="dxa"/>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-94,544.03</w:t>
            </w:r>
          </w:p>
        </w:tc>
        <w:tc>
          <w:tcPr>
            <w:tcW w:w="3017" w:type="dxa"/>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28,688.95</w:t>
            </w:r>
          </w:p>
        </w:tc>
      </w:tr>
      <w:tr w:rsidR="000C5659">
        <w:tc>
          <w:tcPr>
            <w:tcW w:w="3016"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合计</w:t>
            </w:r>
          </w:p>
        </w:tc>
        <w:tc>
          <w:tcPr>
            <w:tcW w:w="3016" w:type="dxa"/>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-94,544.03</w:t>
            </w:r>
          </w:p>
        </w:tc>
        <w:tc>
          <w:tcPr>
            <w:tcW w:w="3017" w:type="dxa"/>
            <w:vAlign w:val="center"/>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rPr>
              <w:t>28,688.95</w:t>
            </w:r>
          </w:p>
        </w:tc>
      </w:tr>
    </w:tbl>
    <w:p w:rsidR="000C5659" w:rsidRDefault="000C5659">
      <w:pPr>
        <w:rPr>
          <w:color w:val="000000" w:themeColor="text1"/>
        </w:rPr>
      </w:pPr>
    </w:p>
    <w:p w:rsidR="000C5659" w:rsidRDefault="000E33C4">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资产处置收益其他说明[双击切换]"/>
        <w:tag w:val="_GBC_15965d17bc0a4e6788b5c6faf8c51b58"/>
        <w:id w:val="-134686042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营业外收入</w:t>
      </w:r>
    </w:p>
    <w:sdt>
      <w:sdtPr>
        <w:rPr>
          <w:rFonts w:cstheme="minorBidi" w:hint="eastAsia"/>
          <w:color w:val="000000" w:themeColor="text1"/>
          <w:szCs w:val="22"/>
        </w:rPr>
        <w:alias w:val="是否适用：营业外收入情况 [双击切换]"/>
        <w:tag w:val="_GBC_b6e9df1124844122abb2dde58392c605"/>
        <w:id w:val="-1588463552"/>
        <w:lock w:val="contentLocked"/>
        <w:placeholder>
          <w:docPart w:val="GBC22222222222222222222222222222"/>
        </w:placeholder>
      </w:sdtPr>
      <w:sdtEndPr/>
      <w:sdtContent>
        <w:p w:rsidR="000C5659" w:rsidRDefault="000E33C4">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营业外收入"/>
          <w:tag w:val="_GBC_dd93a692e0c045038f9ddf46f86e7289"/>
          <w:id w:val="4896755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营业外收入"/>
          <w:tag w:val="_GBC_598cac7504eb4ef39ddc19fb969bdd53"/>
          <w:id w:val="2357577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0C5659">
        <w:sdt>
          <w:sdtPr>
            <w:rPr>
              <w:color w:val="000000" w:themeColor="text1"/>
            </w:rPr>
            <w:tag w:val="_PLD_d649e0d07dd047a497e69591bf3e322c"/>
            <w:id w:val="-1252352512"/>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项目</w:t>
                </w:r>
              </w:p>
            </w:tc>
          </w:sdtContent>
        </w:sdt>
        <w:sdt>
          <w:sdtPr>
            <w:rPr>
              <w:color w:val="000000" w:themeColor="text1"/>
            </w:rPr>
            <w:tag w:val="_PLD_eabf358cb2c947a9b4e7bacb394074db"/>
            <w:id w:val="-1134474885"/>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本期发生额</w:t>
                </w:r>
              </w:p>
            </w:tc>
          </w:sdtContent>
        </w:sdt>
        <w:sdt>
          <w:sdtPr>
            <w:rPr>
              <w:color w:val="000000" w:themeColor="text1"/>
            </w:rPr>
            <w:tag w:val="_PLD_0469d808d7334ff0ab3460273b0c8f8f"/>
            <w:id w:val="1525206584"/>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上期发生额</w:t>
                </w:r>
              </w:p>
            </w:tc>
          </w:sdtContent>
        </w:sdt>
        <w:sdt>
          <w:sdtPr>
            <w:rPr>
              <w:color w:val="000000" w:themeColor="text1"/>
            </w:rPr>
            <w:tag w:val="_PLD_121bda757dda46918753fabf9329298f"/>
            <w:id w:val="-1403125712"/>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0C5659">
        <w:tc>
          <w:tcPr>
            <w:tcW w:w="1166"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7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66"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其中：固定资产处置利得</w:t>
            </w:r>
          </w:p>
        </w:tc>
        <w:tc>
          <w:tcPr>
            <w:tcW w:w="12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7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66"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ind w:firstLineChars="300" w:firstLine="630"/>
              <w:rPr>
                <w:color w:val="000000" w:themeColor="text1"/>
              </w:rPr>
            </w:pPr>
            <w:r>
              <w:rPr>
                <w:rFonts w:hint="eastAsia"/>
                <w:color w:val="000000" w:themeColor="text1"/>
              </w:rPr>
              <w:t>无形资产处置利得</w:t>
            </w:r>
          </w:p>
        </w:tc>
        <w:tc>
          <w:tcPr>
            <w:tcW w:w="12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7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66"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债务重组利得</w:t>
            </w:r>
          </w:p>
        </w:tc>
        <w:tc>
          <w:tcPr>
            <w:tcW w:w="12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7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66"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非货币性资产交换利得</w:t>
            </w:r>
          </w:p>
        </w:tc>
        <w:tc>
          <w:tcPr>
            <w:tcW w:w="12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7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66"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接受捐赠</w:t>
            </w:r>
          </w:p>
        </w:tc>
        <w:tc>
          <w:tcPr>
            <w:tcW w:w="12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7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66" w:type="pct"/>
            <w:tcBorders>
              <w:top w:val="single" w:sz="4" w:space="0" w:color="auto"/>
              <w:left w:val="single" w:sz="4" w:space="0" w:color="auto"/>
              <w:bottom w:val="single" w:sz="4" w:space="0" w:color="auto"/>
              <w:right w:val="single" w:sz="4" w:space="0" w:color="auto"/>
            </w:tcBorders>
          </w:tcPr>
          <w:p w:rsidR="000C5659" w:rsidRDefault="000E33C4">
            <w:pPr>
              <w:ind w:right="6"/>
              <w:rPr>
                <w:color w:val="000000" w:themeColor="text1"/>
              </w:rPr>
            </w:pPr>
            <w:r>
              <w:rPr>
                <w:rFonts w:hint="eastAsia"/>
                <w:color w:val="000000" w:themeColor="text1"/>
              </w:rPr>
              <w:t>政府补助</w:t>
            </w:r>
          </w:p>
        </w:tc>
        <w:tc>
          <w:tcPr>
            <w:tcW w:w="12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7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66"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rPr>
                <w:rFonts w:hint="eastAsia"/>
                <w:color w:val="000000"/>
              </w:rPr>
              <w:t>赔款收入</w:t>
            </w:r>
          </w:p>
        </w:tc>
        <w:tc>
          <w:tcPr>
            <w:tcW w:w="127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6,358.39</w:t>
            </w:r>
          </w:p>
        </w:tc>
        <w:tc>
          <w:tcPr>
            <w:tcW w:w="127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18,626.10</w:t>
            </w:r>
          </w:p>
        </w:tc>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6,358.39</w:t>
            </w:r>
          </w:p>
        </w:tc>
      </w:tr>
      <w:tr w:rsidR="000C5659">
        <w:tc>
          <w:tcPr>
            <w:tcW w:w="1166"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rPr>
                <w:rFonts w:hint="eastAsia"/>
                <w:color w:val="000000"/>
              </w:rPr>
              <w:t>其他</w:t>
            </w:r>
          </w:p>
        </w:tc>
        <w:tc>
          <w:tcPr>
            <w:tcW w:w="127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3,181.70</w:t>
            </w:r>
          </w:p>
        </w:tc>
        <w:tc>
          <w:tcPr>
            <w:tcW w:w="127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13,302.76</w:t>
            </w:r>
          </w:p>
        </w:tc>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3,181.70</w:t>
            </w:r>
          </w:p>
        </w:tc>
      </w:tr>
      <w:tr w:rsidR="000C5659">
        <w:tc>
          <w:tcPr>
            <w:tcW w:w="116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tc>
          <w:tcPr>
            <w:tcW w:w="127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9,540.09</w:t>
            </w:r>
          </w:p>
        </w:tc>
        <w:tc>
          <w:tcPr>
            <w:tcW w:w="127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31,928.86</w:t>
            </w:r>
          </w:p>
        </w:tc>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pPr>
            <w:r>
              <w:rPr>
                <w:rFonts w:hint="eastAsia"/>
                <w:color w:val="000000"/>
              </w:rPr>
              <w:t>9,540.09</w:t>
            </w:r>
          </w:p>
        </w:tc>
      </w:tr>
    </w:tbl>
    <w:p w:rsidR="000C5659" w:rsidRDefault="000C5659">
      <w:pPr>
        <w:rPr>
          <w:color w:val="000000" w:themeColor="text1"/>
        </w:rPr>
      </w:pPr>
    </w:p>
    <w:p w:rsidR="000C5659" w:rsidRDefault="000E33C4">
      <w:pPr>
        <w:spacing w:line="360" w:lineRule="exact"/>
        <w:rPr>
          <w:color w:val="000000" w:themeColor="text1"/>
        </w:rPr>
      </w:pPr>
      <w:r>
        <w:rPr>
          <w:rFonts w:hint="eastAsia"/>
          <w:color w:val="000000" w:themeColor="text1"/>
        </w:rPr>
        <w:t>其他说明：</w:t>
      </w:r>
    </w:p>
    <w:sdt>
      <w:sdtPr>
        <w:rPr>
          <w:color w:val="000000" w:themeColor="text1"/>
        </w:rPr>
        <w:alias w:val="是否适用：营业外收入说明[双击切换]"/>
        <w:tag w:val="_GBC_9bd4fc9f0fcc4e85bee85b3ce60c8b2c"/>
        <w:id w:val="-21132703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营业外支出</w:t>
      </w:r>
    </w:p>
    <w:sdt>
      <w:sdtPr>
        <w:rPr>
          <w:color w:val="000000" w:themeColor="text1"/>
        </w:rPr>
        <w:alias w:val="是否适用：营业外支出[双击切换]"/>
        <w:tag w:val="_GBC_6d4b8ac674ce425b8c798e92aa1fe455"/>
        <w:id w:val="-61999769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营业外支出"/>
          <w:tag w:val="_GBC_f8678a9a1bbf4b0697744c5d21146839"/>
          <w:id w:val="19290730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营业外支出"/>
          <w:tag w:val="_GBC_61e3e82ad5404a9987623525ac03d95e"/>
          <w:id w:val="7245705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17"/>
        <w:gridCol w:w="2271"/>
        <w:gridCol w:w="2259"/>
      </w:tblGrid>
      <w:tr w:rsidR="000C5659">
        <w:sdt>
          <w:sdtPr>
            <w:rPr>
              <w:color w:val="000000" w:themeColor="text1"/>
            </w:rPr>
            <w:tag w:val="_PLD_6abf292cb0a7463788e39d1bdabb85fc"/>
            <w:id w:val="-1955478382"/>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项目</w:t>
                </w:r>
              </w:p>
            </w:tc>
          </w:sdtContent>
        </w:sdt>
        <w:sdt>
          <w:sdtPr>
            <w:rPr>
              <w:color w:val="000000" w:themeColor="text1"/>
            </w:rPr>
            <w:tag w:val="_PLD_36a30142728e41bb9c215b73cfe3204c"/>
            <w:id w:val="-1923477329"/>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本期发生额</w:t>
                </w:r>
              </w:p>
            </w:tc>
          </w:sdtContent>
        </w:sdt>
        <w:sdt>
          <w:sdtPr>
            <w:rPr>
              <w:color w:val="000000" w:themeColor="text1"/>
            </w:rPr>
            <w:tag w:val="_PLD_16b0936bf8024bdf99cf883b1827419f"/>
            <w:id w:val="1676770144"/>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上期发生额</w:t>
                </w:r>
              </w:p>
            </w:tc>
          </w:sdtContent>
        </w:sdt>
        <w:sdt>
          <w:sdtPr>
            <w:rPr>
              <w:color w:val="000000" w:themeColor="text1"/>
            </w:rPr>
            <w:tag w:val="_PLD_92014506c2824f6fbe79731f91aa61bc"/>
            <w:id w:val="2104068737"/>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0C5659">
        <w:tc>
          <w:tcPr>
            <w:tcW w:w="112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7"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2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7"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2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ind w:firstLineChars="300" w:firstLine="630"/>
              <w:rPr>
                <w:color w:val="000000" w:themeColor="text1"/>
              </w:rPr>
            </w:pPr>
            <w:r>
              <w:rPr>
                <w:rFonts w:hint="eastAsia"/>
                <w:color w:val="000000" w:themeColor="text1"/>
              </w:rPr>
              <w:lastRenderedPageBreak/>
              <w:t>无形资产处置损失</w:t>
            </w:r>
          </w:p>
        </w:tc>
        <w:tc>
          <w:tcPr>
            <w:tcW w:w="131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7"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2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债务重组损失</w:t>
            </w:r>
          </w:p>
        </w:tc>
        <w:tc>
          <w:tcPr>
            <w:tcW w:w="131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7"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2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7"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20"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rPr>
                <w:color w:val="000000" w:themeColor="text1"/>
              </w:rPr>
            </w:pPr>
            <w:r>
              <w:rPr>
                <w:rFonts w:hint="eastAsia"/>
                <w:color w:val="000000" w:themeColor="text1"/>
              </w:rPr>
              <w:t>对外捐赠</w:t>
            </w:r>
          </w:p>
        </w:tc>
        <w:tc>
          <w:tcPr>
            <w:tcW w:w="131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287" w:type="pct"/>
            <w:tcBorders>
              <w:top w:val="single" w:sz="4" w:space="0" w:color="auto"/>
              <w:left w:val="single" w:sz="4" w:space="0" w:color="auto"/>
              <w:bottom w:val="single" w:sz="4" w:space="0" w:color="auto"/>
              <w:right w:val="single" w:sz="4" w:space="0" w:color="auto"/>
            </w:tcBorders>
          </w:tcPr>
          <w:p w:rsidR="000C5659" w:rsidRDefault="000E33C4">
            <w:pPr>
              <w:jc w:val="right"/>
            </w:pPr>
            <w:r>
              <w:t>15,000.00</w:t>
            </w:r>
          </w:p>
        </w:tc>
        <w:tc>
          <w:tcPr>
            <w:tcW w:w="128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1120"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rPr>
                <w:rFonts w:hint="eastAsia"/>
                <w:color w:val="000000"/>
              </w:rPr>
              <w:t>罚款</w:t>
            </w:r>
          </w:p>
        </w:tc>
        <w:tc>
          <w:tcPr>
            <w:tcW w:w="1313"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59,162.38</w:t>
            </w:r>
          </w:p>
        </w:tc>
        <w:tc>
          <w:tcPr>
            <w:tcW w:w="128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2,204.00</w:t>
            </w:r>
          </w:p>
        </w:tc>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59,162.38</w:t>
            </w:r>
          </w:p>
        </w:tc>
      </w:tr>
      <w:tr w:rsidR="000C5659">
        <w:tc>
          <w:tcPr>
            <w:tcW w:w="1120"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rPr>
                <w:rFonts w:hint="eastAsia"/>
                <w:color w:val="000000"/>
              </w:rPr>
              <w:t>滞纳金</w:t>
            </w:r>
          </w:p>
        </w:tc>
        <w:tc>
          <w:tcPr>
            <w:tcW w:w="1313"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5,084.57</w:t>
            </w:r>
          </w:p>
        </w:tc>
        <w:tc>
          <w:tcPr>
            <w:tcW w:w="128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2,483.78</w:t>
            </w:r>
          </w:p>
        </w:tc>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5,084.57</w:t>
            </w:r>
          </w:p>
        </w:tc>
      </w:tr>
      <w:tr w:rsidR="000C5659">
        <w:tc>
          <w:tcPr>
            <w:tcW w:w="1120"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rPr>
                <w:rFonts w:hint="eastAsia"/>
                <w:color w:val="000000"/>
              </w:rPr>
              <w:t>其他</w:t>
            </w:r>
          </w:p>
        </w:tc>
        <w:tc>
          <w:tcPr>
            <w:tcW w:w="1313"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31,864.73</w:t>
            </w:r>
          </w:p>
        </w:tc>
        <w:tc>
          <w:tcPr>
            <w:tcW w:w="128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 xml:space="preserve">　</w:t>
            </w:r>
          </w:p>
        </w:tc>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31,864.73</w:t>
            </w:r>
          </w:p>
        </w:tc>
      </w:tr>
      <w:tr w:rsidR="000C5659">
        <w:tc>
          <w:tcPr>
            <w:tcW w:w="1120" w:type="pct"/>
            <w:tcBorders>
              <w:top w:val="single" w:sz="4" w:space="0" w:color="auto"/>
              <w:left w:val="single" w:sz="4" w:space="0" w:color="auto"/>
              <w:bottom w:val="single" w:sz="4" w:space="0" w:color="auto"/>
              <w:right w:val="single" w:sz="4" w:space="0" w:color="auto"/>
            </w:tcBorders>
          </w:tcPr>
          <w:p w:rsidR="000C5659" w:rsidRDefault="000E33C4">
            <w:pPr>
              <w:ind w:right="6"/>
              <w:jc w:val="center"/>
              <w:rPr>
                <w:color w:val="000000" w:themeColor="text1"/>
              </w:rPr>
            </w:pPr>
            <w:r>
              <w:rPr>
                <w:rFonts w:hint="eastAsia"/>
                <w:color w:val="000000" w:themeColor="text1"/>
              </w:rPr>
              <w:t>合计</w:t>
            </w:r>
          </w:p>
        </w:tc>
        <w:tc>
          <w:tcPr>
            <w:tcW w:w="1313"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96,111.68</w:t>
            </w:r>
          </w:p>
        </w:tc>
        <w:tc>
          <w:tcPr>
            <w:tcW w:w="128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19,687.78</w:t>
            </w:r>
          </w:p>
        </w:tc>
        <w:tc>
          <w:tcPr>
            <w:tcW w:w="128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pPr>
            <w:r>
              <w:rPr>
                <w:rFonts w:hint="eastAsia"/>
                <w:color w:val="000000"/>
              </w:rPr>
              <w:t>96,111.68</w:t>
            </w:r>
          </w:p>
        </w:tc>
      </w:tr>
    </w:tbl>
    <w:p w:rsidR="000C5659" w:rsidRDefault="000E33C4">
      <w:pPr>
        <w:spacing w:before="60" w:after="60"/>
        <w:rPr>
          <w:color w:val="000000" w:themeColor="text1"/>
        </w:rPr>
      </w:pPr>
      <w:r>
        <w:rPr>
          <w:rFonts w:hint="eastAsia"/>
          <w:color w:val="000000" w:themeColor="text1"/>
        </w:rPr>
        <w:t>其他说明：</w:t>
      </w:r>
    </w:p>
    <w:sdt>
      <w:sdtPr>
        <w:rPr>
          <w:rFonts w:hint="eastAsia"/>
          <w:color w:val="000000" w:themeColor="text1"/>
        </w:rPr>
        <w:alias w:val="营业外支出说明"/>
        <w:tag w:val="_GBC_948d4d2c5cfc43b999d968de3476bc75"/>
        <w:id w:val="-614678458"/>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所得税费用</w:t>
      </w:r>
    </w:p>
    <w:p w:rsidR="000C5659" w:rsidRDefault="000E33C4" w:rsidP="000743DD">
      <w:pPr>
        <w:pStyle w:val="Style165"/>
        <w:numPr>
          <w:ilvl w:val="0"/>
          <w:numId w:val="87"/>
        </w:numPr>
        <w:rPr>
          <w:rFonts w:ascii="宋体" w:hAnsi="宋体"/>
          <w:color w:val="000000" w:themeColor="text1"/>
        </w:rPr>
      </w:pPr>
      <w:r>
        <w:rPr>
          <w:rFonts w:ascii="宋体" w:hAnsi="宋体" w:hint="eastAsia"/>
          <w:color w:val="000000" w:themeColor="text1"/>
        </w:rPr>
        <w:t>所得税费用表</w:t>
      </w:r>
    </w:p>
    <w:sdt>
      <w:sdtPr>
        <w:rPr>
          <w:color w:val="000000" w:themeColor="text1"/>
        </w:rPr>
        <w:alias w:val="是否适用：所得税费用表[双击切换]"/>
        <w:tag w:val="_GBC_61ff35087b014685a6e03347957ab922"/>
        <w:id w:val="-18154735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wordWrap w:val="0"/>
        <w:jc w:val="right"/>
        <w:rPr>
          <w:color w:val="000000" w:themeColor="text1"/>
        </w:rPr>
      </w:pPr>
      <w:r>
        <w:rPr>
          <w:rFonts w:hint="eastAsia"/>
          <w:color w:val="000000" w:themeColor="text1"/>
        </w:rPr>
        <w:t>单位：</w:t>
      </w:r>
      <w:sdt>
        <w:sdtPr>
          <w:rPr>
            <w:rFonts w:hint="eastAsia"/>
            <w:color w:val="000000" w:themeColor="text1"/>
          </w:rPr>
          <w:alias w:val="单位：财务附注：所得税费用"/>
          <w:tag w:val="_GBC_18ed8ed511fe4791a90ee25fc956bd2b"/>
          <w:id w:val="-21148144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所得税费用"/>
          <w:tag w:val="_GBC_ecc6df02f1744ff084d6c0d30045219a"/>
          <w:id w:val="-17514154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33"/>
        <w:gridCol w:w="2853"/>
        <w:gridCol w:w="2837"/>
      </w:tblGrid>
      <w:tr w:rsidR="000C5659">
        <w:trPr>
          <w:trHeight w:val="87"/>
        </w:trPr>
        <w:sdt>
          <w:sdtPr>
            <w:rPr>
              <w:color w:val="000000" w:themeColor="text1"/>
            </w:rPr>
            <w:tag w:val="_PLD_951f380ec376457cb80126c7d6018f65"/>
            <w:id w:val="-1777393193"/>
          </w:sdtPr>
          <w:sdtEndPr/>
          <w:sdtContent>
            <w:tc>
              <w:tcPr>
                <w:tcW w:w="1775" w:type="pct"/>
                <w:vAlign w:val="center"/>
              </w:tcPr>
              <w:p w:rsidR="000C5659" w:rsidRDefault="000E33C4">
                <w:pPr>
                  <w:ind w:right="6"/>
                  <w:jc w:val="center"/>
                  <w:rPr>
                    <w:color w:val="000000" w:themeColor="text1"/>
                  </w:rPr>
                </w:pPr>
                <w:r>
                  <w:rPr>
                    <w:rFonts w:hint="eastAsia"/>
                    <w:color w:val="000000" w:themeColor="text1"/>
                  </w:rPr>
                  <w:t>项目</w:t>
                </w:r>
              </w:p>
            </w:tc>
          </w:sdtContent>
        </w:sdt>
        <w:sdt>
          <w:sdtPr>
            <w:rPr>
              <w:color w:val="000000" w:themeColor="text1"/>
            </w:rPr>
            <w:tag w:val="_PLD_1e59791ce9d340b7b60e63b833f13708"/>
            <w:id w:val="1927687706"/>
          </w:sdtPr>
          <w:sdtEndPr/>
          <w:sdtContent>
            <w:tc>
              <w:tcPr>
                <w:tcW w:w="1617" w:type="pct"/>
                <w:vAlign w:val="center"/>
              </w:tcPr>
              <w:p w:rsidR="000C5659" w:rsidRDefault="000E33C4">
                <w:pPr>
                  <w:ind w:right="6"/>
                  <w:jc w:val="center"/>
                  <w:rPr>
                    <w:color w:val="000000" w:themeColor="text1"/>
                  </w:rPr>
                </w:pPr>
                <w:r>
                  <w:rPr>
                    <w:rFonts w:hint="eastAsia"/>
                    <w:color w:val="000000" w:themeColor="text1"/>
                  </w:rPr>
                  <w:t>本期发生额</w:t>
                </w:r>
              </w:p>
            </w:tc>
          </w:sdtContent>
        </w:sdt>
        <w:sdt>
          <w:sdtPr>
            <w:rPr>
              <w:color w:val="000000" w:themeColor="text1"/>
            </w:rPr>
            <w:tag w:val="_PLD_23c0825dcbc74481a17a7811dee40e02"/>
            <w:id w:val="-308934478"/>
          </w:sdtPr>
          <w:sdtEndPr/>
          <w:sdtContent>
            <w:tc>
              <w:tcPr>
                <w:tcW w:w="1608" w:type="pct"/>
                <w:vAlign w:val="center"/>
              </w:tcPr>
              <w:p w:rsidR="000C5659" w:rsidRDefault="000E33C4">
                <w:pPr>
                  <w:ind w:right="6"/>
                  <w:jc w:val="center"/>
                  <w:rPr>
                    <w:color w:val="000000" w:themeColor="text1"/>
                  </w:rPr>
                </w:pPr>
                <w:r>
                  <w:rPr>
                    <w:rFonts w:hint="eastAsia"/>
                    <w:color w:val="000000" w:themeColor="text1"/>
                  </w:rPr>
                  <w:t>上期发生额</w:t>
                </w:r>
              </w:p>
            </w:tc>
          </w:sdtContent>
        </w:sdt>
      </w:tr>
      <w:tr w:rsidR="000C5659">
        <w:tc>
          <w:tcPr>
            <w:tcW w:w="1775" w:type="pct"/>
          </w:tcPr>
          <w:p w:rsidR="000C5659" w:rsidRDefault="000E33C4">
            <w:pPr>
              <w:ind w:right="6"/>
              <w:rPr>
                <w:b/>
                <w:color w:val="000000" w:themeColor="text1"/>
              </w:rPr>
            </w:pPr>
            <w:r>
              <w:rPr>
                <w:rFonts w:hint="eastAsia"/>
                <w:color w:val="000000" w:themeColor="text1"/>
              </w:rPr>
              <w:t>当期所得税费用</w:t>
            </w:r>
          </w:p>
        </w:tc>
        <w:tc>
          <w:tcPr>
            <w:tcW w:w="2877" w:type="dxa"/>
            <w:vAlign w:val="center"/>
          </w:tcPr>
          <w:p w:rsidR="000C5659" w:rsidRDefault="000E33C4">
            <w:pPr>
              <w:jc w:val="right"/>
              <w:textAlignment w:val="center"/>
            </w:pPr>
            <w:r>
              <w:rPr>
                <w:rFonts w:hint="eastAsia"/>
                <w:lang w:bidi="ar"/>
              </w:rPr>
              <w:t>10,993,360.26</w:t>
            </w:r>
          </w:p>
        </w:tc>
        <w:tc>
          <w:tcPr>
            <w:tcW w:w="1608" w:type="pct"/>
            <w:vAlign w:val="center"/>
          </w:tcPr>
          <w:p w:rsidR="000C5659" w:rsidRDefault="000E33C4">
            <w:pPr>
              <w:ind w:right="6"/>
              <w:jc w:val="right"/>
            </w:pPr>
            <w:r>
              <w:rPr>
                <w:rFonts w:hint="eastAsia"/>
                <w:color w:val="000000"/>
              </w:rPr>
              <w:t>9,052,276.56</w:t>
            </w:r>
          </w:p>
        </w:tc>
      </w:tr>
      <w:tr w:rsidR="000C5659">
        <w:tc>
          <w:tcPr>
            <w:tcW w:w="1775" w:type="pct"/>
          </w:tcPr>
          <w:p w:rsidR="000C5659" w:rsidRDefault="000E33C4">
            <w:pPr>
              <w:ind w:right="6"/>
              <w:rPr>
                <w:color w:val="000000" w:themeColor="text1"/>
              </w:rPr>
            </w:pPr>
            <w:r>
              <w:rPr>
                <w:rFonts w:hint="eastAsia"/>
                <w:color w:val="000000" w:themeColor="text1"/>
              </w:rPr>
              <w:t>递延所得税费用</w:t>
            </w:r>
          </w:p>
        </w:tc>
        <w:tc>
          <w:tcPr>
            <w:tcW w:w="2877" w:type="dxa"/>
            <w:vAlign w:val="center"/>
          </w:tcPr>
          <w:p w:rsidR="000C5659" w:rsidRDefault="000E33C4">
            <w:pPr>
              <w:jc w:val="right"/>
              <w:textAlignment w:val="center"/>
            </w:pPr>
            <w:r>
              <w:rPr>
                <w:rFonts w:hint="eastAsia"/>
                <w:lang w:bidi="ar"/>
              </w:rPr>
              <w:t>1,389,322.74</w:t>
            </w:r>
          </w:p>
        </w:tc>
        <w:tc>
          <w:tcPr>
            <w:tcW w:w="1608" w:type="pct"/>
            <w:vAlign w:val="center"/>
          </w:tcPr>
          <w:p w:rsidR="000C5659" w:rsidRDefault="000E33C4">
            <w:pPr>
              <w:ind w:right="6"/>
              <w:jc w:val="right"/>
            </w:pPr>
            <w:r>
              <w:rPr>
                <w:rFonts w:hint="eastAsia"/>
                <w:color w:val="000000"/>
              </w:rPr>
              <w:t>-101,573.21</w:t>
            </w:r>
          </w:p>
        </w:tc>
      </w:tr>
      <w:tr w:rsidR="000C5659">
        <w:tc>
          <w:tcPr>
            <w:tcW w:w="1775" w:type="pct"/>
          </w:tcPr>
          <w:p w:rsidR="000C5659" w:rsidRDefault="000E33C4">
            <w:pPr>
              <w:ind w:right="6"/>
              <w:jc w:val="center"/>
              <w:rPr>
                <w:color w:val="000000" w:themeColor="text1"/>
              </w:rPr>
            </w:pPr>
            <w:r>
              <w:rPr>
                <w:rFonts w:hint="eastAsia"/>
                <w:color w:val="000000" w:themeColor="text1"/>
              </w:rPr>
              <w:t>合计</w:t>
            </w:r>
          </w:p>
        </w:tc>
        <w:tc>
          <w:tcPr>
            <w:tcW w:w="2877" w:type="dxa"/>
            <w:vAlign w:val="center"/>
          </w:tcPr>
          <w:p w:rsidR="000C5659" w:rsidRDefault="000E33C4">
            <w:pPr>
              <w:jc w:val="right"/>
              <w:textAlignment w:val="center"/>
            </w:pPr>
            <w:r>
              <w:rPr>
                <w:rFonts w:hint="eastAsia"/>
                <w:lang w:bidi="ar"/>
              </w:rPr>
              <w:t>12,382,683.00</w:t>
            </w:r>
          </w:p>
        </w:tc>
        <w:tc>
          <w:tcPr>
            <w:tcW w:w="1608" w:type="pct"/>
            <w:vAlign w:val="center"/>
          </w:tcPr>
          <w:p w:rsidR="000C5659" w:rsidRDefault="000E33C4">
            <w:pPr>
              <w:ind w:right="6"/>
              <w:jc w:val="right"/>
            </w:pPr>
            <w:r>
              <w:rPr>
                <w:rFonts w:hint="eastAsia"/>
                <w:color w:val="000000"/>
              </w:rPr>
              <w:t>8,950,703.35</w:t>
            </w:r>
          </w:p>
        </w:tc>
      </w:tr>
    </w:tbl>
    <w:p w:rsidR="000C5659" w:rsidRDefault="000C5659">
      <w:pPr>
        <w:rPr>
          <w:color w:val="000000" w:themeColor="text1"/>
        </w:rPr>
      </w:pPr>
    </w:p>
    <w:p w:rsidR="000C5659" w:rsidRDefault="000E33C4" w:rsidP="000743DD">
      <w:pPr>
        <w:pStyle w:val="Style165"/>
        <w:numPr>
          <w:ilvl w:val="0"/>
          <w:numId w:val="87"/>
        </w:numPr>
        <w:rPr>
          <w:rFonts w:ascii="宋体" w:hAnsi="宋体"/>
          <w:color w:val="000000" w:themeColor="text1"/>
          <w:szCs w:val="21"/>
        </w:rPr>
      </w:pPr>
      <w:r>
        <w:rPr>
          <w:rFonts w:ascii="宋体" w:hAnsi="宋体" w:hint="eastAsia"/>
          <w:color w:val="000000" w:themeColor="text1"/>
          <w:szCs w:val="21"/>
        </w:rPr>
        <w:t>会计利润与</w:t>
      </w:r>
      <w:r>
        <w:rPr>
          <w:rFonts w:ascii="宋体" w:hAnsi="宋体" w:hint="eastAsia"/>
          <w:color w:val="000000" w:themeColor="text1"/>
        </w:rPr>
        <w:t>所得税</w:t>
      </w:r>
      <w:r>
        <w:rPr>
          <w:rFonts w:ascii="宋体" w:hAnsi="宋体" w:hint="eastAsia"/>
          <w:color w:val="000000" w:themeColor="text1"/>
          <w:szCs w:val="21"/>
        </w:rPr>
        <w:t>费用调整过程</w:t>
      </w:r>
    </w:p>
    <w:sdt>
      <w:sdtPr>
        <w:rPr>
          <w:color w:val="000000" w:themeColor="text1"/>
        </w:rPr>
        <w:alias w:val="是否适用：会计利润与所得税费用调整过程[双击切换]"/>
        <w:tag w:val="_GBC_92a49ce6320645cc9101c809f426c9db"/>
        <w:id w:val="-44755526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是否适用：所得税费用的说明[双击切换]"/>
        <w:tag w:val="_GBC_0363d79a647b4d96aa5d7b72c93b1e45"/>
        <w:id w:val="1706756096"/>
        <w:placeholder>
          <w:docPart w:val="GBC22222222222222222222222222222"/>
        </w:placeholder>
      </w:sdtPr>
      <w:sdtEndPr/>
      <w:sdtContent>
        <w:p w:rsidR="000C5659" w:rsidRDefault="000E33C4">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b/>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其他综合收益</w:t>
      </w:r>
    </w:p>
    <w:sdt>
      <w:sdtPr>
        <w:rPr>
          <w:color w:val="000000" w:themeColor="text1"/>
        </w:rPr>
        <w:alias w:val="是否适用：其他综合收益[双击切换]"/>
        <w:tag w:val="_GBC_bef6c47936994e5e94c77d5dd812be30"/>
        <w:id w:val="10876615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220B84">
      <w:pPr>
        <w:rPr>
          <w:color w:val="000000" w:themeColor="text1"/>
        </w:rPr>
      </w:pPr>
      <w:sdt>
        <w:sdtPr>
          <w:rPr>
            <w:rFonts w:hint="eastAsia"/>
            <w:color w:val="000000" w:themeColor="text1"/>
          </w:rPr>
          <w:alias w:val="其他综合收益详见附注"/>
          <w:tag w:val="_GBC_6f59ae7e2b78472ea4fa736cbb8f062d"/>
          <w:id w:val="-499664305"/>
          <w:placeholder>
            <w:docPart w:val="GBC22222222222222222222222222222"/>
          </w:placeholder>
        </w:sdtPr>
        <w:sdtEndPr/>
        <w:sdtContent>
          <w:r w:rsidR="000E33C4">
            <w:rPr>
              <w:rFonts w:hint="eastAsia"/>
              <w:color w:val="000000" w:themeColor="text1"/>
            </w:rPr>
            <w:t>详见附注七、5</w:t>
          </w:r>
          <w:r w:rsidR="000E33C4">
            <w:rPr>
              <w:color w:val="000000" w:themeColor="text1"/>
            </w:rPr>
            <w:t>7</w:t>
          </w:r>
        </w:sdtContent>
      </w:sdt>
    </w:p>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现金流量表项目</w:t>
      </w:r>
    </w:p>
    <w:p w:rsidR="000C5659" w:rsidRDefault="000E33C4" w:rsidP="000743DD">
      <w:pPr>
        <w:pStyle w:val="Style165"/>
        <w:numPr>
          <w:ilvl w:val="0"/>
          <w:numId w:val="88"/>
        </w:numPr>
        <w:rPr>
          <w:color w:val="000000" w:themeColor="text1"/>
        </w:rPr>
      </w:pPr>
      <w:r>
        <w:rPr>
          <w:rFonts w:hint="eastAsia"/>
          <w:color w:val="000000" w:themeColor="text1"/>
        </w:rPr>
        <w:t>与经营活动有关的现金</w:t>
      </w:r>
    </w:p>
    <w:p w:rsidR="000C5659" w:rsidRDefault="000E33C4">
      <w:pPr>
        <w:rPr>
          <w:color w:val="000000" w:themeColor="text1"/>
        </w:rPr>
      </w:pPr>
      <w:r>
        <w:rPr>
          <w:rFonts w:hint="eastAsia"/>
          <w:color w:val="000000" w:themeColor="text1"/>
        </w:rPr>
        <w:t>收到的其他与经营活动有关的现金</w:t>
      </w:r>
    </w:p>
    <w:sdt>
      <w:sdtPr>
        <w:rPr>
          <w:color w:val="000000" w:themeColor="text1"/>
        </w:rPr>
        <w:alias w:val="是否适用：收到的其他与经营活动有关的现金[双击切换]"/>
        <w:tag w:val="_GBC_c5c1fd7856fd40f88e814da378eb1220"/>
        <w:id w:val="-53511993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收到的其他与经营活动有关的现金"/>
          <w:tag w:val="_GBC_5ccae82b68484e708f12fda90762616a"/>
          <w:id w:val="13849061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收到的其他与经营活动有关的现金"/>
          <w:tag w:val="_GBC_fab1e143b1314991a3aebb857ed68a09"/>
          <w:id w:val="-14056836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56"/>
        <w:gridCol w:w="2746"/>
      </w:tblGrid>
      <w:tr w:rsidR="000C5659">
        <w:sdt>
          <w:sdtPr>
            <w:rPr>
              <w:color w:val="000000" w:themeColor="text1"/>
            </w:rPr>
            <w:tag w:val="_PLD_37a08d49f8e14506929ae8c9544c259e"/>
            <w:id w:val="-1295974325"/>
          </w:sdtPr>
          <w:sdtEndPr/>
          <w:sdtContent>
            <w:tc>
              <w:tcPr>
                <w:tcW w:w="1882" w:type="pct"/>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f6cb8d17057e4de79000a7b7c263b07e"/>
            <w:id w:val="2131424445"/>
          </w:sdtPr>
          <w:sdtEndPr/>
          <w:sdtContent>
            <w:tc>
              <w:tcPr>
                <w:tcW w:w="1562" w:type="pct"/>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rPr>
              <w:color w:val="000000" w:themeColor="text1"/>
            </w:rPr>
            <w:tag w:val="_PLD_28d6db3ec51c43eb8751b53e93c8f270"/>
            <w:id w:val="1595202411"/>
          </w:sdtPr>
          <w:sdtEndPr/>
          <w:sdtContent>
            <w:tc>
              <w:tcPr>
                <w:tcW w:w="1556" w:type="pct"/>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0C5659">
        <w:tc>
          <w:tcPr>
            <w:tcW w:w="1882" w:type="pct"/>
          </w:tcPr>
          <w:p w:rsidR="000C5659" w:rsidRDefault="000E33C4">
            <w:pPr>
              <w:autoSpaceDE w:val="0"/>
              <w:autoSpaceDN w:val="0"/>
              <w:adjustRightInd w:val="0"/>
              <w:snapToGrid w:val="0"/>
              <w:spacing w:line="240" w:lineRule="atLeast"/>
            </w:pPr>
            <w:r>
              <w:t>往来款</w:t>
            </w:r>
          </w:p>
        </w:tc>
        <w:tc>
          <w:tcPr>
            <w:tcW w:w="1562" w:type="pct"/>
            <w:vAlign w:val="bottom"/>
          </w:tcPr>
          <w:p w:rsidR="000C5659" w:rsidRDefault="000C5659">
            <w:pPr>
              <w:jc w:val="right"/>
            </w:pPr>
          </w:p>
        </w:tc>
        <w:tc>
          <w:tcPr>
            <w:tcW w:w="1556" w:type="pct"/>
          </w:tcPr>
          <w:p w:rsidR="000C5659" w:rsidRDefault="000E33C4">
            <w:pPr>
              <w:jc w:val="right"/>
            </w:pPr>
            <w:r>
              <w:t>1,940,000.00</w:t>
            </w:r>
          </w:p>
        </w:tc>
      </w:tr>
      <w:tr w:rsidR="000C5659">
        <w:tc>
          <w:tcPr>
            <w:tcW w:w="1882" w:type="pct"/>
          </w:tcPr>
          <w:p w:rsidR="000C5659" w:rsidRDefault="000E33C4">
            <w:pPr>
              <w:autoSpaceDE w:val="0"/>
              <w:autoSpaceDN w:val="0"/>
              <w:adjustRightInd w:val="0"/>
              <w:snapToGrid w:val="0"/>
              <w:spacing w:line="240" w:lineRule="atLeast"/>
            </w:pPr>
            <w:r>
              <w:t>财务费用</w:t>
            </w:r>
          </w:p>
        </w:tc>
        <w:tc>
          <w:tcPr>
            <w:tcW w:w="1562" w:type="pct"/>
            <w:vAlign w:val="bottom"/>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hint="eastAsia"/>
                <w:color w:val="000000"/>
              </w:rPr>
              <w:t xml:space="preserve">7,324,016.80 </w:t>
            </w:r>
          </w:p>
        </w:tc>
        <w:tc>
          <w:tcPr>
            <w:tcW w:w="1556" w:type="pct"/>
          </w:tcPr>
          <w:p w:rsidR="000C5659" w:rsidRDefault="000E33C4">
            <w:pPr>
              <w:jc w:val="right"/>
            </w:pPr>
            <w:r>
              <w:t>5,376,414.34</w:t>
            </w:r>
          </w:p>
        </w:tc>
      </w:tr>
      <w:tr w:rsidR="000C5659">
        <w:tc>
          <w:tcPr>
            <w:tcW w:w="1882" w:type="pct"/>
          </w:tcPr>
          <w:p w:rsidR="000C5659" w:rsidRDefault="000E33C4">
            <w:pPr>
              <w:autoSpaceDE w:val="0"/>
              <w:autoSpaceDN w:val="0"/>
              <w:adjustRightInd w:val="0"/>
              <w:snapToGrid w:val="0"/>
              <w:spacing w:line="240" w:lineRule="atLeast"/>
              <w:jc w:val="both"/>
              <w:rPr>
                <w:color w:val="000000" w:themeColor="text1"/>
              </w:rPr>
            </w:pPr>
            <w:r>
              <w:rPr>
                <w:rFonts w:hint="eastAsia"/>
                <w:color w:val="000000" w:themeColor="text1"/>
              </w:rPr>
              <w:t>营业外收入</w:t>
            </w:r>
          </w:p>
        </w:tc>
        <w:tc>
          <w:tcPr>
            <w:tcW w:w="1562" w:type="pct"/>
            <w:vAlign w:val="bottom"/>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hint="eastAsia"/>
                <w:color w:val="000000"/>
              </w:rPr>
              <w:t xml:space="preserve">6,565.09 </w:t>
            </w:r>
          </w:p>
        </w:tc>
        <w:tc>
          <w:tcPr>
            <w:tcW w:w="1556" w:type="pct"/>
          </w:tcPr>
          <w:p w:rsidR="000C5659" w:rsidRDefault="000E33C4">
            <w:pPr>
              <w:jc w:val="right"/>
            </w:pPr>
            <w:r>
              <w:t>31,928.86</w:t>
            </w:r>
          </w:p>
        </w:tc>
      </w:tr>
      <w:tr w:rsidR="000C5659">
        <w:tc>
          <w:tcPr>
            <w:tcW w:w="1882" w:type="pct"/>
          </w:tcPr>
          <w:p w:rsidR="000C5659" w:rsidRDefault="000E33C4">
            <w:pPr>
              <w:autoSpaceDE w:val="0"/>
              <w:autoSpaceDN w:val="0"/>
              <w:adjustRightInd w:val="0"/>
              <w:snapToGrid w:val="0"/>
              <w:spacing w:line="240" w:lineRule="atLeast"/>
              <w:jc w:val="both"/>
              <w:rPr>
                <w:color w:val="000000" w:themeColor="text1"/>
              </w:rPr>
            </w:pPr>
            <w:r>
              <w:t>其他收益</w:t>
            </w:r>
          </w:p>
        </w:tc>
        <w:tc>
          <w:tcPr>
            <w:tcW w:w="1562" w:type="pct"/>
            <w:vAlign w:val="bottom"/>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hint="eastAsia"/>
                <w:color w:val="000000"/>
              </w:rPr>
              <w:t xml:space="preserve">2,128,876.99 </w:t>
            </w:r>
          </w:p>
        </w:tc>
        <w:tc>
          <w:tcPr>
            <w:tcW w:w="1556" w:type="pct"/>
          </w:tcPr>
          <w:p w:rsidR="000C5659" w:rsidRDefault="000E33C4">
            <w:pPr>
              <w:jc w:val="right"/>
            </w:pPr>
            <w:r>
              <w:t>1,561,034.57</w:t>
            </w:r>
          </w:p>
        </w:tc>
      </w:tr>
      <w:tr w:rsidR="000C5659">
        <w:tc>
          <w:tcPr>
            <w:tcW w:w="1882" w:type="pct"/>
          </w:tcPr>
          <w:p w:rsidR="000C5659" w:rsidRDefault="000E33C4">
            <w:pPr>
              <w:autoSpaceDE w:val="0"/>
              <w:autoSpaceDN w:val="0"/>
              <w:adjustRightInd w:val="0"/>
              <w:snapToGrid w:val="0"/>
              <w:spacing w:line="240" w:lineRule="atLeast"/>
              <w:jc w:val="both"/>
              <w:rPr>
                <w:color w:val="000000" w:themeColor="text1"/>
              </w:rPr>
            </w:pPr>
            <w:r>
              <w:t>合计</w:t>
            </w:r>
          </w:p>
        </w:tc>
        <w:tc>
          <w:tcPr>
            <w:tcW w:w="1562" w:type="pct"/>
            <w:vAlign w:val="bottom"/>
          </w:tcPr>
          <w:p w:rsidR="000C5659" w:rsidRDefault="000E33C4">
            <w:pPr>
              <w:jc w:val="right"/>
              <w:rPr>
                <w:rFonts w:asciiTheme="minorEastAsia" w:eastAsiaTheme="minorEastAsia" w:hAnsiTheme="minorEastAsia"/>
                <w:color w:val="000000"/>
              </w:rPr>
            </w:pPr>
            <w:r>
              <w:rPr>
                <w:rFonts w:asciiTheme="minorEastAsia" w:eastAsiaTheme="minorEastAsia" w:hAnsiTheme="minorEastAsia" w:hint="eastAsia"/>
                <w:color w:val="000000"/>
              </w:rPr>
              <w:t xml:space="preserve">9,459,458.88 </w:t>
            </w:r>
          </w:p>
        </w:tc>
        <w:tc>
          <w:tcPr>
            <w:tcW w:w="1556" w:type="pct"/>
          </w:tcPr>
          <w:p w:rsidR="000C5659" w:rsidRDefault="000E33C4">
            <w:pPr>
              <w:jc w:val="right"/>
            </w:pPr>
            <w:r>
              <w:t>8,909,377.77</w:t>
            </w:r>
          </w:p>
        </w:tc>
      </w:tr>
    </w:tbl>
    <w:p w:rsidR="000C5659" w:rsidRDefault="000C5659">
      <w:pPr>
        <w:pStyle w:val="Style325"/>
      </w:pPr>
    </w:p>
    <w:p w:rsidR="000C5659" w:rsidRDefault="000E33C4">
      <w:pPr>
        <w:snapToGrid w:val="0"/>
        <w:spacing w:before="60" w:after="60" w:line="240" w:lineRule="atLeast"/>
        <w:rPr>
          <w:color w:val="000000" w:themeColor="text1"/>
        </w:rPr>
      </w:pPr>
      <w:r>
        <w:rPr>
          <w:rFonts w:hint="eastAsia"/>
          <w:color w:val="000000" w:themeColor="text1"/>
        </w:rPr>
        <w:t>收到的其他与经营活动有关的现金说明：</w:t>
      </w:r>
    </w:p>
    <w:sdt>
      <w:sdtPr>
        <w:rPr>
          <w:color w:val="000000" w:themeColor="text1"/>
        </w:rPr>
        <w:alias w:val="收到的其他与经营活动有关的现金说明"/>
        <w:tag w:val="_GBC_1204b17e37bf4cc187a1ffb6f9463f05"/>
        <w:id w:val="353231768"/>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支付的其他与经营活动有关的现金</w:t>
      </w:r>
    </w:p>
    <w:sdt>
      <w:sdtPr>
        <w:rPr>
          <w:color w:val="000000" w:themeColor="text1"/>
        </w:rPr>
        <w:alias w:val="是否适用：支付的其他与经营活动有关的现金[双击切换]"/>
        <w:tag w:val="_GBC_73331002c48743d9a4438c6eb4a07c95"/>
        <w:id w:val="-16312388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支付的其他与经营活动有关的现金"/>
          <w:tag w:val="_GBC_8252d4ac9be64f04b08b1dc08e270310"/>
          <w:id w:val="-10910766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支付的其他与经营活动有关的现金"/>
          <w:tag w:val="_GBC_37de812db19b41c8a01d10d8b0365268"/>
          <w:id w:val="-15207766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37"/>
        <w:gridCol w:w="2765"/>
      </w:tblGrid>
      <w:tr w:rsidR="000C5659">
        <w:sdt>
          <w:sdtPr>
            <w:rPr>
              <w:color w:val="000000" w:themeColor="text1"/>
            </w:rPr>
            <w:tag w:val="_PLD_164da6d2b96e42688b06fe557d996ac2"/>
            <w:id w:val="-1155993917"/>
          </w:sdtPr>
          <w:sdtEndPr/>
          <w:sdtContent>
            <w:tc>
              <w:tcPr>
                <w:tcW w:w="1882" w:type="pct"/>
              </w:tcPr>
              <w:p w:rsidR="000C5659" w:rsidRDefault="000E33C4">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69d21b5f023448adbd8c69a7e96e585d"/>
            <w:id w:val="1171673"/>
          </w:sdtPr>
          <w:sdtEndPr/>
          <w:sdtContent>
            <w:tc>
              <w:tcPr>
                <w:tcW w:w="1551" w:type="pct"/>
              </w:tcPr>
              <w:p w:rsidR="000C5659" w:rsidRDefault="000E33C4">
                <w:pPr>
                  <w:autoSpaceDE w:val="0"/>
                  <w:autoSpaceDN w:val="0"/>
                  <w:adjustRightInd w:val="0"/>
                  <w:snapToGrid w:val="0"/>
                  <w:jc w:val="center"/>
                  <w:rPr>
                    <w:color w:val="000000" w:themeColor="text1"/>
                  </w:rPr>
                </w:pPr>
                <w:r>
                  <w:rPr>
                    <w:rFonts w:hint="eastAsia"/>
                    <w:color w:val="000000" w:themeColor="text1"/>
                  </w:rPr>
                  <w:t>本期发生额</w:t>
                </w:r>
              </w:p>
            </w:tc>
          </w:sdtContent>
        </w:sdt>
        <w:sdt>
          <w:sdtPr>
            <w:rPr>
              <w:color w:val="000000" w:themeColor="text1"/>
            </w:rPr>
            <w:tag w:val="_PLD_fccf4811cdbb443297a0ce875715525f"/>
            <w:id w:val="1641143770"/>
          </w:sdtPr>
          <w:sdtEndPr/>
          <w:sdtContent>
            <w:tc>
              <w:tcPr>
                <w:tcW w:w="1567" w:type="pct"/>
              </w:tcPr>
              <w:p w:rsidR="000C5659" w:rsidRDefault="000E33C4">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0C5659">
        <w:tc>
          <w:tcPr>
            <w:tcW w:w="1882" w:type="pct"/>
          </w:tcPr>
          <w:p w:rsidR="000C5659" w:rsidRDefault="000E33C4">
            <w:pPr>
              <w:autoSpaceDE w:val="0"/>
              <w:autoSpaceDN w:val="0"/>
              <w:adjustRightInd w:val="0"/>
              <w:snapToGrid w:val="0"/>
            </w:pPr>
            <w:r>
              <w:t>往来款</w:t>
            </w:r>
          </w:p>
        </w:tc>
        <w:tc>
          <w:tcPr>
            <w:tcW w:w="1551" w:type="pct"/>
            <w:vAlign w:val="center"/>
          </w:tcPr>
          <w:p w:rsidR="000C5659" w:rsidRDefault="000E33C4">
            <w:pPr>
              <w:jc w:val="right"/>
              <w:rPr>
                <w:color w:val="000000"/>
              </w:rPr>
            </w:pPr>
            <w:r>
              <w:rPr>
                <w:rFonts w:hint="eastAsia"/>
                <w:color w:val="000000"/>
              </w:rPr>
              <w:t>111,905.08</w:t>
            </w:r>
          </w:p>
        </w:tc>
        <w:tc>
          <w:tcPr>
            <w:tcW w:w="1567" w:type="pct"/>
          </w:tcPr>
          <w:p w:rsidR="000C5659" w:rsidRDefault="000E33C4">
            <w:pPr>
              <w:jc w:val="right"/>
            </w:pPr>
            <w:r>
              <w:t>1,271,885.73</w:t>
            </w:r>
          </w:p>
        </w:tc>
      </w:tr>
      <w:tr w:rsidR="000C5659">
        <w:tc>
          <w:tcPr>
            <w:tcW w:w="1882" w:type="pct"/>
          </w:tcPr>
          <w:p w:rsidR="000C5659" w:rsidRDefault="000E33C4">
            <w:pPr>
              <w:autoSpaceDE w:val="0"/>
              <w:autoSpaceDN w:val="0"/>
              <w:adjustRightInd w:val="0"/>
              <w:snapToGrid w:val="0"/>
            </w:pPr>
            <w:r>
              <w:t>销售费用</w:t>
            </w:r>
          </w:p>
        </w:tc>
        <w:tc>
          <w:tcPr>
            <w:tcW w:w="1551" w:type="pct"/>
            <w:vAlign w:val="center"/>
          </w:tcPr>
          <w:p w:rsidR="000C5659" w:rsidRDefault="000E33C4">
            <w:pPr>
              <w:jc w:val="right"/>
              <w:rPr>
                <w:color w:val="000000"/>
              </w:rPr>
            </w:pPr>
            <w:r>
              <w:rPr>
                <w:rFonts w:hint="eastAsia"/>
                <w:color w:val="000000"/>
              </w:rPr>
              <w:t>34,144,888.82</w:t>
            </w:r>
          </w:p>
        </w:tc>
        <w:tc>
          <w:tcPr>
            <w:tcW w:w="1567" w:type="pct"/>
          </w:tcPr>
          <w:p w:rsidR="000C5659" w:rsidRDefault="000E33C4">
            <w:pPr>
              <w:jc w:val="right"/>
            </w:pPr>
            <w:r>
              <w:t>21,951,784.26</w:t>
            </w:r>
          </w:p>
        </w:tc>
      </w:tr>
      <w:tr w:rsidR="000C5659">
        <w:tc>
          <w:tcPr>
            <w:tcW w:w="1882" w:type="pct"/>
          </w:tcPr>
          <w:p w:rsidR="000C5659" w:rsidRDefault="000E33C4">
            <w:pPr>
              <w:autoSpaceDE w:val="0"/>
              <w:autoSpaceDN w:val="0"/>
              <w:adjustRightInd w:val="0"/>
              <w:snapToGrid w:val="0"/>
              <w:jc w:val="both"/>
              <w:rPr>
                <w:color w:val="000000" w:themeColor="text1"/>
              </w:rPr>
            </w:pPr>
            <w:r>
              <w:rPr>
                <w:rFonts w:hint="eastAsia"/>
                <w:color w:val="000000" w:themeColor="text1"/>
              </w:rPr>
              <w:t>管理费用</w:t>
            </w:r>
          </w:p>
        </w:tc>
        <w:tc>
          <w:tcPr>
            <w:tcW w:w="1551" w:type="pct"/>
            <w:vAlign w:val="center"/>
          </w:tcPr>
          <w:p w:rsidR="000C5659" w:rsidRDefault="000E33C4">
            <w:pPr>
              <w:jc w:val="right"/>
              <w:rPr>
                <w:color w:val="000000"/>
              </w:rPr>
            </w:pPr>
            <w:r>
              <w:rPr>
                <w:rFonts w:hint="eastAsia"/>
                <w:color w:val="000000"/>
              </w:rPr>
              <w:t>7,447,032.30</w:t>
            </w:r>
          </w:p>
        </w:tc>
        <w:tc>
          <w:tcPr>
            <w:tcW w:w="1567" w:type="pct"/>
          </w:tcPr>
          <w:p w:rsidR="000C5659" w:rsidRDefault="000E33C4">
            <w:pPr>
              <w:jc w:val="right"/>
            </w:pPr>
            <w:r>
              <w:t>11,350,947.78</w:t>
            </w:r>
          </w:p>
        </w:tc>
      </w:tr>
      <w:tr w:rsidR="000C5659">
        <w:tc>
          <w:tcPr>
            <w:tcW w:w="1882" w:type="pct"/>
          </w:tcPr>
          <w:p w:rsidR="000C5659" w:rsidRDefault="000E33C4">
            <w:pPr>
              <w:autoSpaceDE w:val="0"/>
              <w:autoSpaceDN w:val="0"/>
              <w:adjustRightInd w:val="0"/>
              <w:snapToGrid w:val="0"/>
              <w:jc w:val="both"/>
              <w:rPr>
                <w:color w:val="000000" w:themeColor="text1"/>
              </w:rPr>
            </w:pPr>
            <w:r>
              <w:t>财务费用</w:t>
            </w:r>
          </w:p>
        </w:tc>
        <w:tc>
          <w:tcPr>
            <w:tcW w:w="1551" w:type="pct"/>
            <w:vAlign w:val="center"/>
          </w:tcPr>
          <w:p w:rsidR="000C5659" w:rsidRDefault="000E33C4">
            <w:pPr>
              <w:jc w:val="right"/>
              <w:rPr>
                <w:color w:val="000000"/>
              </w:rPr>
            </w:pPr>
            <w:r>
              <w:rPr>
                <w:rFonts w:hint="eastAsia"/>
                <w:color w:val="000000"/>
              </w:rPr>
              <w:t>256,255.41</w:t>
            </w:r>
          </w:p>
        </w:tc>
        <w:tc>
          <w:tcPr>
            <w:tcW w:w="1567" w:type="pct"/>
          </w:tcPr>
          <w:p w:rsidR="000C5659" w:rsidRDefault="000E33C4">
            <w:pPr>
              <w:jc w:val="right"/>
            </w:pPr>
            <w:r>
              <w:t>233,920.32</w:t>
            </w:r>
          </w:p>
        </w:tc>
      </w:tr>
      <w:tr w:rsidR="000C5659">
        <w:tc>
          <w:tcPr>
            <w:tcW w:w="1882" w:type="pct"/>
          </w:tcPr>
          <w:p w:rsidR="000C5659" w:rsidRDefault="000E33C4">
            <w:pPr>
              <w:autoSpaceDE w:val="0"/>
              <w:autoSpaceDN w:val="0"/>
              <w:adjustRightInd w:val="0"/>
              <w:snapToGrid w:val="0"/>
              <w:jc w:val="both"/>
              <w:rPr>
                <w:color w:val="000000" w:themeColor="text1"/>
              </w:rPr>
            </w:pPr>
            <w:r>
              <w:t>营业外支出</w:t>
            </w:r>
          </w:p>
        </w:tc>
        <w:tc>
          <w:tcPr>
            <w:tcW w:w="1551" w:type="pct"/>
            <w:vAlign w:val="center"/>
          </w:tcPr>
          <w:p w:rsidR="000C5659" w:rsidRDefault="000E33C4">
            <w:pPr>
              <w:jc w:val="right"/>
              <w:rPr>
                <w:color w:val="000000"/>
              </w:rPr>
            </w:pPr>
            <w:r>
              <w:rPr>
                <w:rFonts w:hint="eastAsia"/>
                <w:color w:val="000000"/>
              </w:rPr>
              <w:t>96,111.68</w:t>
            </w:r>
          </w:p>
        </w:tc>
        <w:tc>
          <w:tcPr>
            <w:tcW w:w="1567" w:type="pct"/>
          </w:tcPr>
          <w:p w:rsidR="000C5659" w:rsidRDefault="000E33C4">
            <w:pPr>
              <w:jc w:val="right"/>
            </w:pPr>
            <w:r>
              <w:t>19,687.78</w:t>
            </w:r>
          </w:p>
        </w:tc>
      </w:tr>
      <w:tr w:rsidR="000C5659">
        <w:tc>
          <w:tcPr>
            <w:tcW w:w="1882" w:type="pct"/>
          </w:tcPr>
          <w:p w:rsidR="000C5659" w:rsidRDefault="000E33C4">
            <w:pPr>
              <w:autoSpaceDE w:val="0"/>
              <w:autoSpaceDN w:val="0"/>
              <w:adjustRightInd w:val="0"/>
              <w:snapToGrid w:val="0"/>
              <w:jc w:val="both"/>
              <w:rPr>
                <w:color w:val="000000" w:themeColor="text1"/>
              </w:rPr>
            </w:pPr>
            <w:r>
              <w:t>研发费用</w:t>
            </w:r>
          </w:p>
        </w:tc>
        <w:tc>
          <w:tcPr>
            <w:tcW w:w="1551" w:type="pct"/>
            <w:vAlign w:val="center"/>
          </w:tcPr>
          <w:p w:rsidR="000C5659" w:rsidRDefault="000E33C4">
            <w:pPr>
              <w:jc w:val="right"/>
              <w:rPr>
                <w:color w:val="000000"/>
              </w:rPr>
            </w:pPr>
            <w:r>
              <w:rPr>
                <w:rFonts w:hint="eastAsia"/>
                <w:color w:val="000000"/>
              </w:rPr>
              <w:t>7,651,273.14</w:t>
            </w:r>
          </w:p>
        </w:tc>
        <w:tc>
          <w:tcPr>
            <w:tcW w:w="1567" w:type="pct"/>
          </w:tcPr>
          <w:p w:rsidR="000C5659" w:rsidRDefault="000E33C4">
            <w:pPr>
              <w:jc w:val="right"/>
            </w:pPr>
            <w:r>
              <w:t>3,443,130.32</w:t>
            </w:r>
          </w:p>
        </w:tc>
      </w:tr>
      <w:tr w:rsidR="000C5659">
        <w:tc>
          <w:tcPr>
            <w:tcW w:w="1882" w:type="pct"/>
          </w:tcPr>
          <w:p w:rsidR="000C5659" w:rsidRDefault="000E33C4">
            <w:pPr>
              <w:autoSpaceDE w:val="0"/>
              <w:autoSpaceDN w:val="0"/>
              <w:adjustRightInd w:val="0"/>
              <w:snapToGrid w:val="0"/>
              <w:jc w:val="both"/>
              <w:rPr>
                <w:color w:val="000000" w:themeColor="text1"/>
              </w:rPr>
            </w:pPr>
            <w:r>
              <w:t>合计</w:t>
            </w:r>
          </w:p>
        </w:tc>
        <w:tc>
          <w:tcPr>
            <w:tcW w:w="1551" w:type="pct"/>
            <w:vAlign w:val="center"/>
          </w:tcPr>
          <w:p w:rsidR="000C5659" w:rsidRDefault="000E33C4">
            <w:pPr>
              <w:jc w:val="right"/>
              <w:rPr>
                <w:color w:val="000000"/>
              </w:rPr>
            </w:pPr>
            <w:r>
              <w:rPr>
                <w:rFonts w:hint="eastAsia"/>
                <w:color w:val="000000"/>
              </w:rPr>
              <w:t>49,707,466.43</w:t>
            </w:r>
          </w:p>
        </w:tc>
        <w:tc>
          <w:tcPr>
            <w:tcW w:w="1567" w:type="pct"/>
          </w:tcPr>
          <w:p w:rsidR="000C5659" w:rsidRDefault="000E33C4">
            <w:pPr>
              <w:jc w:val="right"/>
            </w:pPr>
            <w:r>
              <w:t>38,271,356.19</w:t>
            </w:r>
          </w:p>
        </w:tc>
      </w:tr>
    </w:tbl>
    <w:p w:rsidR="000C5659" w:rsidRDefault="000C5659">
      <w:pPr>
        <w:pStyle w:val="Style325"/>
      </w:pPr>
    </w:p>
    <w:p w:rsidR="000C5659" w:rsidRDefault="000E33C4">
      <w:pPr>
        <w:spacing w:before="60" w:after="60"/>
        <w:rPr>
          <w:color w:val="000000" w:themeColor="text1"/>
        </w:rPr>
      </w:pPr>
      <w:r>
        <w:rPr>
          <w:rFonts w:hint="eastAsia"/>
          <w:color w:val="000000" w:themeColor="text1"/>
        </w:rPr>
        <w:t>支付的其他与经营活动有关的现金说明：</w:t>
      </w:r>
    </w:p>
    <w:sdt>
      <w:sdtPr>
        <w:rPr>
          <w:rFonts w:hint="eastAsia"/>
          <w:color w:val="000000" w:themeColor="text1"/>
        </w:rPr>
        <w:alias w:val="支付的其他与经营活动有关的现金说明"/>
        <w:tag w:val="_GBC_632dc3caefd547b5b57f9340a021af22"/>
        <w:id w:val="1871182401"/>
        <w:placeholder>
          <w:docPart w:val="GBC22222222222222222222222222222"/>
        </w:placeholder>
      </w:sdtPr>
      <w:sdtEndPr/>
      <w:sdtContent>
        <w:p w:rsidR="000C5659" w:rsidRDefault="000E33C4">
          <w:pPr>
            <w:ind w:right="5"/>
            <w:rPr>
              <w:color w:val="000000" w:themeColor="text1"/>
            </w:rPr>
          </w:pPr>
          <w:r>
            <w:rPr>
              <w:rFonts w:hint="eastAsia"/>
              <w:color w:val="000000" w:themeColor="text1"/>
            </w:rPr>
            <w:t>无</w:t>
          </w:r>
        </w:p>
      </w:sdtContent>
    </w:sdt>
    <w:p w:rsidR="000C5659" w:rsidRDefault="000C5659">
      <w:pPr>
        <w:ind w:right="5"/>
        <w:rPr>
          <w:color w:val="000000" w:themeColor="text1"/>
        </w:rPr>
      </w:pPr>
    </w:p>
    <w:p w:rsidR="000C5659" w:rsidRDefault="000E33C4" w:rsidP="000743DD">
      <w:pPr>
        <w:pStyle w:val="Style165"/>
        <w:numPr>
          <w:ilvl w:val="0"/>
          <w:numId w:val="88"/>
        </w:numPr>
        <w:rPr>
          <w:rFonts w:ascii="宋体" w:hAnsi="宋体" w:cs="宋体"/>
          <w:color w:val="000000" w:themeColor="text1"/>
          <w:kern w:val="0"/>
          <w:szCs w:val="21"/>
        </w:rPr>
      </w:pPr>
      <w:bookmarkStart w:id="345" w:name="_Hlk167970426"/>
      <w:r>
        <w:rPr>
          <w:rFonts w:ascii="宋体" w:hAnsi="宋体" w:cs="宋体" w:hint="eastAsia"/>
          <w:color w:val="000000" w:themeColor="text1"/>
          <w:kern w:val="0"/>
          <w:szCs w:val="21"/>
        </w:rPr>
        <w:t>与投资活动有关的现金</w:t>
      </w:r>
    </w:p>
    <w:p w:rsidR="000C5659" w:rsidRDefault="000E33C4">
      <w:pPr>
        <w:rPr>
          <w:color w:val="000000" w:themeColor="text1"/>
        </w:rPr>
      </w:pPr>
      <w:r>
        <w:rPr>
          <w:rFonts w:hint="eastAsia"/>
          <w:color w:val="000000" w:themeColor="text1"/>
        </w:rPr>
        <w:t>收到的重要的投资活动有关的现金</w:t>
      </w:r>
    </w:p>
    <w:sdt>
      <w:sdtPr>
        <w:rPr>
          <w:color w:val="000000" w:themeColor="text1"/>
        </w:rPr>
        <w:alias w:val="是否适用：收到的重要的投资活动有关的现金[双击切换]"/>
        <w:tag w:val="_GBC_f56d2779677b47b3ba2b7e5e0b1d3d89"/>
        <w:id w:val="-18798899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支付的重要的投资活动有关的现金</w:t>
      </w:r>
    </w:p>
    <w:sdt>
      <w:sdtPr>
        <w:rPr>
          <w:color w:val="000000" w:themeColor="text1"/>
        </w:rPr>
        <w:alias w:val="是否适用：支付的重要的投资活动有关的现金[双击切换]"/>
        <w:tag w:val="_GBC_e489b143c5a245a9bd1fb9c8c46d7528"/>
        <w:id w:val="198380374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 xml:space="preserve">  单位：</w:t>
      </w:r>
      <w:sdt>
        <w:sdtPr>
          <w:rPr>
            <w:rFonts w:hint="eastAsia"/>
            <w:color w:val="000000" w:themeColor="text1"/>
          </w:rPr>
          <w:alias w:val="单位：支付的重要的投资活动有关的现金"/>
          <w:tag w:val="_GBC_dd865b1779ff4e65a600058244346633"/>
          <w:id w:val="12449076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支付的重要的投资活动有关的现金"/>
          <w:tag w:val="_GBC_b2be4d7fd00f4a1d873d8c3b35ece58d"/>
          <w:id w:val="18990876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0C5659">
        <w:sdt>
          <w:sdtPr>
            <w:rPr>
              <w:rFonts w:hint="eastAsia"/>
              <w:color w:val="000000" w:themeColor="text1"/>
            </w:rPr>
            <w:tag w:val="_PLD_6fd2a5f2ac0244d08f803c4693ced7de"/>
            <w:id w:val="-1831660432"/>
          </w:sdtPr>
          <w:sdtEndPr/>
          <w:sdtContent>
            <w:tc>
              <w:tcPr>
                <w:tcW w:w="1882" w:type="pct"/>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rFonts w:hint="eastAsia"/>
              <w:color w:val="000000" w:themeColor="text1"/>
            </w:rPr>
            <w:tag w:val="_PLD_3f2d6bba65494492af2cde1da634a814"/>
            <w:id w:val="1532840114"/>
          </w:sdtPr>
          <w:sdtEndPr/>
          <w:sdtContent>
            <w:tc>
              <w:tcPr>
                <w:tcW w:w="1562" w:type="pct"/>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rPr>
              <w:rFonts w:hint="eastAsia"/>
              <w:color w:val="000000" w:themeColor="text1"/>
            </w:rPr>
            <w:tag w:val="_PLD_4535b64933e04581a81ff0c2f6d60aee"/>
            <w:id w:val="887224946"/>
          </w:sdtPr>
          <w:sdtEndPr/>
          <w:sdtContent>
            <w:tc>
              <w:tcPr>
                <w:tcW w:w="1556" w:type="pct"/>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0C5659">
        <w:tc>
          <w:tcPr>
            <w:tcW w:w="1882" w:type="pct"/>
          </w:tcPr>
          <w:p w:rsidR="000C5659" w:rsidRDefault="000E33C4">
            <w:pPr>
              <w:autoSpaceDE w:val="0"/>
              <w:autoSpaceDN w:val="0"/>
              <w:adjustRightInd w:val="0"/>
              <w:snapToGrid w:val="0"/>
              <w:spacing w:line="240" w:lineRule="atLeast"/>
            </w:pPr>
            <w:r>
              <w:t>股权投资款及股权收购预付款</w:t>
            </w:r>
          </w:p>
        </w:tc>
        <w:tc>
          <w:tcPr>
            <w:tcW w:w="1562" w:type="pct"/>
            <w:vAlign w:val="bottom"/>
          </w:tcPr>
          <w:p w:rsidR="000C5659" w:rsidRDefault="000E33C4">
            <w:pPr>
              <w:jc w:val="right"/>
            </w:pPr>
            <w:r>
              <w:t>115,001</w:t>
            </w:r>
            <w:r>
              <w:rPr>
                <w:rFonts w:hint="eastAsia"/>
              </w:rPr>
              <w:t>,</w:t>
            </w:r>
            <w:r>
              <w:t>659.82</w:t>
            </w:r>
          </w:p>
        </w:tc>
        <w:tc>
          <w:tcPr>
            <w:tcW w:w="1556" w:type="pct"/>
          </w:tcPr>
          <w:p w:rsidR="000C5659" w:rsidRDefault="000E33C4">
            <w:pPr>
              <w:jc w:val="right"/>
            </w:pPr>
            <w:r>
              <w:t>507,553,280.98</w:t>
            </w:r>
          </w:p>
        </w:tc>
      </w:tr>
      <w:tr w:rsidR="000C5659">
        <w:tc>
          <w:tcPr>
            <w:tcW w:w="1882" w:type="pct"/>
          </w:tcPr>
          <w:p w:rsidR="000C5659" w:rsidRDefault="000E33C4">
            <w:pPr>
              <w:autoSpaceDE w:val="0"/>
              <w:autoSpaceDN w:val="0"/>
              <w:adjustRightInd w:val="0"/>
              <w:snapToGrid w:val="0"/>
              <w:spacing w:line="240" w:lineRule="atLeast"/>
            </w:pPr>
            <w:r>
              <w:t>交易性金融资产及其他非流动金融资产投资支出</w:t>
            </w:r>
          </w:p>
        </w:tc>
        <w:tc>
          <w:tcPr>
            <w:tcW w:w="1562" w:type="pct"/>
            <w:vAlign w:val="bottom"/>
          </w:tcPr>
          <w:p w:rsidR="000C5659" w:rsidRDefault="000E33C4">
            <w:pPr>
              <w:jc w:val="right"/>
            </w:pPr>
            <w:r>
              <w:rPr>
                <w:rFonts w:hint="eastAsia"/>
              </w:rPr>
              <w:t>6,282,961.87</w:t>
            </w:r>
          </w:p>
        </w:tc>
        <w:tc>
          <w:tcPr>
            <w:tcW w:w="1556" w:type="pct"/>
          </w:tcPr>
          <w:p w:rsidR="000C5659" w:rsidRDefault="000E33C4">
            <w:pPr>
              <w:jc w:val="right"/>
            </w:pPr>
            <w:r>
              <w:t>132,313,052.09</w:t>
            </w:r>
          </w:p>
        </w:tc>
      </w:tr>
      <w:tr w:rsidR="000C5659">
        <w:tc>
          <w:tcPr>
            <w:tcW w:w="1882" w:type="pct"/>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562" w:type="pct"/>
            <w:vAlign w:val="bottom"/>
          </w:tcPr>
          <w:p w:rsidR="000C5659" w:rsidRDefault="000E33C4">
            <w:pPr>
              <w:jc w:val="right"/>
            </w:pPr>
            <w:r>
              <w:t>121,284,621.69</w:t>
            </w:r>
          </w:p>
        </w:tc>
        <w:tc>
          <w:tcPr>
            <w:tcW w:w="1556" w:type="pct"/>
          </w:tcPr>
          <w:p w:rsidR="000C5659" w:rsidRDefault="000E33C4">
            <w:pPr>
              <w:jc w:val="right"/>
            </w:pPr>
            <w:r>
              <w:t>639,866,333.07</w:t>
            </w:r>
          </w:p>
        </w:tc>
      </w:tr>
    </w:tbl>
    <w:p w:rsidR="000C5659" w:rsidRDefault="000C5659">
      <w:pPr>
        <w:pStyle w:val="Style325"/>
      </w:pPr>
    </w:p>
    <w:p w:rsidR="000C5659" w:rsidRDefault="000E33C4">
      <w:pPr>
        <w:rPr>
          <w:color w:val="000000" w:themeColor="text1"/>
        </w:rPr>
      </w:pPr>
      <w:r>
        <w:rPr>
          <w:rFonts w:hint="eastAsia"/>
          <w:color w:val="000000" w:themeColor="text1"/>
        </w:rPr>
        <w:t>支付的重要的投资活动有关的现金说明</w:t>
      </w:r>
    </w:p>
    <w:sdt>
      <w:sdtPr>
        <w:rPr>
          <w:color w:val="000000" w:themeColor="text1"/>
        </w:rPr>
        <w:alias w:val="支付的重要的投资活动有关的现金的说明"/>
        <w:tag w:val="_GBC_0d5eb9a515964348b1a6a780e6c2e850"/>
        <w:id w:val="1745762750"/>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bookmarkEnd w:id="345"/>
    <w:p w:rsidR="000C5659" w:rsidRDefault="000E33C4">
      <w:pPr>
        <w:rPr>
          <w:color w:val="000000" w:themeColor="text1"/>
        </w:rPr>
      </w:pPr>
      <w:r>
        <w:rPr>
          <w:rFonts w:hint="eastAsia"/>
          <w:color w:val="000000" w:themeColor="text1"/>
        </w:rPr>
        <w:t>收到的其他与投资活动有关的现金</w:t>
      </w:r>
    </w:p>
    <w:sdt>
      <w:sdtPr>
        <w:rPr>
          <w:color w:val="000000" w:themeColor="text1"/>
        </w:rPr>
        <w:alias w:val="是否适用：收到的其他与投资活动有关的现金[双击切换]"/>
        <w:tag w:val="_GBC_ae3b1cf9e3aa408a8867e76d71769712"/>
        <w:id w:val="1827239596"/>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支付的其他与投资活动有关的现金</w:t>
      </w:r>
    </w:p>
    <w:sdt>
      <w:sdtPr>
        <w:rPr>
          <w:color w:val="000000" w:themeColor="text1"/>
        </w:rPr>
        <w:alias w:val="是否适用：支付的其他与投资活动有关的现金[双击切换]"/>
        <w:tag w:val="_GBC_8862c0a38548482cb3b55a82757e3e33"/>
        <w:id w:val="-2764852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88"/>
        </w:numPr>
        <w:rPr>
          <w:rFonts w:ascii="宋体" w:hAnsi="宋体" w:cs="宋体"/>
          <w:color w:val="000000" w:themeColor="text1"/>
          <w:kern w:val="0"/>
          <w:szCs w:val="21"/>
        </w:rPr>
      </w:pPr>
      <w:r>
        <w:rPr>
          <w:rFonts w:ascii="宋体" w:hAnsi="宋体" w:cs="宋体" w:hint="eastAsia"/>
          <w:color w:val="000000" w:themeColor="text1"/>
          <w:kern w:val="0"/>
          <w:szCs w:val="21"/>
        </w:rPr>
        <w:t>与筹资活动有关的现金</w:t>
      </w:r>
    </w:p>
    <w:p w:rsidR="000C5659" w:rsidRDefault="000E33C4">
      <w:pPr>
        <w:rPr>
          <w:color w:val="000000" w:themeColor="text1"/>
        </w:rPr>
      </w:pPr>
      <w:r>
        <w:rPr>
          <w:rFonts w:hint="eastAsia"/>
          <w:color w:val="000000" w:themeColor="text1"/>
        </w:rPr>
        <w:t>收到的其他与筹资活动有关的现金</w:t>
      </w:r>
    </w:p>
    <w:sdt>
      <w:sdtPr>
        <w:rPr>
          <w:color w:val="000000" w:themeColor="text1"/>
        </w:rPr>
        <w:alias w:val="是否适用：收到的其他与筹资活动有关的现金[双击切换]"/>
        <w:tag w:val="_GBC_6e82da4b55134cf6aacd6132e71f2c27"/>
        <w:id w:val="-10488837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支付的其他与筹资活动有关的现金</w:t>
      </w:r>
    </w:p>
    <w:sdt>
      <w:sdtPr>
        <w:rPr>
          <w:color w:val="000000" w:themeColor="text1"/>
        </w:rPr>
        <w:alias w:val="是否适用：支付的其他与筹资活动有关的现金[双击切换]"/>
        <w:tag w:val="_GBC_cf7fd4869f8d4d98a07243e22bf22793"/>
        <w:id w:val="-345330264"/>
        <w:placeholder>
          <w:docPart w:val="GBC22222222222222222222222222222"/>
        </w:placeholder>
      </w:sdtPr>
      <w:sdtEndPr/>
      <w:sdtContent>
        <w:p w:rsidR="000C5659" w:rsidRDefault="000E33C4">
          <w:pPr>
            <w:ind w:right="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5"/>
        <w:rPr>
          <w:rFonts w:cstheme="minorBidi"/>
          <w:color w:val="000000" w:themeColor="text1"/>
          <w:kern w:val="2"/>
          <w:szCs w:val="22"/>
        </w:rPr>
      </w:pPr>
    </w:p>
    <w:p w:rsidR="000C5659" w:rsidRDefault="000E33C4">
      <w:pPr>
        <w:ind w:right="5"/>
        <w:rPr>
          <w:color w:val="000000" w:themeColor="text1"/>
        </w:rPr>
      </w:pPr>
      <w:bookmarkStart w:id="346" w:name="_Hlk167970634"/>
      <w:r>
        <w:rPr>
          <w:rFonts w:hint="eastAsia"/>
          <w:color w:val="000000" w:themeColor="text1"/>
        </w:rPr>
        <w:t>筹资活动产生的各项负债变动情况</w:t>
      </w:r>
    </w:p>
    <w:sdt>
      <w:sdtPr>
        <w:rPr>
          <w:color w:val="000000" w:themeColor="text1"/>
        </w:rPr>
        <w:alias w:val="是否适用：筹资活动产生的各项负债变动情况[双击切换]"/>
        <w:tag w:val="_GBC_48125ca45f014b0db6560676c7f940e6"/>
        <w:id w:val="188158987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88"/>
        </w:numPr>
        <w:rPr>
          <w:color w:val="000000" w:themeColor="text1"/>
        </w:rPr>
      </w:pPr>
      <w:r>
        <w:rPr>
          <w:rFonts w:hint="eastAsia"/>
          <w:color w:val="000000" w:themeColor="text1"/>
        </w:rPr>
        <w:lastRenderedPageBreak/>
        <w:t>以净额列报</w:t>
      </w:r>
      <w:r>
        <w:rPr>
          <w:rFonts w:ascii="宋体" w:hAnsi="宋体" w:cs="宋体" w:hint="eastAsia"/>
          <w:color w:val="000000" w:themeColor="text1"/>
          <w:kern w:val="0"/>
          <w:szCs w:val="21"/>
        </w:rPr>
        <w:t>现金</w:t>
      </w:r>
      <w:r>
        <w:rPr>
          <w:rFonts w:hint="eastAsia"/>
          <w:color w:val="000000" w:themeColor="text1"/>
        </w:rPr>
        <w:t>流量的说明</w:t>
      </w:r>
    </w:p>
    <w:sdt>
      <w:sdtPr>
        <w:rPr>
          <w:color w:val="000000" w:themeColor="text1"/>
        </w:rPr>
        <w:alias w:val="是否适用：以净额列报现金流量的说明[双击切换]"/>
        <w:tag w:val="_GBC_7e5edd2dccad4675a4426511c2fa01e0"/>
        <w:id w:val="233515305"/>
        <w:placeholder>
          <w:docPart w:val="GBC22222222222222222222222222222"/>
        </w:placeholder>
      </w:sdtPr>
      <w:sdtEndPr/>
      <w:sdtContent>
        <w:p w:rsidR="000C5659" w:rsidRDefault="000E33C4">
          <w:pPr>
            <w:ind w:right="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5"/>
        <w:rPr>
          <w:color w:val="000000" w:themeColor="text1"/>
        </w:rPr>
      </w:pPr>
    </w:p>
    <w:p w:rsidR="000C5659" w:rsidRDefault="000E33C4" w:rsidP="000743DD">
      <w:pPr>
        <w:pStyle w:val="Style165"/>
        <w:numPr>
          <w:ilvl w:val="0"/>
          <w:numId w:val="88"/>
        </w:numPr>
        <w:rPr>
          <w:color w:val="000000" w:themeColor="text1"/>
        </w:rPr>
      </w:pPr>
      <w:r>
        <w:rPr>
          <w:rFonts w:hint="eastAsia"/>
          <w:color w:val="000000" w:themeColor="text1"/>
        </w:rPr>
        <w:t>不涉及当期现金收支、但影响企业财务状况或在未来可能影响企业现金流量的重大活动及财务影响</w:t>
      </w:r>
    </w:p>
    <w:sdt>
      <w:sdtPr>
        <w:rPr>
          <w:color w:val="000000" w:themeColor="text1"/>
        </w:rPr>
        <w:alias w:val="是否适用：不涉及当期现金收支、但影响企业财务状况或在未来可能影响企业现金流量的重大活动及财务影响[双击切换]"/>
        <w:tag w:val="_GBC_07ea2264f8804cb2922afb33860595fb"/>
        <w:id w:val="1461448247"/>
        <w:placeholder>
          <w:docPart w:val="GBC22222222222222222222222222222"/>
        </w:placeholder>
      </w:sdtPr>
      <w:sdtEndPr/>
      <w:sdtContent>
        <w:p w:rsidR="000C5659" w:rsidRDefault="000E33C4">
          <w:pPr>
            <w:ind w:right="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5"/>
        <w:rPr>
          <w:rFonts w:ascii="Calibri" w:hAnsi="Calibri" w:cs="Times New Roman"/>
          <w:color w:val="000000" w:themeColor="text1"/>
          <w:kern w:val="2"/>
          <w:szCs w:val="22"/>
        </w:rPr>
      </w:pPr>
    </w:p>
    <w:bookmarkEnd w:id="346"/>
    <w:p w:rsidR="000C5659" w:rsidRDefault="000E33C4" w:rsidP="000743DD">
      <w:pPr>
        <w:pStyle w:val="35"/>
        <w:numPr>
          <w:ilvl w:val="0"/>
          <w:numId w:val="50"/>
        </w:numPr>
        <w:rPr>
          <w:color w:val="000000" w:themeColor="text1"/>
          <w:szCs w:val="21"/>
        </w:rPr>
      </w:pPr>
      <w:r>
        <w:rPr>
          <w:color w:val="000000" w:themeColor="text1"/>
          <w:szCs w:val="21"/>
        </w:rPr>
        <w:t>现金流量表补充资料</w:t>
      </w:r>
    </w:p>
    <w:p w:rsidR="000C5659" w:rsidRDefault="000E33C4" w:rsidP="000743DD">
      <w:pPr>
        <w:pStyle w:val="Style165"/>
        <w:numPr>
          <w:ilvl w:val="0"/>
          <w:numId w:val="89"/>
        </w:numPr>
        <w:rPr>
          <w:rFonts w:ascii="宋体" w:hAnsi="宋体"/>
          <w:color w:val="000000" w:themeColor="text1"/>
        </w:rPr>
      </w:pPr>
      <w:r>
        <w:rPr>
          <w:rFonts w:ascii="宋体" w:hAnsi="宋体" w:hint="eastAsia"/>
          <w:color w:val="000000" w:themeColor="text1"/>
        </w:rPr>
        <w:t>现金流量表补充资料</w:t>
      </w:r>
    </w:p>
    <w:sdt>
      <w:sdtPr>
        <w:rPr>
          <w:color w:val="000000" w:themeColor="text1"/>
        </w:rPr>
        <w:alias w:val="是否适用：现金流量表补充资料[双击切换]"/>
        <w:tag w:val="_GBC_3ee8e178479245ea907bff86e4dcd54a"/>
        <w:id w:val="57109257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现金流量表补充资料"/>
          <w:tag w:val="_GBC_ba7cd13a54fa44929e0fd4c276876d0e"/>
          <w:id w:val="-20273154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现金流量表补充资料"/>
          <w:tag w:val="_GBC_715164ef2f2b4f258a0908b254229361"/>
          <w:id w:val="-951775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3"/>
        <w:gridCol w:w="2730"/>
        <w:gridCol w:w="2700"/>
      </w:tblGrid>
      <w:tr w:rsidR="000C5659">
        <w:sdt>
          <w:sdtPr>
            <w:rPr>
              <w:color w:val="000000" w:themeColor="text1"/>
            </w:rPr>
            <w:tag w:val="_PLD_a6ea455751354381bc869d5865ef3d8f"/>
            <w:id w:val="979266099"/>
          </w:sdtPr>
          <w:sdtEndPr/>
          <w:sdtContent>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补充资料</w:t>
                </w:r>
              </w:p>
            </w:tc>
          </w:sdtContent>
        </w:sdt>
        <w:sdt>
          <w:sdtPr>
            <w:rPr>
              <w:color w:val="000000" w:themeColor="text1"/>
            </w:rPr>
            <w:tag w:val="_PLD_0687e3743a4e4e2db7b08855f23641e8"/>
            <w:id w:val="-1946601856"/>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本期金额</w:t>
                </w:r>
              </w:p>
            </w:tc>
          </w:sdtContent>
        </w:sdt>
        <w:sdt>
          <w:sdtPr>
            <w:rPr>
              <w:color w:val="000000" w:themeColor="text1"/>
            </w:rPr>
            <w:tag w:val="_PLD_f90342638d124edea40aa264bbe65e8e"/>
            <w:id w:val="822703352"/>
          </w:sdtPr>
          <w:sdtEndPr/>
          <w:sdtContent>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上期金额</w:t>
                </w:r>
              </w:p>
            </w:tc>
          </w:sdtContent>
        </w:sdt>
      </w:tr>
      <w:tr w:rsidR="000C5659">
        <w:sdt>
          <w:sdtPr>
            <w:rPr>
              <w:color w:val="000000" w:themeColor="text1"/>
            </w:rPr>
            <w:tag w:val="_PLD_0a799a1250f946df9181881c4b1f3829"/>
            <w:id w:val="-1457560156"/>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0C5659" w:rsidRDefault="000E33C4">
                <w:pPr>
                  <w:jc w:val="both"/>
                  <w:rPr>
                    <w:b/>
                    <w:color w:val="000000" w:themeColor="text1"/>
                  </w:rPr>
                </w:pPr>
                <w:r>
                  <w:rPr>
                    <w:b/>
                    <w:color w:val="000000" w:themeColor="text1"/>
                  </w:rPr>
                  <w:t>1</w:t>
                </w:r>
                <w:r>
                  <w:rPr>
                    <w:rFonts w:hint="eastAsia"/>
                    <w:b/>
                    <w:color w:val="000000" w:themeColor="text1"/>
                  </w:rPr>
                  <w:t>．将净利润调节为经营活动现金流量：</w:t>
                </w:r>
              </w:p>
            </w:tc>
          </w:sdtContent>
        </w:sdt>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净利润</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31,933,112.90</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36,566,884.05</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加：资产减值准备</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-111,677.09</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-467,205.16</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信用减值损失</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1,705,028.17</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403,021.20</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固定资产折旧、油气资产折耗、生产性生物资产折旧</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color w:val="000000"/>
              </w:rPr>
            </w:pPr>
            <w:r>
              <w:rPr>
                <w:rFonts w:hint="eastAsia"/>
                <w:color w:val="000000"/>
                <w:lang w:bidi="ar"/>
              </w:rPr>
              <w:t>34,997,565.41</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31,439,960.51</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使用权资产摊销</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413,160.33</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C5659" w:rsidP="00BB75E8">
            <w:pPr>
              <w:jc w:val="right"/>
            </w:pP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无形资产摊销</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2,113,461.20</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1,196,922.38</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长期待摊费用摊销</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10,359,485.05</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8,004,522.87</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处置固定资产、无形资产和其他长期资产的损失（收益以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94,544.03</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-28,688.95</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固定资产报废损失（收益以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C5659" w:rsidP="00BB75E8">
            <w:pPr>
              <w:jc w:val="right"/>
              <w:rPr>
                <w:rFonts w:asciiTheme="minorEastAsia" w:eastAsiaTheme="minorEastAsia" w:hAnsiTheme="minorEastAsia" w:cstheme="minorEastAsia"/>
              </w:rPr>
            </w:pP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C5659" w:rsidP="00BB75E8">
            <w:pPr>
              <w:jc w:val="right"/>
            </w:pP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公允价值变动损失（收益以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165,705.98</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-3,220,437.00</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财务费用（收益以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color w:val="000000"/>
              </w:rPr>
            </w:pPr>
            <w:r>
              <w:rPr>
                <w:rFonts w:hint="eastAsia"/>
                <w:color w:val="000000"/>
                <w:lang w:bidi="ar"/>
              </w:rPr>
              <w:t>7,719,939.23</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3,101,401.74</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投资损失（收益以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15,122,993.10</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-2,648,692.98</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递延所得税资产减少（增加以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-1,223,572.46</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2,347,187.47</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递延所得税负债增加（减少以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1,477,331.92</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3,057,282.94</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存货的减少（增加以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center"/>
              <w:rPr>
                <w:rFonts w:asciiTheme="minorEastAsia" w:eastAsiaTheme="minorEastAsia" w:hAnsiTheme="minorEastAsia" w:cstheme="minorEastAsia"/>
              </w:rPr>
            </w:pPr>
            <w:r>
              <w:rPr>
                <w:rFonts w:hint="eastAsia"/>
                <w:color w:val="000000"/>
                <w:lang w:bidi="ar"/>
              </w:rPr>
              <w:t>801,857.17</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-324,749.47</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经营性应收项目的减少（增加以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-30,626,747.98</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-6,626,460.27</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经营性应付项目的增加（减少以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-10,131,514.49</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-21,621,128.81</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其他</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599,440.50</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1,220,402.76</w:t>
            </w:r>
          </w:p>
        </w:tc>
      </w:tr>
      <w:tr w:rsidR="000C5659" w:rsidTr="00BB75E8">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经营活动产生的现金流量净额</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rsidP="00BB75E8">
            <w:pPr>
              <w:jc w:val="right"/>
              <w:textAlignment w:val="bottom"/>
              <w:rPr>
                <w:rFonts w:asciiTheme="minorEastAsia" w:eastAsiaTheme="minorEastAsia" w:hAnsiTheme="minorEastAsia" w:cstheme="minorEastAsia"/>
              </w:rPr>
            </w:pPr>
            <w:r>
              <w:rPr>
                <w:rFonts w:hint="eastAsia"/>
                <w:color w:val="000000"/>
                <w:lang w:bidi="ar"/>
              </w:rPr>
              <w:t>65,410,112.97</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rsidP="00BB75E8">
            <w:pPr>
              <w:jc w:val="right"/>
            </w:pPr>
            <w:r>
              <w:t>52,400,223.28</w:t>
            </w:r>
          </w:p>
        </w:tc>
      </w:tr>
      <w:tr w:rsidR="000C5659">
        <w:sdt>
          <w:sdtPr>
            <w:rPr>
              <w:color w:val="000000" w:themeColor="text1"/>
            </w:rPr>
            <w:tag w:val="_PLD_db693429a97d44a2848da029ca6a724c"/>
            <w:id w:val="-1615824109"/>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0C5659" w:rsidRDefault="000E33C4">
                <w:pPr>
                  <w:rPr>
                    <w:color w:val="000000" w:themeColor="text1"/>
                  </w:rPr>
                </w:pPr>
                <w:r>
                  <w:rPr>
                    <w:b/>
                    <w:color w:val="000000" w:themeColor="text1"/>
                  </w:rPr>
                  <w:t>2</w:t>
                </w:r>
                <w:r>
                  <w:rPr>
                    <w:rFonts w:hint="eastAsia"/>
                    <w:b/>
                    <w:color w:val="000000" w:themeColor="text1"/>
                  </w:rPr>
                  <w:t>．不涉及现金收支的重大投资和筹资活动：</w:t>
                </w:r>
              </w:p>
            </w:tc>
          </w:sdtContent>
        </w:sdt>
      </w:tr>
      <w:tr w:rsidR="000C5659">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债务转为资本</w:t>
            </w:r>
          </w:p>
        </w:tc>
        <w:tc>
          <w:tcPr>
            <w:tcW w:w="1547" w:type="pct"/>
            <w:tcBorders>
              <w:top w:val="outset" w:sz="6" w:space="0" w:color="auto"/>
              <w:left w:val="single" w:sz="4" w:space="0" w:color="auto"/>
              <w:bottom w:val="outset" w:sz="6" w:space="0" w:color="auto"/>
              <w:right w:val="outset" w:sz="6" w:space="0" w:color="auto"/>
            </w:tcBorders>
            <w:shd w:val="clear" w:color="auto" w:fill="auto"/>
          </w:tcPr>
          <w:p w:rsidR="000C5659" w:rsidRDefault="000C5659">
            <w:pPr>
              <w:jc w:val="right"/>
            </w:pPr>
          </w:p>
        </w:tc>
        <w:tc>
          <w:tcPr>
            <w:tcW w:w="1528" w:type="pct"/>
            <w:tcBorders>
              <w:top w:val="outset" w:sz="6" w:space="0" w:color="auto"/>
              <w:left w:val="outset" w:sz="6" w:space="0" w:color="auto"/>
              <w:bottom w:val="outset" w:sz="6" w:space="0" w:color="auto"/>
              <w:right w:val="outset" w:sz="6" w:space="0" w:color="auto"/>
            </w:tcBorders>
            <w:shd w:val="clear" w:color="auto" w:fill="auto"/>
          </w:tcPr>
          <w:p w:rsidR="000C5659" w:rsidRDefault="000C5659">
            <w:pPr>
              <w:jc w:val="right"/>
            </w:pPr>
          </w:p>
        </w:tc>
      </w:tr>
      <w:tr w:rsidR="000C5659">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一年内到期的可转换公司债券</w:t>
            </w:r>
          </w:p>
        </w:tc>
        <w:tc>
          <w:tcPr>
            <w:tcW w:w="1547" w:type="pct"/>
            <w:tcBorders>
              <w:top w:val="outset" w:sz="6" w:space="0" w:color="auto"/>
              <w:left w:val="single" w:sz="4" w:space="0" w:color="auto"/>
              <w:bottom w:val="outset" w:sz="6" w:space="0" w:color="auto"/>
              <w:right w:val="outset" w:sz="6" w:space="0" w:color="auto"/>
            </w:tcBorders>
            <w:shd w:val="clear" w:color="auto" w:fill="auto"/>
          </w:tcPr>
          <w:p w:rsidR="000C5659" w:rsidRDefault="000C5659">
            <w:pPr>
              <w:jc w:val="right"/>
            </w:pPr>
          </w:p>
        </w:tc>
        <w:tc>
          <w:tcPr>
            <w:tcW w:w="1528" w:type="pct"/>
            <w:tcBorders>
              <w:top w:val="outset" w:sz="6" w:space="0" w:color="auto"/>
              <w:left w:val="outset" w:sz="6" w:space="0" w:color="auto"/>
              <w:bottom w:val="outset" w:sz="6" w:space="0" w:color="auto"/>
              <w:right w:val="outset" w:sz="6" w:space="0" w:color="auto"/>
            </w:tcBorders>
            <w:shd w:val="clear" w:color="auto" w:fill="auto"/>
          </w:tcPr>
          <w:p w:rsidR="000C5659" w:rsidRDefault="000C5659">
            <w:pPr>
              <w:jc w:val="right"/>
            </w:pPr>
          </w:p>
        </w:tc>
      </w:tr>
      <w:tr w:rsidR="000C5659">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融资租入固定资产</w:t>
            </w:r>
          </w:p>
        </w:tc>
        <w:tc>
          <w:tcPr>
            <w:tcW w:w="1547" w:type="pct"/>
            <w:tcBorders>
              <w:top w:val="outset" w:sz="6" w:space="0" w:color="auto"/>
              <w:left w:val="single" w:sz="4" w:space="0" w:color="auto"/>
              <w:bottom w:val="outset" w:sz="6" w:space="0" w:color="auto"/>
              <w:right w:val="outset" w:sz="6" w:space="0" w:color="auto"/>
            </w:tcBorders>
            <w:shd w:val="clear" w:color="auto" w:fill="auto"/>
          </w:tcPr>
          <w:p w:rsidR="000C5659" w:rsidRDefault="000C5659">
            <w:pPr>
              <w:jc w:val="right"/>
            </w:pPr>
          </w:p>
        </w:tc>
        <w:tc>
          <w:tcPr>
            <w:tcW w:w="1528" w:type="pct"/>
            <w:tcBorders>
              <w:top w:val="outset" w:sz="6" w:space="0" w:color="auto"/>
              <w:left w:val="outset" w:sz="6" w:space="0" w:color="auto"/>
              <w:bottom w:val="outset" w:sz="6" w:space="0" w:color="auto"/>
              <w:right w:val="outset" w:sz="6" w:space="0" w:color="auto"/>
            </w:tcBorders>
            <w:shd w:val="clear" w:color="auto" w:fill="auto"/>
          </w:tcPr>
          <w:p w:rsidR="000C5659" w:rsidRDefault="000C5659">
            <w:pPr>
              <w:jc w:val="right"/>
            </w:pPr>
          </w:p>
        </w:tc>
      </w:tr>
      <w:tr w:rsidR="000C5659">
        <w:sdt>
          <w:sdtPr>
            <w:rPr>
              <w:color w:val="000000" w:themeColor="text1"/>
            </w:rPr>
            <w:tag w:val="_PLD_1294459fe7ee46638b8d4b78b8d8c436"/>
            <w:id w:val="-228930141"/>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0C5659" w:rsidRDefault="000E33C4">
                <w:pPr>
                  <w:rPr>
                    <w:color w:val="000000" w:themeColor="text1"/>
                  </w:rPr>
                </w:pPr>
                <w:r>
                  <w:rPr>
                    <w:b/>
                    <w:color w:val="000000" w:themeColor="text1"/>
                  </w:rPr>
                  <w:t>3</w:t>
                </w:r>
                <w:r>
                  <w:rPr>
                    <w:rFonts w:hint="eastAsia"/>
                    <w:b/>
                    <w:color w:val="000000" w:themeColor="text1"/>
                  </w:rPr>
                  <w:t>．现金及现金等价物净变动情况：</w:t>
                </w:r>
              </w:p>
            </w:tc>
          </w:sdtContent>
        </w:sdt>
      </w:tr>
      <w:tr w:rsidR="000C5659">
        <w:trPr>
          <w:trHeight w:val="90"/>
        </w:trPr>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现金的期末余额</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pPr>
              <w:jc w:val="right"/>
              <w:textAlignment w:val="center"/>
            </w:pPr>
            <w:r>
              <w:rPr>
                <w:rFonts w:hint="eastAsia"/>
                <w:color w:val="000000"/>
                <w:lang w:bidi="ar"/>
              </w:rPr>
              <w:t>43,351,167.03</w:t>
            </w:r>
          </w:p>
        </w:tc>
        <w:tc>
          <w:tcPr>
            <w:tcW w:w="1528" w:type="pct"/>
            <w:tcBorders>
              <w:top w:val="outset" w:sz="6" w:space="0" w:color="auto"/>
              <w:left w:val="outset" w:sz="6" w:space="0" w:color="auto"/>
              <w:bottom w:val="outset" w:sz="6" w:space="0" w:color="auto"/>
              <w:right w:val="outset" w:sz="6" w:space="0" w:color="auto"/>
            </w:tcBorders>
            <w:shd w:val="clear" w:color="auto" w:fill="auto"/>
          </w:tcPr>
          <w:p w:rsidR="000C5659" w:rsidRDefault="000E33C4">
            <w:pPr>
              <w:jc w:val="right"/>
            </w:pPr>
            <w:r>
              <w:t>260,624,138.43</w:t>
            </w:r>
          </w:p>
        </w:tc>
      </w:tr>
      <w:tr w:rsidR="000C5659">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lastRenderedPageBreak/>
              <w:t>减：现金的期初余额</w:t>
            </w:r>
          </w:p>
        </w:tc>
        <w:tc>
          <w:tcPr>
            <w:tcW w:w="2800" w:type="dxa"/>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pPr>
              <w:jc w:val="right"/>
              <w:textAlignment w:val="center"/>
            </w:pPr>
            <w:r>
              <w:rPr>
                <w:rFonts w:hint="eastAsia"/>
                <w:color w:val="000000"/>
                <w:lang w:bidi="ar"/>
              </w:rPr>
              <w:t>46,468,830.57</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E33C4">
            <w:pPr>
              <w:jc w:val="right"/>
            </w:pPr>
            <w:r>
              <w:t>113,433,633.46</w:t>
            </w:r>
          </w:p>
        </w:tc>
      </w:tr>
      <w:tr w:rsidR="000C5659">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加：现金等价物的期末余额</w:t>
            </w:r>
          </w:p>
        </w:tc>
        <w:tc>
          <w:tcPr>
            <w:tcW w:w="1547" w:type="pct"/>
            <w:tcBorders>
              <w:top w:val="outset" w:sz="6" w:space="0" w:color="auto"/>
              <w:left w:val="single" w:sz="4" w:space="0" w:color="auto"/>
              <w:bottom w:val="outset" w:sz="6" w:space="0" w:color="auto"/>
              <w:right w:val="outset" w:sz="6" w:space="0" w:color="auto"/>
            </w:tcBorders>
            <w:shd w:val="clear" w:color="auto" w:fill="auto"/>
          </w:tcPr>
          <w:p w:rsidR="000C5659" w:rsidRDefault="000E33C4">
            <w:pPr>
              <w:jc w:val="right"/>
            </w:pPr>
            <w:r>
              <w:t>-</w:t>
            </w:r>
          </w:p>
        </w:tc>
        <w:tc>
          <w:tcPr>
            <w:tcW w:w="1528" w:type="pct"/>
            <w:tcBorders>
              <w:top w:val="outset" w:sz="6" w:space="0" w:color="auto"/>
              <w:left w:val="outset" w:sz="6" w:space="0" w:color="auto"/>
              <w:bottom w:val="outset" w:sz="6" w:space="0" w:color="auto"/>
              <w:right w:val="outset" w:sz="6" w:space="0" w:color="auto"/>
            </w:tcBorders>
            <w:shd w:val="clear" w:color="auto" w:fill="auto"/>
          </w:tcPr>
          <w:p w:rsidR="000C5659" w:rsidRDefault="000C5659">
            <w:pPr>
              <w:jc w:val="right"/>
            </w:pPr>
          </w:p>
        </w:tc>
      </w:tr>
      <w:tr w:rsidR="000C5659">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减：现金等价物的期初余额</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0C5659" w:rsidRDefault="000E33C4">
            <w:pPr>
              <w:jc w:val="right"/>
            </w:pPr>
            <w:r>
              <w:t>-</w:t>
            </w:r>
          </w:p>
        </w:tc>
        <w:tc>
          <w:tcPr>
            <w:tcW w:w="1528" w:type="pct"/>
            <w:tcBorders>
              <w:top w:val="outset" w:sz="6" w:space="0" w:color="auto"/>
              <w:left w:val="outset" w:sz="6" w:space="0" w:color="auto"/>
              <w:bottom w:val="outset" w:sz="6" w:space="0" w:color="auto"/>
              <w:right w:val="outset" w:sz="6" w:space="0" w:color="auto"/>
            </w:tcBorders>
            <w:shd w:val="clear" w:color="auto" w:fill="auto"/>
            <w:vAlign w:val="center"/>
          </w:tcPr>
          <w:p w:rsidR="000C5659" w:rsidRDefault="000C5659">
            <w:pPr>
              <w:jc w:val="right"/>
            </w:pPr>
          </w:p>
        </w:tc>
      </w:tr>
      <w:tr w:rsidR="000C5659">
        <w:tc>
          <w:tcPr>
            <w:tcW w:w="192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现金及现金等价物净增加额</w:t>
            </w:r>
          </w:p>
        </w:tc>
        <w:tc>
          <w:tcPr>
            <w:tcW w:w="1547" w:type="pct"/>
            <w:tcBorders>
              <w:top w:val="outset" w:sz="6" w:space="0" w:color="auto"/>
              <w:left w:val="single" w:sz="4" w:space="0" w:color="auto"/>
              <w:bottom w:val="outset" w:sz="6" w:space="0" w:color="auto"/>
              <w:right w:val="outset" w:sz="6" w:space="0" w:color="auto"/>
            </w:tcBorders>
            <w:shd w:val="clear" w:color="auto" w:fill="auto"/>
          </w:tcPr>
          <w:p w:rsidR="000C5659" w:rsidRDefault="000E33C4">
            <w:pPr>
              <w:jc w:val="right"/>
            </w:pPr>
            <w:r>
              <w:rPr>
                <w:rFonts w:hint="eastAsia"/>
              </w:rPr>
              <w:t>-3,117,663.54</w:t>
            </w:r>
          </w:p>
        </w:tc>
        <w:tc>
          <w:tcPr>
            <w:tcW w:w="1528" w:type="pct"/>
            <w:tcBorders>
              <w:top w:val="outset" w:sz="6" w:space="0" w:color="auto"/>
              <w:left w:val="outset" w:sz="6" w:space="0" w:color="auto"/>
              <w:bottom w:val="outset" w:sz="6" w:space="0" w:color="auto"/>
              <w:right w:val="outset" w:sz="6" w:space="0" w:color="auto"/>
            </w:tcBorders>
            <w:shd w:val="clear" w:color="auto" w:fill="auto"/>
          </w:tcPr>
          <w:p w:rsidR="000C5659" w:rsidRDefault="000E33C4">
            <w:pPr>
              <w:jc w:val="right"/>
            </w:pPr>
            <w:r>
              <w:t>147,190,504.97</w:t>
            </w:r>
          </w:p>
        </w:tc>
      </w:tr>
    </w:tbl>
    <w:p w:rsidR="000C5659" w:rsidRDefault="000C5659">
      <w:pPr>
        <w:pStyle w:val="Style325"/>
      </w:pPr>
    </w:p>
    <w:p w:rsidR="000C5659" w:rsidRDefault="000E33C4" w:rsidP="000743DD">
      <w:pPr>
        <w:pStyle w:val="Style165"/>
        <w:numPr>
          <w:ilvl w:val="0"/>
          <w:numId w:val="89"/>
        </w:numPr>
        <w:rPr>
          <w:rFonts w:ascii="宋体" w:hAnsi="宋体"/>
          <w:color w:val="000000" w:themeColor="text1"/>
          <w:szCs w:val="21"/>
        </w:rPr>
      </w:pPr>
      <w:r>
        <w:rPr>
          <w:rFonts w:ascii="宋体" w:hAnsi="宋体" w:cs="宋体" w:hint="eastAsia"/>
          <w:color w:val="000000" w:themeColor="text1"/>
          <w:kern w:val="0"/>
          <w:szCs w:val="21"/>
        </w:rPr>
        <w:t>本期支付的</w:t>
      </w:r>
      <w:r>
        <w:rPr>
          <w:rFonts w:ascii="宋体" w:hAnsi="宋体" w:hint="eastAsia"/>
          <w:color w:val="000000" w:themeColor="text1"/>
          <w:szCs w:val="21"/>
        </w:rPr>
        <w:t>取得子公司的现金净额</w:t>
      </w:r>
    </w:p>
    <w:sdt>
      <w:sdtPr>
        <w:rPr>
          <w:color w:val="000000" w:themeColor="text1"/>
        </w:rPr>
        <w:alias w:val="是否适用：本期支付的取得子公司的现金净额[双击切换]"/>
        <w:tag w:val="_GBC_903abae67cad448caac446eb8c11fd79"/>
        <w:id w:val="12570910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89"/>
        </w:numPr>
        <w:rPr>
          <w:rFonts w:ascii="宋体" w:hAnsi="宋体"/>
          <w:color w:val="000000" w:themeColor="text1"/>
        </w:rPr>
      </w:pPr>
      <w:r>
        <w:rPr>
          <w:rFonts w:ascii="宋体" w:hAnsi="宋体" w:cs="宋体" w:hint="eastAsia"/>
          <w:color w:val="000000" w:themeColor="text1"/>
          <w:kern w:val="0"/>
          <w:szCs w:val="24"/>
        </w:rPr>
        <w:t>本期收到的</w:t>
      </w:r>
      <w:r>
        <w:rPr>
          <w:rFonts w:ascii="宋体" w:hAnsi="宋体" w:hint="eastAsia"/>
          <w:color w:val="000000" w:themeColor="text1"/>
        </w:rPr>
        <w:t>处置子公司的现金净额</w:t>
      </w:r>
    </w:p>
    <w:sdt>
      <w:sdtPr>
        <w:rPr>
          <w:color w:val="000000" w:themeColor="text1"/>
        </w:rPr>
        <w:alias w:val="是否适用：本期收到的处置子公司的现金净额[双击切换]"/>
        <w:tag w:val="_GBC_2b4b13c85bb94d13bb7b7edebe0a9f5a"/>
        <w:id w:val="-4375290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89"/>
        </w:numPr>
        <w:rPr>
          <w:rFonts w:ascii="宋体" w:hAnsi="宋体"/>
          <w:color w:val="000000" w:themeColor="text1"/>
          <w:szCs w:val="21"/>
        </w:rPr>
      </w:pPr>
      <w:r>
        <w:rPr>
          <w:rFonts w:ascii="宋体" w:hAnsi="宋体" w:hint="eastAsia"/>
          <w:color w:val="000000" w:themeColor="text1"/>
          <w:szCs w:val="21"/>
        </w:rPr>
        <w:t>现金和现金</w:t>
      </w:r>
      <w:r>
        <w:rPr>
          <w:rFonts w:ascii="宋体" w:hAnsi="宋体" w:hint="eastAsia"/>
          <w:color w:val="000000" w:themeColor="text1"/>
        </w:rPr>
        <w:t>等价物</w:t>
      </w:r>
      <w:r>
        <w:rPr>
          <w:rFonts w:ascii="宋体" w:hAnsi="宋体" w:hint="eastAsia"/>
          <w:color w:val="000000" w:themeColor="text1"/>
          <w:szCs w:val="21"/>
        </w:rPr>
        <w:t>的构成</w:t>
      </w:r>
    </w:p>
    <w:sdt>
      <w:sdtPr>
        <w:rPr>
          <w:color w:val="000000" w:themeColor="text1"/>
        </w:rPr>
        <w:alias w:val="是否适用：现金和现金等价物的构成[双击切换]"/>
        <w:tag w:val="_GBC_4f1d477972634410a6ea7bdfaf766947"/>
        <w:id w:val="171330399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b/>
          <w:color w:val="000000" w:themeColor="text1"/>
        </w:rPr>
      </w:pPr>
      <w:r>
        <w:rPr>
          <w:rFonts w:hint="eastAsia"/>
          <w:color w:val="000000" w:themeColor="text1"/>
        </w:rPr>
        <w:t>单位：</w:t>
      </w:r>
      <w:sdt>
        <w:sdtPr>
          <w:rPr>
            <w:rFonts w:hint="eastAsia"/>
            <w:color w:val="000000" w:themeColor="text1"/>
          </w:rPr>
          <w:alias w:val="单位：财务附注：现金和现金等价物的构成"/>
          <w:tag w:val="_GBC_b65333ba6aec402382c4acbbb6696560"/>
          <w:id w:val="1312521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现金和现金等价物的构成"/>
          <w:tag w:val="_GBC_15cada3a52264083942ef83a40fa25a0"/>
          <w:id w:val="-475361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0C5659">
        <w:trPr>
          <w:trHeight w:val="285"/>
        </w:trPr>
        <w:sdt>
          <w:sdtPr>
            <w:rPr>
              <w:color w:val="000000" w:themeColor="text1"/>
            </w:rPr>
            <w:tag w:val="_PLD_d5bf85e9303e4843a7623f09eae933c6"/>
            <w:id w:val="-288905174"/>
          </w:sdtPr>
          <w:sdtEndPr/>
          <w:sdtContent>
            <w:tc>
              <w:tcPr>
                <w:tcW w:w="1875" w:type="pct"/>
                <w:tcBorders>
                  <w:bottom w:val="single" w:sz="4" w:space="0" w:color="auto"/>
                </w:tcBorders>
                <w:shd w:val="clear" w:color="auto" w:fill="auto"/>
                <w:vAlign w:val="center"/>
              </w:tcPr>
              <w:p w:rsidR="000C5659" w:rsidRDefault="000E33C4">
                <w:pPr>
                  <w:ind w:leftChars="-51" w:left="-107"/>
                  <w:jc w:val="center"/>
                  <w:rPr>
                    <w:color w:val="000000" w:themeColor="text1"/>
                  </w:rPr>
                </w:pPr>
                <w:r>
                  <w:rPr>
                    <w:rFonts w:hint="eastAsia"/>
                    <w:color w:val="000000" w:themeColor="text1"/>
                  </w:rPr>
                  <w:t>项目</w:t>
                </w:r>
              </w:p>
            </w:tc>
          </w:sdtContent>
        </w:sdt>
        <w:sdt>
          <w:sdtPr>
            <w:rPr>
              <w:color w:val="000000" w:themeColor="text1"/>
            </w:rPr>
            <w:tag w:val="_PLD_e3a960d2f6474687b9cbaec3f1075e19"/>
            <w:id w:val="-939371365"/>
          </w:sdtPr>
          <w:sdtEndPr/>
          <w:sdtContent>
            <w:tc>
              <w:tcPr>
                <w:tcW w:w="1614" w:type="pct"/>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0d0909eba9344c8ab96c7fb88f0b117a"/>
            <w:id w:val="341822073"/>
          </w:sdtPr>
          <w:sdtEndPr/>
          <w:sdtContent>
            <w:tc>
              <w:tcPr>
                <w:tcW w:w="1511" w:type="pct"/>
                <w:shd w:val="clear" w:color="auto" w:fill="auto"/>
              </w:tcPr>
              <w:p w:rsidR="000C5659" w:rsidRDefault="000E33C4">
                <w:pPr>
                  <w:jc w:val="center"/>
                  <w:rPr>
                    <w:color w:val="000000" w:themeColor="text1"/>
                  </w:rPr>
                </w:pPr>
                <w:r>
                  <w:rPr>
                    <w:rFonts w:hint="eastAsia"/>
                    <w:color w:val="000000" w:themeColor="text1"/>
                  </w:rPr>
                  <w:t>期初余额</w:t>
                </w:r>
              </w:p>
            </w:tc>
          </w:sdtContent>
        </w:sdt>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一、现金</w:t>
            </w:r>
          </w:p>
        </w:tc>
        <w:tc>
          <w:tcPr>
            <w:tcW w:w="1614" w:type="pct"/>
            <w:shd w:val="clear" w:color="auto" w:fill="auto"/>
          </w:tcPr>
          <w:p w:rsidR="000C5659" w:rsidRDefault="000E33C4">
            <w:pPr>
              <w:jc w:val="right"/>
            </w:pPr>
            <w:r>
              <w:rPr>
                <w:rFonts w:hint="eastAsia"/>
              </w:rPr>
              <w:t>43,351,167.03</w:t>
            </w:r>
          </w:p>
        </w:tc>
        <w:tc>
          <w:tcPr>
            <w:tcW w:w="1511" w:type="pct"/>
            <w:shd w:val="clear" w:color="auto" w:fill="auto"/>
          </w:tcPr>
          <w:p w:rsidR="000C5659" w:rsidRDefault="000E33C4">
            <w:pPr>
              <w:jc w:val="right"/>
            </w:pPr>
            <w:r>
              <w:t>46,468,830.57</w:t>
            </w: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其中：库存现金</w:t>
            </w:r>
          </w:p>
        </w:tc>
        <w:tc>
          <w:tcPr>
            <w:tcW w:w="1614" w:type="pct"/>
            <w:shd w:val="clear" w:color="auto" w:fill="auto"/>
          </w:tcPr>
          <w:p w:rsidR="000C5659" w:rsidRDefault="000E33C4">
            <w:pPr>
              <w:jc w:val="right"/>
            </w:pPr>
            <w:r>
              <w:t>40,839.38</w:t>
            </w:r>
          </w:p>
        </w:tc>
        <w:tc>
          <w:tcPr>
            <w:tcW w:w="1511" w:type="pct"/>
            <w:shd w:val="clear" w:color="auto" w:fill="auto"/>
          </w:tcPr>
          <w:p w:rsidR="000C5659" w:rsidRDefault="000E33C4">
            <w:pPr>
              <w:jc w:val="right"/>
            </w:pPr>
            <w:r>
              <w:t>8,590.00</w:t>
            </w: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 xml:space="preserve">　　可随时用于支付的银行存款</w:t>
            </w:r>
          </w:p>
        </w:tc>
        <w:tc>
          <w:tcPr>
            <w:tcW w:w="1614" w:type="pct"/>
            <w:shd w:val="clear" w:color="auto" w:fill="auto"/>
          </w:tcPr>
          <w:p w:rsidR="000C5659" w:rsidRDefault="000E33C4">
            <w:pPr>
              <w:jc w:val="right"/>
            </w:pPr>
            <w:r>
              <w:t>37,239,303.59</w:t>
            </w:r>
          </w:p>
        </w:tc>
        <w:tc>
          <w:tcPr>
            <w:tcW w:w="1511" w:type="pct"/>
            <w:shd w:val="clear" w:color="auto" w:fill="auto"/>
          </w:tcPr>
          <w:p w:rsidR="000C5659" w:rsidRDefault="000E33C4">
            <w:pPr>
              <w:jc w:val="right"/>
            </w:pPr>
            <w:r>
              <w:t>45,854,378.94</w:t>
            </w: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 xml:space="preserve">　　可随时用于支付的其他货币资金</w:t>
            </w:r>
          </w:p>
        </w:tc>
        <w:tc>
          <w:tcPr>
            <w:tcW w:w="1614" w:type="pct"/>
            <w:shd w:val="clear" w:color="auto" w:fill="auto"/>
          </w:tcPr>
          <w:p w:rsidR="000C5659" w:rsidRDefault="000E33C4">
            <w:pPr>
              <w:jc w:val="right"/>
            </w:pPr>
            <w:r>
              <w:t>6,071,024.06</w:t>
            </w:r>
          </w:p>
        </w:tc>
        <w:tc>
          <w:tcPr>
            <w:tcW w:w="1511" w:type="pct"/>
            <w:shd w:val="clear" w:color="auto" w:fill="auto"/>
          </w:tcPr>
          <w:p w:rsidR="000C5659" w:rsidRDefault="000E33C4">
            <w:pPr>
              <w:jc w:val="right"/>
            </w:pPr>
            <w:r>
              <w:t>605,861.63</w:t>
            </w: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 xml:space="preserve">　　可用于支付的存放中央银行款项</w:t>
            </w:r>
          </w:p>
        </w:tc>
        <w:tc>
          <w:tcPr>
            <w:tcW w:w="1614" w:type="pct"/>
            <w:shd w:val="clear" w:color="auto" w:fill="auto"/>
          </w:tcPr>
          <w:p w:rsidR="000C5659" w:rsidRDefault="000C5659">
            <w:pPr>
              <w:jc w:val="right"/>
            </w:pPr>
          </w:p>
        </w:tc>
        <w:tc>
          <w:tcPr>
            <w:tcW w:w="1511" w:type="pct"/>
            <w:shd w:val="clear" w:color="auto" w:fill="auto"/>
          </w:tcPr>
          <w:p w:rsidR="000C5659" w:rsidRDefault="000C5659">
            <w:pPr>
              <w:jc w:val="right"/>
            </w:pP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 xml:space="preserve">　　存放同业款项</w:t>
            </w:r>
          </w:p>
        </w:tc>
        <w:tc>
          <w:tcPr>
            <w:tcW w:w="1614" w:type="pct"/>
            <w:shd w:val="clear" w:color="auto" w:fill="auto"/>
          </w:tcPr>
          <w:p w:rsidR="000C5659" w:rsidRDefault="000C5659">
            <w:pPr>
              <w:jc w:val="right"/>
            </w:pPr>
          </w:p>
        </w:tc>
        <w:tc>
          <w:tcPr>
            <w:tcW w:w="1511" w:type="pct"/>
            <w:shd w:val="clear" w:color="auto" w:fill="auto"/>
          </w:tcPr>
          <w:p w:rsidR="000C5659" w:rsidRDefault="000C5659">
            <w:pPr>
              <w:jc w:val="right"/>
            </w:pP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 xml:space="preserve">　　拆放同业款项</w:t>
            </w:r>
          </w:p>
        </w:tc>
        <w:tc>
          <w:tcPr>
            <w:tcW w:w="1614" w:type="pct"/>
            <w:shd w:val="clear" w:color="auto" w:fill="auto"/>
          </w:tcPr>
          <w:p w:rsidR="000C5659" w:rsidRDefault="000C5659">
            <w:pPr>
              <w:jc w:val="right"/>
            </w:pPr>
          </w:p>
        </w:tc>
        <w:tc>
          <w:tcPr>
            <w:tcW w:w="1511" w:type="pct"/>
            <w:shd w:val="clear" w:color="auto" w:fill="auto"/>
          </w:tcPr>
          <w:p w:rsidR="000C5659" w:rsidRDefault="000C5659">
            <w:pPr>
              <w:jc w:val="right"/>
            </w:pP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二、现金等价物</w:t>
            </w:r>
          </w:p>
        </w:tc>
        <w:tc>
          <w:tcPr>
            <w:tcW w:w="1614" w:type="pct"/>
            <w:shd w:val="clear" w:color="auto" w:fill="auto"/>
          </w:tcPr>
          <w:p w:rsidR="000C5659" w:rsidRDefault="000C5659">
            <w:pPr>
              <w:jc w:val="right"/>
            </w:pPr>
          </w:p>
        </w:tc>
        <w:tc>
          <w:tcPr>
            <w:tcW w:w="1511" w:type="pct"/>
            <w:shd w:val="clear" w:color="auto" w:fill="auto"/>
          </w:tcPr>
          <w:p w:rsidR="000C5659" w:rsidRDefault="000C5659">
            <w:pPr>
              <w:jc w:val="right"/>
            </w:pPr>
          </w:p>
        </w:tc>
      </w:tr>
      <w:tr w:rsidR="000C5659">
        <w:trPr>
          <w:trHeight w:val="285"/>
        </w:trPr>
        <w:tc>
          <w:tcPr>
            <w:tcW w:w="1875" w:type="pct"/>
            <w:tcBorders>
              <w:bottom w:val="single" w:sz="4" w:space="0" w:color="auto"/>
            </w:tcBorders>
            <w:shd w:val="clear" w:color="auto" w:fill="auto"/>
            <w:vAlign w:val="center"/>
          </w:tcPr>
          <w:p w:rsidR="000C5659" w:rsidRDefault="000E33C4">
            <w:pPr>
              <w:rPr>
                <w:color w:val="000000" w:themeColor="text1"/>
              </w:rPr>
            </w:pPr>
            <w:r>
              <w:rPr>
                <w:rFonts w:hint="eastAsia"/>
                <w:color w:val="000000" w:themeColor="text1"/>
              </w:rPr>
              <w:t>其中：三个月内到期的债券投资</w:t>
            </w:r>
          </w:p>
        </w:tc>
        <w:tc>
          <w:tcPr>
            <w:tcW w:w="1614" w:type="pct"/>
            <w:tcBorders>
              <w:bottom w:val="single" w:sz="4" w:space="0" w:color="auto"/>
            </w:tcBorders>
            <w:shd w:val="clear" w:color="auto" w:fill="auto"/>
          </w:tcPr>
          <w:p w:rsidR="000C5659" w:rsidRDefault="000C5659">
            <w:pPr>
              <w:jc w:val="right"/>
            </w:pPr>
          </w:p>
        </w:tc>
        <w:tc>
          <w:tcPr>
            <w:tcW w:w="1511" w:type="pct"/>
            <w:tcBorders>
              <w:bottom w:val="single" w:sz="4" w:space="0" w:color="auto"/>
            </w:tcBorders>
            <w:shd w:val="clear" w:color="auto" w:fill="auto"/>
          </w:tcPr>
          <w:p w:rsidR="000C5659" w:rsidRDefault="000C5659">
            <w:pPr>
              <w:jc w:val="right"/>
            </w:pPr>
          </w:p>
        </w:tc>
      </w:tr>
      <w:tr w:rsidR="000C5659">
        <w:trPr>
          <w:trHeight w:val="285"/>
        </w:trPr>
        <w:tc>
          <w:tcPr>
            <w:tcW w:w="1875" w:type="pct"/>
            <w:shd w:val="clear" w:color="auto" w:fill="auto"/>
            <w:vAlign w:val="center"/>
          </w:tcPr>
          <w:p w:rsidR="000C5659" w:rsidRDefault="000C5659">
            <w:pPr>
              <w:pStyle w:val="Style325"/>
            </w:pPr>
          </w:p>
        </w:tc>
        <w:tc>
          <w:tcPr>
            <w:tcW w:w="1614" w:type="pct"/>
            <w:shd w:val="clear" w:color="auto" w:fill="auto"/>
          </w:tcPr>
          <w:p w:rsidR="000C5659" w:rsidRDefault="000C5659">
            <w:pPr>
              <w:jc w:val="right"/>
            </w:pPr>
          </w:p>
        </w:tc>
        <w:tc>
          <w:tcPr>
            <w:tcW w:w="1511" w:type="pct"/>
            <w:shd w:val="clear" w:color="auto" w:fill="auto"/>
          </w:tcPr>
          <w:p w:rsidR="000C5659" w:rsidRDefault="000C5659">
            <w:pPr>
              <w:jc w:val="right"/>
            </w:pPr>
          </w:p>
        </w:tc>
      </w:tr>
      <w:tr w:rsidR="000C5659">
        <w:trPr>
          <w:trHeight w:val="285"/>
        </w:trPr>
        <w:tc>
          <w:tcPr>
            <w:tcW w:w="1875" w:type="pct"/>
            <w:shd w:val="clear" w:color="auto" w:fill="auto"/>
            <w:vAlign w:val="center"/>
          </w:tcPr>
          <w:p w:rsidR="000C5659" w:rsidRDefault="000C5659">
            <w:pPr>
              <w:pStyle w:val="Style325"/>
            </w:pPr>
          </w:p>
        </w:tc>
        <w:tc>
          <w:tcPr>
            <w:tcW w:w="1614" w:type="pct"/>
            <w:shd w:val="clear" w:color="auto" w:fill="auto"/>
          </w:tcPr>
          <w:p w:rsidR="000C5659" w:rsidRDefault="000C5659">
            <w:pPr>
              <w:jc w:val="right"/>
            </w:pPr>
          </w:p>
        </w:tc>
        <w:tc>
          <w:tcPr>
            <w:tcW w:w="1511" w:type="pct"/>
            <w:shd w:val="clear" w:color="auto" w:fill="auto"/>
          </w:tcPr>
          <w:p w:rsidR="000C5659" w:rsidRDefault="000C5659">
            <w:pPr>
              <w:jc w:val="right"/>
            </w:pP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三、期末现金及现金等价物余额</w:t>
            </w:r>
          </w:p>
        </w:tc>
        <w:tc>
          <w:tcPr>
            <w:tcW w:w="1614" w:type="pct"/>
            <w:shd w:val="clear" w:color="auto" w:fill="auto"/>
          </w:tcPr>
          <w:p w:rsidR="000C5659" w:rsidRDefault="000E33C4">
            <w:pPr>
              <w:jc w:val="right"/>
            </w:pPr>
            <w:r>
              <w:rPr>
                <w:rFonts w:hint="eastAsia"/>
              </w:rPr>
              <w:t>43,351,167.03</w:t>
            </w:r>
          </w:p>
        </w:tc>
        <w:tc>
          <w:tcPr>
            <w:tcW w:w="1511" w:type="pct"/>
            <w:shd w:val="clear" w:color="auto" w:fill="auto"/>
          </w:tcPr>
          <w:p w:rsidR="000C5659" w:rsidRDefault="000E33C4">
            <w:pPr>
              <w:jc w:val="right"/>
            </w:pPr>
            <w:r>
              <w:t>46,468,830.57</w:t>
            </w:r>
          </w:p>
        </w:tc>
      </w:tr>
      <w:tr w:rsidR="000C5659">
        <w:trPr>
          <w:trHeight w:val="285"/>
        </w:trPr>
        <w:tc>
          <w:tcPr>
            <w:tcW w:w="1875" w:type="pct"/>
            <w:shd w:val="clear" w:color="auto" w:fill="auto"/>
            <w:vAlign w:val="center"/>
          </w:tcPr>
          <w:p w:rsidR="000C5659" w:rsidRDefault="000E33C4">
            <w:pPr>
              <w:rPr>
                <w:color w:val="000000" w:themeColor="text1"/>
              </w:rPr>
            </w:pPr>
            <w:r>
              <w:rPr>
                <w:rFonts w:hint="eastAsia"/>
                <w:color w:val="000000" w:themeColor="text1"/>
              </w:rPr>
              <w:t>其中：母公司或集团内子公司使用受限制的现金和现金等价物</w:t>
            </w:r>
          </w:p>
        </w:tc>
        <w:tc>
          <w:tcPr>
            <w:tcW w:w="1614" w:type="pct"/>
            <w:shd w:val="clear" w:color="auto" w:fill="auto"/>
          </w:tcPr>
          <w:p w:rsidR="000C5659" w:rsidRDefault="000C5659">
            <w:pPr>
              <w:jc w:val="right"/>
            </w:pPr>
          </w:p>
        </w:tc>
        <w:tc>
          <w:tcPr>
            <w:tcW w:w="1511" w:type="pct"/>
            <w:shd w:val="clear" w:color="auto" w:fill="auto"/>
          </w:tcPr>
          <w:p w:rsidR="000C5659" w:rsidRDefault="000C5659">
            <w:pPr>
              <w:jc w:val="right"/>
            </w:pPr>
          </w:p>
        </w:tc>
      </w:tr>
    </w:tbl>
    <w:p w:rsidR="000C5659" w:rsidRDefault="000C5659">
      <w:pPr>
        <w:pStyle w:val="Style325"/>
      </w:pPr>
    </w:p>
    <w:p w:rsidR="000C5659" w:rsidRDefault="000C5659">
      <w:pPr>
        <w:pStyle w:val="Style325"/>
      </w:pPr>
    </w:p>
    <w:p w:rsidR="000C5659" w:rsidRDefault="000C5659">
      <w:pPr>
        <w:pStyle w:val="Style325"/>
      </w:pPr>
    </w:p>
    <w:p w:rsidR="000C5659" w:rsidRDefault="000C5659">
      <w:pPr>
        <w:rPr>
          <w:color w:val="000000" w:themeColor="text1"/>
        </w:rPr>
      </w:pPr>
    </w:p>
    <w:p w:rsidR="000C5659" w:rsidRDefault="000E33C4" w:rsidP="000743DD">
      <w:pPr>
        <w:pStyle w:val="Style165"/>
        <w:numPr>
          <w:ilvl w:val="0"/>
          <w:numId w:val="89"/>
        </w:numPr>
        <w:rPr>
          <w:color w:val="000000" w:themeColor="text1"/>
        </w:rPr>
      </w:pPr>
      <w:bookmarkStart w:id="347" w:name="_Hlk167970923"/>
      <w:r>
        <w:rPr>
          <w:rFonts w:hint="eastAsia"/>
          <w:color w:val="000000" w:themeColor="text1"/>
        </w:rPr>
        <w:t>使用范围受限但仍作为现金和现金</w:t>
      </w:r>
      <w:r>
        <w:rPr>
          <w:rFonts w:ascii="宋体" w:hAnsi="宋体" w:hint="eastAsia"/>
          <w:color w:val="000000" w:themeColor="text1"/>
          <w:szCs w:val="21"/>
        </w:rPr>
        <w:t>等价物</w:t>
      </w:r>
      <w:r>
        <w:rPr>
          <w:rFonts w:hint="eastAsia"/>
          <w:color w:val="000000" w:themeColor="text1"/>
        </w:rPr>
        <w:t>列示的情况</w:t>
      </w:r>
    </w:p>
    <w:sdt>
      <w:sdtPr>
        <w:rPr>
          <w:color w:val="000000" w:themeColor="text1"/>
        </w:rPr>
        <w:alias w:val="是否适用：使用范围受限但仍作为现金和现金等价物列示的情况[双击切换]"/>
        <w:tag w:val="_GBC_dcbbdbc5a8524c8299b810908077aebe"/>
        <w:id w:val="-54631918"/>
        <w:placeholder>
          <w:docPart w:val="GBC22222222222222222222222222222"/>
        </w:placeholder>
      </w:sdtPr>
      <w:sdtEndPr/>
      <w:sdtContent>
        <w:p w:rsidR="000C5659" w:rsidRDefault="000E33C4">
          <w:pPr>
            <w:pStyle w:val="Style325"/>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C5659">
      <w:pPr>
        <w:rPr>
          <w:color w:val="000000" w:themeColor="text1"/>
        </w:rPr>
      </w:pPr>
    </w:p>
    <w:p w:rsidR="000C5659" w:rsidRDefault="000E33C4" w:rsidP="000743DD">
      <w:pPr>
        <w:pStyle w:val="Style165"/>
        <w:numPr>
          <w:ilvl w:val="0"/>
          <w:numId w:val="89"/>
        </w:numPr>
        <w:rPr>
          <w:color w:val="000000" w:themeColor="text1"/>
        </w:rPr>
      </w:pPr>
      <w:r>
        <w:rPr>
          <w:rFonts w:hint="eastAsia"/>
          <w:color w:val="000000" w:themeColor="text1"/>
        </w:rPr>
        <w:t>不属于现金及现金等价物的货币资金</w:t>
      </w:r>
    </w:p>
    <w:sdt>
      <w:sdtPr>
        <w:rPr>
          <w:color w:val="000000" w:themeColor="text1"/>
        </w:rPr>
        <w:alias w:val="是否适用：不属于现金及现金等价物的货币资金[双击切换]"/>
        <w:tag w:val="_GBC_191a966fa63441a7bf4a17ba6bb3802a"/>
        <w:id w:val="-145485791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b/>
          <w:color w:val="000000" w:themeColor="text1"/>
        </w:rPr>
      </w:pPr>
      <w:r>
        <w:rPr>
          <w:rFonts w:hint="eastAsia"/>
          <w:color w:val="000000" w:themeColor="text1"/>
        </w:rPr>
        <w:t>单位：</w:t>
      </w:r>
      <w:sdt>
        <w:sdtPr>
          <w:rPr>
            <w:rFonts w:hint="eastAsia"/>
            <w:color w:val="000000" w:themeColor="text1"/>
          </w:rPr>
          <w:alias w:val="单位：不属于现金及现金等价物的货币资金"/>
          <w:tag w:val="_GBC_f61896005e924ae38677ec69b7155f61"/>
          <w:id w:val="-27610520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不属于现金及现金等价物的货币资金"/>
          <w:tag w:val="_GBC_0a0043c6530c4ab2bc30ec98d82b63cf"/>
          <w:id w:val="-12185135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7"/>
        <w:gridCol w:w="2017"/>
        <w:gridCol w:w="2772"/>
      </w:tblGrid>
      <w:tr w:rsidR="000C5659">
        <w:trPr>
          <w:trHeight w:val="196"/>
        </w:trPr>
        <w:sdt>
          <w:sdtPr>
            <w:rPr>
              <w:rFonts w:hint="eastAsia"/>
              <w:color w:val="000000" w:themeColor="text1"/>
            </w:rPr>
            <w:tag w:val="_PLD_edb7da4f96fd483da0db9e51774f40a2"/>
            <w:id w:val="248165722"/>
          </w:sdtPr>
          <w:sdtEndPr/>
          <w:sdtContent>
            <w:tc>
              <w:tcPr>
                <w:tcW w:w="1143" w:type="pct"/>
                <w:tcBorders>
                  <w:bottom w:val="single" w:sz="4" w:space="0" w:color="auto"/>
                </w:tcBorders>
                <w:shd w:val="clear" w:color="auto" w:fill="auto"/>
                <w:vAlign w:val="center"/>
              </w:tcPr>
              <w:p w:rsidR="000C5659" w:rsidRDefault="000E33C4">
                <w:pPr>
                  <w:ind w:leftChars="-51" w:left="-107"/>
                  <w:jc w:val="center"/>
                  <w:rPr>
                    <w:color w:val="000000" w:themeColor="text1"/>
                  </w:rPr>
                </w:pPr>
                <w:r>
                  <w:rPr>
                    <w:rFonts w:hint="eastAsia"/>
                    <w:color w:val="000000" w:themeColor="text1"/>
                  </w:rPr>
                  <w:t>项目</w:t>
                </w:r>
              </w:p>
            </w:tc>
          </w:sdtContent>
        </w:sdt>
        <w:sdt>
          <w:sdtPr>
            <w:rPr>
              <w:rFonts w:hint="eastAsia"/>
              <w:color w:val="000000" w:themeColor="text1"/>
            </w:rPr>
            <w:tag w:val="_PLD_50a645135c3c4998a58aa2994c543dfe"/>
            <w:id w:val="-1368750048"/>
          </w:sdtPr>
          <w:sdtEndPr/>
          <w:sdtContent>
            <w:tc>
              <w:tcPr>
                <w:tcW w:w="1143" w:type="pct"/>
                <w:vAlign w:val="center"/>
              </w:tcPr>
              <w:p w:rsidR="000C5659" w:rsidRDefault="000E33C4">
                <w:pPr>
                  <w:jc w:val="center"/>
                  <w:rPr>
                    <w:color w:val="000000" w:themeColor="text1"/>
                  </w:rPr>
                </w:pPr>
                <w:r>
                  <w:rPr>
                    <w:rFonts w:hint="eastAsia"/>
                    <w:color w:val="000000" w:themeColor="text1"/>
                  </w:rPr>
                  <w:t>本期金额</w:t>
                </w:r>
              </w:p>
            </w:tc>
          </w:sdtContent>
        </w:sdt>
        <w:sdt>
          <w:sdtPr>
            <w:rPr>
              <w:rFonts w:hint="eastAsia"/>
              <w:color w:val="000000" w:themeColor="text1"/>
            </w:rPr>
            <w:tag w:val="_PLD_2c47585cf5e64606bc9eaa265f16279c"/>
            <w:id w:val="-2133547390"/>
          </w:sdtPr>
          <w:sdtEndPr/>
          <w:sdtContent>
            <w:tc>
              <w:tcPr>
                <w:tcW w:w="1143" w:type="pct"/>
                <w:shd w:val="clear" w:color="auto" w:fill="auto"/>
                <w:vAlign w:val="center"/>
              </w:tcPr>
              <w:p w:rsidR="000C5659" w:rsidRDefault="000E33C4">
                <w:pPr>
                  <w:jc w:val="center"/>
                  <w:rPr>
                    <w:color w:val="000000" w:themeColor="text1"/>
                  </w:rPr>
                </w:pPr>
                <w:r>
                  <w:rPr>
                    <w:rFonts w:hint="eastAsia"/>
                    <w:color w:val="000000" w:themeColor="text1"/>
                  </w:rPr>
                  <w:t>上期金额</w:t>
                </w:r>
              </w:p>
            </w:tc>
          </w:sdtContent>
        </w:sdt>
        <w:sdt>
          <w:sdtPr>
            <w:rPr>
              <w:rFonts w:hint="eastAsia"/>
              <w:color w:val="000000" w:themeColor="text1"/>
            </w:rPr>
            <w:tag w:val="_PLD_60a5c86051274f1fa875f5d9c6ee937b"/>
            <w:id w:val="945880218"/>
          </w:sdtPr>
          <w:sdtEndPr/>
          <w:sdtContent>
            <w:tc>
              <w:tcPr>
                <w:tcW w:w="1572" w:type="pct"/>
                <w:shd w:val="clear" w:color="auto" w:fill="auto"/>
                <w:vAlign w:val="center"/>
              </w:tcPr>
              <w:p w:rsidR="000C5659" w:rsidRDefault="000E33C4">
                <w:pPr>
                  <w:jc w:val="center"/>
                  <w:rPr>
                    <w:color w:val="000000" w:themeColor="text1"/>
                  </w:rPr>
                </w:pPr>
                <w:r>
                  <w:rPr>
                    <w:rFonts w:hint="eastAsia"/>
                    <w:color w:val="000000" w:themeColor="text1"/>
                  </w:rPr>
                  <w:t>理由</w:t>
                </w:r>
              </w:p>
            </w:tc>
          </w:sdtContent>
        </w:sdt>
      </w:tr>
      <w:tr w:rsidR="000C5659">
        <w:trPr>
          <w:trHeight w:val="121"/>
        </w:trPr>
        <w:tc>
          <w:tcPr>
            <w:tcW w:w="1143" w:type="pct"/>
            <w:shd w:val="clear" w:color="auto" w:fill="auto"/>
            <w:vAlign w:val="center"/>
          </w:tcPr>
          <w:p w:rsidR="000C5659" w:rsidRDefault="000E33C4">
            <w:pPr>
              <w:pStyle w:val="Style325"/>
            </w:pPr>
            <w:r>
              <w:t>银行承兑汇票保证金</w:t>
            </w:r>
          </w:p>
        </w:tc>
        <w:tc>
          <w:tcPr>
            <w:tcW w:w="1143" w:type="pct"/>
          </w:tcPr>
          <w:p w:rsidR="000C5659" w:rsidRDefault="000E33C4">
            <w:pPr>
              <w:jc w:val="right"/>
            </w:pPr>
            <w:r>
              <w:rPr>
                <w:rFonts w:hint="eastAsia"/>
              </w:rPr>
              <w:t>16,551,711.05</w:t>
            </w:r>
          </w:p>
        </w:tc>
        <w:tc>
          <w:tcPr>
            <w:tcW w:w="1143" w:type="pct"/>
            <w:shd w:val="clear" w:color="auto" w:fill="auto"/>
          </w:tcPr>
          <w:p w:rsidR="000C5659" w:rsidRDefault="000E33C4">
            <w:pPr>
              <w:jc w:val="right"/>
            </w:pPr>
            <w:r>
              <w:t>17,932,956.84</w:t>
            </w:r>
          </w:p>
        </w:tc>
        <w:tc>
          <w:tcPr>
            <w:tcW w:w="1572" w:type="pct"/>
            <w:shd w:val="clear" w:color="auto" w:fill="auto"/>
          </w:tcPr>
          <w:p w:rsidR="000C5659" w:rsidRDefault="000E33C4">
            <w:pPr>
              <w:pStyle w:val="Style325"/>
            </w:pPr>
            <w:r>
              <w:t>保证金不能随时支取</w:t>
            </w:r>
          </w:p>
        </w:tc>
      </w:tr>
      <w:tr w:rsidR="000C5659">
        <w:trPr>
          <w:trHeight w:val="121"/>
        </w:trPr>
        <w:tc>
          <w:tcPr>
            <w:tcW w:w="1143" w:type="pct"/>
            <w:shd w:val="clear" w:color="auto" w:fill="auto"/>
            <w:vAlign w:val="center"/>
          </w:tcPr>
          <w:p w:rsidR="000C5659" w:rsidRDefault="000E33C4">
            <w:pPr>
              <w:pStyle w:val="Style325"/>
            </w:pPr>
            <w:r>
              <w:t>远期外汇保证金</w:t>
            </w:r>
          </w:p>
        </w:tc>
        <w:tc>
          <w:tcPr>
            <w:tcW w:w="1143" w:type="pct"/>
          </w:tcPr>
          <w:p w:rsidR="000C5659" w:rsidRDefault="000C5659">
            <w:pPr>
              <w:jc w:val="right"/>
            </w:pPr>
          </w:p>
        </w:tc>
        <w:tc>
          <w:tcPr>
            <w:tcW w:w="1143" w:type="pct"/>
            <w:shd w:val="clear" w:color="auto" w:fill="auto"/>
          </w:tcPr>
          <w:p w:rsidR="000C5659" w:rsidRDefault="000E33C4">
            <w:pPr>
              <w:jc w:val="right"/>
            </w:pPr>
            <w:r>
              <w:t>2,210,000.00</w:t>
            </w:r>
          </w:p>
        </w:tc>
        <w:tc>
          <w:tcPr>
            <w:tcW w:w="1572" w:type="pct"/>
            <w:shd w:val="clear" w:color="auto" w:fill="auto"/>
          </w:tcPr>
          <w:p w:rsidR="000C5659" w:rsidRDefault="000E33C4">
            <w:pPr>
              <w:pStyle w:val="Style325"/>
            </w:pPr>
            <w:r>
              <w:t>保证金不能随时支取</w:t>
            </w:r>
          </w:p>
        </w:tc>
      </w:tr>
      <w:tr w:rsidR="000C5659">
        <w:trPr>
          <w:trHeight w:val="125"/>
        </w:trPr>
        <w:tc>
          <w:tcPr>
            <w:tcW w:w="1143" w:type="pct"/>
            <w:shd w:val="clear" w:color="auto" w:fill="auto"/>
            <w:vAlign w:val="center"/>
          </w:tcPr>
          <w:p w:rsidR="000C5659" w:rsidRDefault="000E33C4">
            <w:pPr>
              <w:jc w:val="center"/>
              <w:rPr>
                <w:color w:val="000000" w:themeColor="text1"/>
              </w:rPr>
            </w:pPr>
            <w:r>
              <w:rPr>
                <w:color w:val="000000" w:themeColor="text1"/>
              </w:rPr>
              <w:t>质押的银行存款</w:t>
            </w:r>
          </w:p>
        </w:tc>
        <w:tc>
          <w:tcPr>
            <w:tcW w:w="1143" w:type="pct"/>
          </w:tcPr>
          <w:p w:rsidR="000C5659" w:rsidRDefault="000C5659">
            <w:pPr>
              <w:jc w:val="right"/>
            </w:pPr>
          </w:p>
        </w:tc>
        <w:tc>
          <w:tcPr>
            <w:tcW w:w="1143" w:type="pct"/>
            <w:shd w:val="clear" w:color="auto" w:fill="auto"/>
          </w:tcPr>
          <w:p w:rsidR="000C5659" w:rsidRDefault="000E33C4">
            <w:pPr>
              <w:jc w:val="right"/>
            </w:pPr>
            <w:r>
              <w:t>3,510,000.00</w:t>
            </w:r>
          </w:p>
        </w:tc>
        <w:tc>
          <w:tcPr>
            <w:tcW w:w="1572" w:type="pct"/>
            <w:shd w:val="clear" w:color="auto" w:fill="auto"/>
          </w:tcPr>
          <w:p w:rsidR="000C5659" w:rsidRDefault="000E33C4">
            <w:pPr>
              <w:jc w:val="both"/>
              <w:rPr>
                <w:color w:val="000000" w:themeColor="text1"/>
              </w:rPr>
            </w:pPr>
            <w:r>
              <w:rPr>
                <w:rFonts w:hint="eastAsia"/>
                <w:color w:val="000000" w:themeColor="text1"/>
              </w:rPr>
              <w:t>质押不能随时支取</w:t>
            </w:r>
          </w:p>
        </w:tc>
      </w:tr>
      <w:tr w:rsidR="000C5659">
        <w:trPr>
          <w:trHeight w:val="125"/>
        </w:trPr>
        <w:tc>
          <w:tcPr>
            <w:tcW w:w="1143" w:type="pct"/>
            <w:shd w:val="clear" w:color="auto" w:fill="auto"/>
            <w:vAlign w:val="center"/>
          </w:tcPr>
          <w:p w:rsidR="000C5659" w:rsidRDefault="000E33C4">
            <w:pPr>
              <w:jc w:val="center"/>
              <w:rPr>
                <w:color w:val="000000" w:themeColor="text1"/>
              </w:rPr>
            </w:pPr>
            <w:r>
              <w:rPr>
                <w:rFonts w:hint="eastAsia"/>
                <w:color w:val="000000" w:themeColor="text1"/>
              </w:rPr>
              <w:lastRenderedPageBreak/>
              <w:t>合计</w:t>
            </w:r>
          </w:p>
        </w:tc>
        <w:tc>
          <w:tcPr>
            <w:tcW w:w="1143" w:type="pct"/>
          </w:tcPr>
          <w:p w:rsidR="000C5659" w:rsidRDefault="000E33C4">
            <w:pPr>
              <w:jc w:val="right"/>
            </w:pPr>
            <w:r>
              <w:rPr>
                <w:rFonts w:hint="eastAsia"/>
              </w:rPr>
              <w:t>16,551,711.05</w:t>
            </w:r>
          </w:p>
        </w:tc>
        <w:tc>
          <w:tcPr>
            <w:tcW w:w="1143" w:type="pct"/>
            <w:shd w:val="clear" w:color="auto" w:fill="auto"/>
          </w:tcPr>
          <w:p w:rsidR="000C5659" w:rsidRDefault="000E33C4">
            <w:pPr>
              <w:jc w:val="right"/>
            </w:pPr>
            <w:r>
              <w:rPr>
                <w:szCs w:val="18"/>
              </w:rPr>
              <w:t>23,652</w:t>
            </w:r>
            <w:r>
              <w:rPr>
                <w:rFonts w:hint="eastAsia"/>
                <w:szCs w:val="18"/>
              </w:rPr>
              <w:t>,</w:t>
            </w:r>
            <w:r>
              <w:rPr>
                <w:szCs w:val="18"/>
              </w:rPr>
              <w:t>956.84</w:t>
            </w:r>
          </w:p>
        </w:tc>
        <w:tc>
          <w:tcPr>
            <w:tcW w:w="1572" w:type="pct"/>
            <w:shd w:val="clear" w:color="auto" w:fill="auto"/>
          </w:tcPr>
          <w:p w:rsidR="000C5659" w:rsidRDefault="000C5659">
            <w:pPr>
              <w:jc w:val="center"/>
              <w:rPr>
                <w:color w:val="000000" w:themeColor="text1"/>
              </w:rPr>
            </w:pPr>
          </w:p>
        </w:tc>
      </w:tr>
    </w:tbl>
    <w:p w:rsidR="000C5659" w:rsidRDefault="000C5659">
      <w:pPr>
        <w:pStyle w:val="Style325"/>
      </w:pPr>
    </w:p>
    <w:bookmarkEnd w:id="347"/>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是否适用：现金流量表补充资料的说明[双击切换]"/>
        <w:tag w:val="_GBC_2212775a699e4804b260767f3ce34d12"/>
        <w:id w:val="27244932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r>
        <w:rPr>
          <w:color w:val="000000" w:themeColor="text1"/>
          <w:szCs w:val="21"/>
        </w:rPr>
        <w:t>所有者权益变动表项目注释</w:t>
      </w:r>
    </w:p>
    <w:p w:rsidR="000C5659" w:rsidRDefault="000E33C4">
      <w:pPr>
        <w:rPr>
          <w:color w:val="000000" w:themeColor="text1"/>
        </w:rPr>
      </w:pPr>
      <w:r>
        <w:rPr>
          <w:rFonts w:hint="eastAsia"/>
          <w:color w:val="000000" w:themeColor="text1"/>
        </w:rPr>
        <w:t>说明对上年期末余额进行调整的“其他”项目名称及调整金额等事项：</w:t>
      </w:r>
    </w:p>
    <w:sdt>
      <w:sdtPr>
        <w:rPr>
          <w:color w:val="000000" w:themeColor="text1"/>
        </w:rPr>
        <w:alias w:val="是否适用：所有者权益变动表项目注释[双击切换]"/>
        <w:tag w:val="_GBC_61e84760a3fd4a58bb2421e95114d9b8"/>
        <w:id w:val="181821531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48" w:name="_Hlk42158948"/>
      <w:r>
        <w:rPr>
          <w:color w:val="000000" w:themeColor="text1"/>
          <w:szCs w:val="21"/>
        </w:rPr>
        <w:t>外币货币性项目</w:t>
      </w:r>
    </w:p>
    <w:p w:rsidR="000C5659" w:rsidRDefault="000E33C4" w:rsidP="000743DD">
      <w:pPr>
        <w:pStyle w:val="Style165"/>
        <w:numPr>
          <w:ilvl w:val="0"/>
          <w:numId w:val="90"/>
        </w:numPr>
        <w:rPr>
          <w:b w:val="0"/>
          <w:bCs w:val="0"/>
          <w:color w:val="000000" w:themeColor="text1"/>
        </w:rPr>
      </w:pPr>
      <w:r>
        <w:rPr>
          <w:rStyle w:val="Style260"/>
          <w:rFonts w:ascii="宋体" w:hAnsi="宋体" w:hint="eastAsia"/>
          <w:b/>
          <w:bCs/>
          <w:color w:val="000000" w:themeColor="text1"/>
          <w:szCs w:val="21"/>
        </w:rPr>
        <w:t>外币货币性项目</w:t>
      </w:r>
    </w:p>
    <w:sdt>
      <w:sdtPr>
        <w:rPr>
          <w:color w:val="000000" w:themeColor="text1"/>
        </w:rPr>
        <w:alias w:val="是否适用：外币货币性项目[双击切换]"/>
        <w:tag w:val="_GBC_7b0870ec262840d78495babcff3639aa"/>
        <w:id w:val="207324009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26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外币货币性项目"/>
          <w:tag w:val="_GBC_52ed5330bd884651892991446f0f1ae0"/>
          <w:id w:val="-1015666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999"/>
        <w:gridCol w:w="2006"/>
        <w:gridCol w:w="1992"/>
      </w:tblGrid>
      <w:tr w:rsidR="000C5659">
        <w:sdt>
          <w:sdtPr>
            <w:rPr>
              <w:color w:val="000000" w:themeColor="text1"/>
            </w:rPr>
            <w:tag w:val="_PLD_28ce5153e9cf4914a550a6d253e7c465"/>
            <w:id w:val="-743575420"/>
          </w:sdtPr>
          <w:sdtEndPr/>
          <w:sdtContent>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295b6f310e534b62bde0e2c632482ed9"/>
            <w:id w:val="1645238227"/>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期末外币余额</w:t>
                </w:r>
              </w:p>
            </w:tc>
          </w:sdtContent>
        </w:sdt>
        <w:sdt>
          <w:sdtPr>
            <w:rPr>
              <w:color w:val="000000" w:themeColor="text1"/>
            </w:rPr>
            <w:tag w:val="_PLD_aa43af2545cb40668f2670b6f1569a92"/>
            <w:id w:val="-1905897987"/>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折算汇率</w:t>
                </w:r>
              </w:p>
            </w:tc>
          </w:sdtContent>
        </w:sdt>
        <w:sdt>
          <w:sdtPr>
            <w:rPr>
              <w:color w:val="000000" w:themeColor="text1"/>
            </w:rPr>
            <w:tag w:val="_PLD_8cdd9579b3964f01966c0b0c4cbacb2f"/>
            <w:id w:val="732123383"/>
          </w:sdtPr>
          <w:sdtEndPr/>
          <w:sdtContent>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期末折算人民币</w:t>
                </w:r>
              </w:p>
              <w:p w:rsidR="000C5659" w:rsidRDefault="000E33C4">
                <w:pPr>
                  <w:jc w:val="center"/>
                  <w:rPr>
                    <w:color w:val="000000" w:themeColor="text1"/>
                  </w:rPr>
                </w:pPr>
                <w:r>
                  <w:rPr>
                    <w:rFonts w:hint="eastAsia"/>
                    <w:color w:val="000000" w:themeColor="text1"/>
                  </w:rPr>
                  <w:t>余额</w:t>
                </w:r>
              </w:p>
            </w:tc>
          </w:sdtContent>
        </w:sdt>
      </w:tr>
      <w:tr w:rsidR="000C5659">
        <w:tc>
          <w:tcPr>
            <w:tcW w:w="16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color w:val="000000" w:themeColor="text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12,722,883.27</w:t>
            </w:r>
          </w:p>
        </w:tc>
      </w:tr>
      <w:tr w:rsidR="000C5659">
        <w:tc>
          <w:tcPr>
            <w:tcW w:w="16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其中：</w:t>
            </w:r>
            <w:sdt>
              <w:sdtPr>
                <w:rPr>
                  <w:color w:val="000000" w:themeColor="text1"/>
                </w:rPr>
                <w:alias w:val="以外币核算的币种明细-币种名称"/>
                <w:tag w:val="_GBC_21765b5e64364f62971250478e4ff572"/>
                <w:id w:val="173488709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B708C8">
                  <w:rPr>
                    <w:rFonts w:hint="eastAsia"/>
                    <w:color w:val="000000" w:themeColor="text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1,727,293.94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7.1268</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12,310,078.45</w:t>
            </w:r>
          </w:p>
        </w:tc>
      </w:tr>
      <w:tr w:rsidR="000C5659">
        <w:tc>
          <w:tcPr>
            <w:tcW w:w="16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t xml:space="preserve">　　　</w:t>
            </w:r>
            <w:sdt>
              <w:sdtPr>
                <w:rPr>
                  <w:color w:val="000000" w:themeColor="text1"/>
                </w:rPr>
                <w:alias w:val="以外币核算的币种明细-币种名称"/>
                <w:tag w:val="_GBC_21765b5e64364f62971250478e4ff572"/>
                <w:id w:val="44096361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B708C8">
                  <w:rPr>
                    <w:rFonts w:hint="eastAsia"/>
                    <w:color w:val="000000" w:themeColor="text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52,734.20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7.6617</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404,033.62</w:t>
            </w:r>
          </w:p>
        </w:tc>
      </w:tr>
      <w:tr w:rsidR="000C5659">
        <w:tc>
          <w:tcPr>
            <w:tcW w:w="16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t xml:space="preserve">　　　</w:t>
            </w:r>
            <w:sdt>
              <w:sdtPr>
                <w:rPr>
                  <w:color w:val="000000" w:themeColor="text1"/>
                </w:rPr>
                <w:alias w:val="以外币核算的币种明细-币种名称"/>
                <w:tag w:val="_GBC_21765b5e64364f62971250478e4ff572"/>
                <w:id w:val="185051755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B708C8">
                  <w:rPr>
                    <w:rFonts w:hint="eastAsia"/>
                    <w:color w:val="000000" w:themeColor="text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9,610.38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0.91268</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8,771.20</w:t>
            </w:r>
          </w:p>
        </w:tc>
      </w:tr>
      <w:tr w:rsidR="000C5659">
        <w:tc>
          <w:tcPr>
            <w:tcW w:w="16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108,028,119.76</w:t>
            </w:r>
          </w:p>
        </w:tc>
      </w:tr>
      <w:tr w:rsidR="000C5659">
        <w:tc>
          <w:tcPr>
            <w:tcW w:w="16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其中：</w:t>
            </w:r>
            <w:sdt>
              <w:sdtPr>
                <w:alias w:val="以外币核算的币种明细-币种名称"/>
                <w:tag w:val="_GBC_21765b5e64364f62971250478e4ff572"/>
                <w:id w:val="-193227581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B708C8">
                  <w:rPr>
                    <w:rFonts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15,157,354.41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7.1268</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108,023,433.41</w:t>
            </w:r>
          </w:p>
        </w:tc>
      </w:tr>
      <w:tr w:rsidR="000C5659">
        <w:tc>
          <w:tcPr>
            <w:tcW w:w="160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t xml:space="preserve">　　　</w:t>
            </w:r>
            <w:r>
              <w:rPr>
                <w:rFonts w:hint="eastAsia"/>
              </w:rPr>
              <w:t>英镑</w:t>
            </w:r>
            <w:sdt>
              <w:sdtPr>
                <w:alias w:val="以外币核算的币种明细-币种名称"/>
                <w:tag w:val="_GBC_21765b5e64364f62971250478e4ff572"/>
                <w:id w:val="14940729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518.23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9.043</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4,686.35</w:t>
            </w:r>
          </w:p>
        </w:tc>
      </w:tr>
      <w:tr w:rsidR="000C5659">
        <w:tc>
          <w:tcPr>
            <w:tcW w:w="2896"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rPr>
                <w:rFonts w:hint="eastAsia"/>
              </w:rPr>
              <w:t>其他应收款</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w:t>
            </w:r>
          </w:p>
        </w:tc>
        <w:tc>
          <w:tcPr>
            <w:tcW w:w="2059"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w:t>
            </w:r>
          </w:p>
        </w:tc>
        <w:tc>
          <w:tcPr>
            <w:tcW w:w="2044"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41,458.16</w:t>
            </w:r>
          </w:p>
        </w:tc>
      </w:tr>
      <w:tr w:rsidR="000C5659">
        <w:tc>
          <w:tcPr>
            <w:tcW w:w="2896"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其中：</w:t>
            </w:r>
            <w:sdt>
              <w:sdtPr>
                <w:alias w:val="以外币核算的币种明细-币种名称"/>
                <w:tag w:val="_GBC_21765b5e64364f62971250478e4ff572"/>
                <w:id w:val="-5238863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B708C8">
                  <w:rPr>
                    <w:rFonts w:hint="eastAsia"/>
                  </w:rPr>
                  <w:t>美元</w:t>
                </w:r>
              </w:sdtContent>
            </w:sdt>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5,817.22</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7.1268</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41,458.16</w:t>
            </w:r>
          </w:p>
        </w:tc>
      </w:tr>
      <w:tr w:rsidR="000C5659">
        <w:tc>
          <w:tcPr>
            <w:tcW w:w="2896"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t xml:space="preserve">　</w:t>
            </w:r>
            <w:r>
              <w:rPr>
                <w:rFonts w:hint="eastAsia"/>
              </w:rPr>
              <w:t>应付账款</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color w:val="000000" w:themeColor="text1"/>
              </w:rPr>
              <w:t>-</w:t>
            </w:r>
          </w:p>
        </w:tc>
        <w:tc>
          <w:tcPr>
            <w:tcW w:w="2059"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color w:val="000000" w:themeColor="text1"/>
              </w:rPr>
              <w:t>-</w:t>
            </w:r>
          </w:p>
        </w:tc>
        <w:tc>
          <w:tcPr>
            <w:tcW w:w="2044"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4,903,661.47</w:t>
            </w:r>
          </w:p>
        </w:tc>
      </w:tr>
      <w:tr w:rsidR="000C5659">
        <w:tc>
          <w:tcPr>
            <w:tcW w:w="2896"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其中：</w:t>
            </w:r>
            <w:sdt>
              <w:sdtPr>
                <w:alias w:val="以外币核算的币种明细-币种名称"/>
                <w:tag w:val="_GBC_21765b5e64364f62971250478e4ff572"/>
                <w:id w:val="-129120833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B708C8">
                  <w:rPr>
                    <w:rFonts w:hint="eastAsia"/>
                  </w:rPr>
                  <w:t>美元</w:t>
                </w:r>
              </w:sdtContent>
            </w:sdt>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688,059.36</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7.1268</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4,903,661.47</w:t>
            </w:r>
          </w:p>
        </w:tc>
      </w:tr>
      <w:tr w:rsidR="000C5659">
        <w:tc>
          <w:tcPr>
            <w:tcW w:w="2896"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t>其他应付款</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971,505.56</w:t>
            </w:r>
          </w:p>
        </w:tc>
      </w:tr>
      <w:tr w:rsidR="000C5659">
        <w:tc>
          <w:tcPr>
            <w:tcW w:w="2896"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t>其中：美元</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136,317.22</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7.1268</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971,505.56</w:t>
            </w:r>
          </w:p>
        </w:tc>
      </w:tr>
    </w:tbl>
    <w:p w:rsidR="000C5659" w:rsidRDefault="000C5659">
      <w:pPr>
        <w:pStyle w:val="Style325"/>
      </w:pPr>
    </w:p>
    <w:p w:rsidR="000C5659" w:rsidRDefault="000C5659">
      <w:pPr>
        <w:pStyle w:val="Style325"/>
      </w:pPr>
    </w:p>
    <w:p w:rsidR="000C5659" w:rsidRDefault="000C5659">
      <w:pPr>
        <w:pStyle w:val="Style325"/>
      </w:pPr>
    </w:p>
    <w:p w:rsidR="000C5659" w:rsidRDefault="000C5659">
      <w:pPr>
        <w:pStyle w:val="Style325"/>
      </w:pPr>
    </w:p>
    <w:p w:rsidR="000C5659" w:rsidRDefault="000E33C4">
      <w:pPr>
        <w:spacing w:before="60" w:after="60"/>
        <w:rPr>
          <w:color w:val="000000" w:themeColor="text1"/>
        </w:rPr>
      </w:pPr>
      <w:r>
        <w:rPr>
          <w:rFonts w:hint="eastAsia"/>
          <w:color w:val="000000" w:themeColor="text1"/>
        </w:rPr>
        <w:t>其他说明：</w:t>
      </w:r>
    </w:p>
    <w:sdt>
      <w:sdtPr>
        <w:rPr>
          <w:color w:val="000000" w:themeColor="text1"/>
        </w:rPr>
        <w:alias w:val="外币货币性项目的其他说明"/>
        <w:tag w:val="_GBC_a16b850d98e24762adbee5a1d5628893"/>
        <w:id w:val="421004879"/>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Style165"/>
        <w:numPr>
          <w:ilvl w:val="0"/>
          <w:numId w:val="90"/>
        </w:numPr>
        <w:ind w:left="0" w:firstLine="0"/>
        <w:rPr>
          <w:rStyle w:val="Style260"/>
          <w:rFonts w:ascii="宋体" w:hAnsi="宋体"/>
          <w:b/>
          <w:bCs/>
          <w:color w:val="000000" w:themeColor="text1"/>
          <w:szCs w:val="21"/>
        </w:rPr>
      </w:pPr>
      <w:r>
        <w:rPr>
          <w:rStyle w:val="Style260"/>
          <w:rFonts w:ascii="宋体" w:hAnsi="宋体" w:hint="eastAsia"/>
          <w:b/>
          <w:bCs/>
          <w:color w:val="000000" w:themeColor="text1"/>
          <w:szCs w:val="21"/>
        </w:rPr>
        <w:t>境外经营实体说明，包括对于重要的境外经营实体，应披露其境外主要经营地、记账本位币及选择依据，记账本位币发生变化的还应披露原因</w:t>
      </w:r>
    </w:p>
    <w:p w:rsidR="000C5659" w:rsidRDefault="00220B84">
      <w:pPr>
        <w:rPr>
          <w:color w:val="000000" w:themeColor="text1"/>
        </w:rPr>
      </w:pPr>
      <w:sdt>
        <w:sdtPr>
          <w:rPr>
            <w:color w:val="000000" w:themeColor="text1"/>
          </w:rPr>
          <w:alias w:val="是否适用：境外经营实体主要报表项目的折算汇率[双击切换]"/>
          <w:tag w:val="_GBC_4ad16f5c306d4c6ead144dfd007fb925"/>
          <w:id w:val="1499456979"/>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rPr>
      </w:pPr>
    </w:p>
    <w:p w:rsidR="000C5659" w:rsidRDefault="000E33C4" w:rsidP="000743DD">
      <w:pPr>
        <w:pStyle w:val="35"/>
        <w:numPr>
          <w:ilvl w:val="0"/>
          <w:numId w:val="50"/>
        </w:numPr>
        <w:rPr>
          <w:color w:val="000000" w:themeColor="text1"/>
          <w:szCs w:val="21"/>
        </w:rPr>
      </w:pPr>
      <w:bookmarkStart w:id="349" w:name="_Hlk167971524"/>
      <w:bookmarkEnd w:id="348"/>
      <w:r>
        <w:rPr>
          <w:color w:val="000000" w:themeColor="text1"/>
          <w:szCs w:val="21"/>
        </w:rPr>
        <w:t>租赁</w:t>
      </w:r>
    </w:p>
    <w:p w:rsidR="000C5659" w:rsidRDefault="000E33C4" w:rsidP="000743DD">
      <w:pPr>
        <w:pStyle w:val="Style165"/>
        <w:numPr>
          <w:ilvl w:val="0"/>
          <w:numId w:val="91"/>
        </w:numPr>
        <w:ind w:left="0" w:firstLine="0"/>
        <w:rPr>
          <w:color w:val="000000" w:themeColor="text1"/>
        </w:rPr>
      </w:pPr>
      <w:r>
        <w:rPr>
          <w:color w:val="000000" w:themeColor="text1"/>
        </w:rPr>
        <w:t>作为承租人</w:t>
      </w:r>
    </w:p>
    <w:sdt>
      <w:sdtPr>
        <w:rPr>
          <w:color w:val="000000" w:themeColor="text1"/>
        </w:rPr>
        <w:alias w:val="是否适用：作为承租人[双击切换]"/>
        <w:tag w:val="_GBC_1a127bd18c664ed8bca6a513c43f1fa2"/>
        <w:id w:val="886297399"/>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rPr>
          <w:color w:val="000000" w:themeColor="text1"/>
        </w:rPr>
      </w:pPr>
      <w:r>
        <w:rPr>
          <w:rFonts w:hint="eastAsia"/>
          <w:color w:val="000000" w:themeColor="text1"/>
        </w:rPr>
        <w:t>未纳入租赁负债计量的可变租赁付款额</w:t>
      </w:r>
    </w:p>
    <w:sdt>
      <w:sdtPr>
        <w:rPr>
          <w:color w:val="000000" w:themeColor="text1"/>
        </w:rPr>
        <w:alias w:val="是否适用：未纳入租赁负债计量的可变租赁付款额[双击切换]"/>
        <w:tag w:val="_GBC_bd2e1ace9f86422a8f860b71955642d7"/>
        <w:id w:val="144649725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简化处理的短期租赁或低价值资产的租赁费用</w:t>
      </w:r>
    </w:p>
    <w:sdt>
      <w:sdtPr>
        <w:rPr>
          <w:color w:val="000000" w:themeColor="text1"/>
        </w:rPr>
        <w:alias w:val="是否适用：简化处理的短期租赁或低价值资产的租赁费用[双击切换]"/>
        <w:tag w:val="_GBC_f3c273f8bb6d4e099c00c1591f5a5a4f"/>
        <w:id w:val="19498130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简化处理的短期租赁或低价值资产的租赁费用"/>
        <w:tag w:val="_GBC_36bcbd6cb13f43938e3736b9a975fb9b"/>
        <w:id w:val="63309738"/>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售后租回交易及判断依据</w:t>
      </w:r>
    </w:p>
    <w:sdt>
      <w:sdtPr>
        <w:rPr>
          <w:color w:val="000000" w:themeColor="text1"/>
        </w:rPr>
        <w:alias w:val="是否适用：售后租回交易及判断依据[双击切换]"/>
        <w:tag w:val="_GBC_1ca4680bb4e9497e80b8d3a59c79d5a1"/>
        <w:id w:val="143516711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与租赁相关的现金流出总额</w:t>
      </w:r>
      <w:sdt>
        <w:sdtPr>
          <w:rPr>
            <w:rFonts w:hint="eastAsia"/>
            <w:color w:val="000000" w:themeColor="text1"/>
          </w:rPr>
          <w:alias w:val="与租赁相关的现金流出总额"/>
          <w:tag w:val="_GBC_d78e0355036a45b9afc0eca5988d4956"/>
          <w:id w:val="1039391208"/>
          <w:placeholder>
            <w:docPart w:val="A2DC8444E65143E5AE945BE2A9864A01"/>
          </w:placeholder>
        </w:sdtPr>
        <w:sdtEndPr/>
        <w:sdtContent>
          <w:r>
            <w:rPr>
              <w:color w:val="000000" w:themeColor="text1"/>
            </w:rPr>
            <w:t>299,390.00</w:t>
          </w:r>
        </w:sdtContent>
      </w:sdt>
      <w:r>
        <w:rPr>
          <w:rFonts w:hint="eastAsia"/>
          <w:color w:val="000000" w:themeColor="text1"/>
        </w:rPr>
        <w:t>(单位：</w:t>
      </w:r>
      <w:sdt>
        <w:sdtPr>
          <w:rPr>
            <w:rFonts w:hint="eastAsia"/>
            <w:color w:val="000000" w:themeColor="text1"/>
          </w:rPr>
          <w:alias w:val="单位：与租赁相关的现金流出总额"/>
          <w:tag w:val="_GBC_57a12ad185f640248e4c9dce377f5f57"/>
          <w:id w:val="680790479"/>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与租赁相关的现金流出总额"/>
          <w:tag w:val="_GBC_a5553fa6fd6f4fefa66550584159c745"/>
          <w:id w:val="-779796771"/>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B708C8">
            <w:rPr>
              <w:rFonts w:hint="eastAsia"/>
              <w:color w:val="000000" w:themeColor="text1"/>
            </w:rPr>
            <w:t>人民币</w:t>
          </w:r>
        </w:sdtContent>
      </w:sdt>
      <w:r>
        <w:rPr>
          <w:rFonts w:hint="eastAsia"/>
          <w:color w:val="000000" w:themeColor="text1"/>
        </w:rPr>
        <w:t>)</w:t>
      </w:r>
    </w:p>
    <w:p w:rsidR="000C5659" w:rsidRDefault="000C5659">
      <w:pPr>
        <w:rPr>
          <w:color w:val="000000" w:themeColor="text1"/>
        </w:rPr>
      </w:pPr>
    </w:p>
    <w:p w:rsidR="000C5659" w:rsidRDefault="000E33C4" w:rsidP="000743DD">
      <w:pPr>
        <w:pStyle w:val="Style165"/>
        <w:numPr>
          <w:ilvl w:val="0"/>
          <w:numId w:val="91"/>
        </w:numPr>
        <w:ind w:left="0" w:firstLine="0"/>
        <w:rPr>
          <w:color w:val="000000" w:themeColor="text1"/>
        </w:rPr>
      </w:pPr>
      <w:r>
        <w:rPr>
          <w:color w:val="000000" w:themeColor="text1"/>
        </w:rPr>
        <w:t>作为出租人</w:t>
      </w:r>
    </w:p>
    <w:p w:rsidR="000C5659" w:rsidRDefault="000E33C4">
      <w:pPr>
        <w:rPr>
          <w:color w:val="000000" w:themeColor="text1"/>
        </w:rPr>
      </w:pPr>
      <w:r>
        <w:rPr>
          <w:color w:val="000000" w:themeColor="text1"/>
        </w:rPr>
        <w:t>作为出租人的经营</w:t>
      </w:r>
      <w:r>
        <w:rPr>
          <w:rFonts w:hint="eastAsia"/>
          <w:color w:val="000000" w:themeColor="text1"/>
        </w:rPr>
        <w:t>租赁</w:t>
      </w:r>
    </w:p>
    <w:sdt>
      <w:sdtPr>
        <w:rPr>
          <w:rFonts w:hint="eastAsia"/>
          <w:color w:val="000000" w:themeColor="text1"/>
        </w:rPr>
        <w:alias w:val="是否适用：作为出租人的经营租赁[双击切换]"/>
        <w:tag w:val="_GBC_8caa55cbe72d4d8cacd2b07a9782c9d1"/>
        <w:id w:val="-205908427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b/>
          <w:color w:val="000000" w:themeColor="text1"/>
        </w:rPr>
      </w:pPr>
    </w:p>
    <w:p w:rsidR="000C5659" w:rsidRDefault="000E33C4">
      <w:pPr>
        <w:rPr>
          <w:color w:val="000000" w:themeColor="text1"/>
        </w:rPr>
      </w:pPr>
      <w:r>
        <w:rPr>
          <w:color w:val="000000" w:themeColor="text1"/>
        </w:rPr>
        <w:t>作为出租人的融资租赁</w:t>
      </w:r>
    </w:p>
    <w:sdt>
      <w:sdtPr>
        <w:rPr>
          <w:color w:val="000000" w:themeColor="text1"/>
        </w:rPr>
        <w:alias w:val="是否适用：作为出租人的融资租赁[双击切换]"/>
        <w:tag w:val="_GBC_b8e25c7d290240c1ad7a8b299dddafda"/>
        <w:id w:val="-19283426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b/>
          <w:color w:val="000000" w:themeColor="text1"/>
        </w:rPr>
      </w:pPr>
    </w:p>
    <w:p w:rsidR="000C5659" w:rsidRDefault="000E33C4">
      <w:pPr>
        <w:rPr>
          <w:color w:val="000000" w:themeColor="text1"/>
        </w:rPr>
      </w:pPr>
      <w:r>
        <w:rPr>
          <w:color w:val="000000" w:themeColor="text1"/>
        </w:rPr>
        <w:t>未折现租赁收款额与租赁投资净额的调节表</w:t>
      </w:r>
    </w:p>
    <w:sdt>
      <w:sdtPr>
        <w:rPr>
          <w:color w:val="000000" w:themeColor="text1"/>
        </w:rPr>
        <w:alias w:val="是否适用：未折现租赁收款额与租赁投资净额的调节表?[双击切换]"/>
        <w:tag w:val="_GBC_24749e03a4f14d0186b6eef9cbb8456c"/>
        <w:id w:val="-88440629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b/>
          <w:color w:val="000000" w:themeColor="text1"/>
        </w:rPr>
      </w:pPr>
    </w:p>
    <w:p w:rsidR="000C5659" w:rsidRDefault="000E33C4">
      <w:pPr>
        <w:rPr>
          <w:color w:val="000000" w:themeColor="text1"/>
        </w:rPr>
      </w:pPr>
      <w:r>
        <w:rPr>
          <w:color w:val="000000" w:themeColor="text1"/>
        </w:rPr>
        <w:t>未来五年</w:t>
      </w:r>
      <w:r>
        <w:rPr>
          <w:rFonts w:hint="eastAsia"/>
          <w:color w:val="000000" w:themeColor="text1"/>
        </w:rPr>
        <w:t>未</w:t>
      </w:r>
      <w:r>
        <w:rPr>
          <w:color w:val="000000" w:themeColor="text1"/>
        </w:rPr>
        <w:t>折现租赁收款额</w:t>
      </w:r>
    </w:p>
    <w:sdt>
      <w:sdtPr>
        <w:rPr>
          <w:color w:val="000000" w:themeColor="text1"/>
        </w:rPr>
        <w:alias w:val="是否适用：未来五年未折现租赁收款额[双击切换]"/>
        <w:tag w:val="_GBC_6011fa033af24e8c940b4fc9b0df290d"/>
        <w:id w:val="166751523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b/>
          <w:color w:val="000000" w:themeColor="text1"/>
        </w:rPr>
      </w:pPr>
    </w:p>
    <w:p w:rsidR="000C5659" w:rsidRDefault="000E33C4" w:rsidP="000743DD">
      <w:pPr>
        <w:pStyle w:val="Style165"/>
        <w:numPr>
          <w:ilvl w:val="0"/>
          <w:numId w:val="91"/>
        </w:numPr>
        <w:ind w:left="0" w:firstLine="0"/>
        <w:rPr>
          <w:color w:val="000000" w:themeColor="text1"/>
        </w:rPr>
      </w:pPr>
      <w:r>
        <w:rPr>
          <w:color w:val="000000" w:themeColor="text1"/>
        </w:rPr>
        <w:t>作为生产商或经销商确认融资租赁销售损益</w:t>
      </w:r>
    </w:p>
    <w:sdt>
      <w:sdtPr>
        <w:rPr>
          <w:color w:val="000000" w:themeColor="text1"/>
        </w:rPr>
        <w:alias w:val="是否适用：作为生产商或经销商确认融资租赁销售损益[双击切换]"/>
        <w:tag w:val="_GBC_213bb116a7f04deab5b21583470b1e43"/>
        <w:id w:val="75478940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租赁其他说明"/>
        <w:tag w:val="_GBC_7b832cbbef274cceadb68c4291f1d973"/>
        <w:id w:val="-1048526084"/>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bookmarkEnd w:id="349"/>
    <w:p w:rsidR="000C5659" w:rsidRDefault="000E33C4" w:rsidP="000743DD">
      <w:pPr>
        <w:pStyle w:val="3"/>
        <w:numPr>
          <w:ilvl w:val="0"/>
          <w:numId w:val="92"/>
        </w:numPr>
        <w:tabs>
          <w:tab w:val="left" w:pos="504"/>
        </w:tabs>
        <w:rPr>
          <w:rFonts w:ascii="宋体" w:hAnsi="宋体"/>
          <w:color w:val="000000" w:themeColor="text1"/>
        </w:rPr>
      </w:pPr>
      <w:r>
        <w:rPr>
          <w:rFonts w:ascii="宋体" w:hAnsi="宋体" w:hint="eastAsia"/>
          <w:color w:val="000000" w:themeColor="text1"/>
        </w:rPr>
        <w:t>数据资源</w:t>
      </w:r>
    </w:p>
    <w:sdt>
      <w:sdtPr>
        <w:rPr>
          <w:color w:val="000000" w:themeColor="text1"/>
        </w:rPr>
        <w:alias w:val="是否适用：附注数据资源需要说明的事项[双击切换]"/>
        <w:tag w:val="_GBC_69b3c483faf0482e86f2ca96cb446815"/>
        <w:id w:val="-2143646376"/>
        <w:placeholder>
          <w:docPart w:val="3BCFC6FCD5F44BD88EA148BB4C95C927"/>
        </w:placeholder>
      </w:sdtPr>
      <w:sdtEndPr/>
      <w:sdtContent>
        <w:p w:rsidR="000C5659" w:rsidRDefault="000E33C4">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93"/>
        </w:numPr>
        <w:rPr>
          <w:color w:val="000000" w:themeColor="text1"/>
          <w:szCs w:val="21"/>
        </w:rPr>
      </w:pPr>
      <w:r>
        <w:rPr>
          <w:color w:val="000000" w:themeColor="text1"/>
          <w:szCs w:val="21"/>
        </w:rPr>
        <w:t>其他</w:t>
      </w:r>
    </w:p>
    <w:sdt>
      <w:sdtPr>
        <w:rPr>
          <w:color w:val="000000" w:themeColor="text1"/>
        </w:rPr>
        <w:alias w:val="是否适用：合并财务报表项目注释其他需要说明的事项[双击切换]"/>
        <w:tag w:val="_GBC_d9335575f6594653aa8718dc633c644c"/>
        <w:id w:val="-91062612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bookmarkStart w:id="350" w:name="_Hlk40108415"/>
      <w:bookmarkStart w:id="351" w:name="_Hlk167971708"/>
      <w:r>
        <w:rPr>
          <w:rFonts w:ascii="宋体" w:hAnsi="宋体" w:hint="eastAsia"/>
          <w:color w:val="000000" w:themeColor="text1"/>
        </w:rPr>
        <w:t>研发支出</w:t>
      </w:r>
    </w:p>
    <w:p w:rsidR="000C5659" w:rsidRDefault="000E33C4" w:rsidP="000743DD">
      <w:pPr>
        <w:pStyle w:val="Style163"/>
        <w:numPr>
          <w:ilvl w:val="0"/>
          <w:numId w:val="94"/>
        </w:numPr>
        <w:ind w:left="360" w:hanging="360"/>
        <w:rPr>
          <w:color w:val="000000" w:themeColor="text1"/>
        </w:rPr>
      </w:pPr>
      <w:r>
        <w:rPr>
          <w:rFonts w:hint="eastAsia"/>
          <w:color w:val="000000" w:themeColor="text1"/>
        </w:rPr>
        <w:t>按费用性质列示</w:t>
      </w:r>
    </w:p>
    <w:sdt>
      <w:sdtPr>
        <w:rPr>
          <w:color w:val="000000" w:themeColor="text1"/>
        </w:rPr>
        <w:alias w:val="是否适用：研发费用[双击切换]"/>
        <w:tag w:val="_GBC_c038265fdb0b49dea367e73fadbd1bf3"/>
        <w:id w:val="-45017631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268"/>
        <w:ind w:left="420"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研发费用"/>
          <w:tag w:val="_GBC_ba6e122abfd8443283c681cd38b3d395"/>
          <w:id w:val="8775096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研发费用"/>
          <w:tag w:val="_GBC_d5e978ec78684853899851ff1623b4fc"/>
          <w:id w:val="11090135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szCs w:val="2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2539"/>
        <w:gridCol w:w="2380"/>
      </w:tblGrid>
      <w:tr w:rsidR="000C5659">
        <w:sdt>
          <w:sdtPr>
            <w:rPr>
              <w:color w:val="000000" w:themeColor="text1"/>
            </w:rPr>
            <w:tag w:val="_PLD_0d7c4dfc9e774f139ca83d0601e815ea"/>
            <w:id w:val="-1721051158"/>
          </w:sdtPr>
          <w:sdtEndPr/>
          <w:sdtContent>
            <w:tc>
              <w:tcPr>
                <w:tcW w:w="221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1d1e5baa8c6741cda3956270e192cc79"/>
            <w:id w:val="-1506741198"/>
          </w:sdtPr>
          <w:sdtEndPr/>
          <w:sdtContent>
            <w:tc>
              <w:tcPr>
                <w:tcW w:w="143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91cd6ee02fbd4f6e86f6503667dce560"/>
            <w:id w:val="2131884297"/>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上期发生额</w:t>
                </w:r>
              </w:p>
            </w:tc>
          </w:sdtContent>
        </w:sdt>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rPr>
                <w:rFonts w:hint="eastAsia"/>
              </w:rPr>
              <w:t>直接投入</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5,295,701.54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2,588,754.38</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rPr>
                <w:rFonts w:hint="eastAsia"/>
              </w:rPr>
              <w:t>薪酬</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11,550,504.69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9,574,486.34</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rPr>
                <w:rFonts w:hint="eastAsia"/>
              </w:rPr>
              <w:t>折旧及长期待摊费用</w:t>
            </w:r>
          </w:p>
        </w:tc>
        <w:tc>
          <w:tcPr>
            <w:tcW w:w="1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5659" w:rsidRDefault="000E33C4">
            <w:pPr>
              <w:jc w:val="right"/>
              <w:textAlignment w:val="center"/>
            </w:pPr>
            <w:r>
              <w:rPr>
                <w:rFonts w:hint="eastAsia"/>
                <w:lang w:bidi="ar"/>
              </w:rPr>
              <w:t>999,739.78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735,368.92</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rPr>
                <w:rFonts w:hint="eastAsia"/>
              </w:rPr>
              <w:t>股份支付费用</w:t>
            </w:r>
          </w:p>
        </w:tc>
        <w:tc>
          <w:tcPr>
            <w:tcW w:w="1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5659" w:rsidRDefault="000E33C4">
            <w:pPr>
              <w:jc w:val="right"/>
            </w:pPr>
            <w:r>
              <w:rPr>
                <w:rFonts w:hint="eastAsia"/>
              </w:rPr>
              <w:t>169,951.30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395,922.41</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rPr>
                <w:rFonts w:hint="eastAsia"/>
              </w:rPr>
              <w:t>无形资产摊销</w:t>
            </w:r>
          </w:p>
        </w:tc>
        <w:tc>
          <w:tcPr>
            <w:tcW w:w="1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5659" w:rsidRDefault="000E33C4">
            <w:pPr>
              <w:jc w:val="right"/>
              <w:textAlignment w:val="center"/>
            </w:pPr>
            <w:r>
              <w:rPr>
                <w:rFonts w:hint="eastAsia"/>
                <w:lang w:bidi="ar"/>
              </w:rPr>
              <w:t>507,301.19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 xml:space="preserve">　</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pStyle w:val="Style325"/>
            </w:pPr>
            <w:r>
              <w:rPr>
                <w:rFonts w:hint="eastAsia"/>
              </w:rPr>
              <w:t>其他相关费用</w:t>
            </w:r>
          </w:p>
        </w:tc>
        <w:tc>
          <w:tcPr>
            <w:tcW w:w="1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5659" w:rsidRDefault="000E33C4">
            <w:pPr>
              <w:jc w:val="right"/>
            </w:pPr>
            <w:r>
              <w:rPr>
                <w:rFonts w:hint="eastAsia"/>
              </w:rPr>
              <w:t>2,205,897.50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rPr>
              <w:t>680,167.88</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1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5659" w:rsidRDefault="000E33C4">
            <w:pPr>
              <w:jc w:val="right"/>
              <w:textAlignment w:val="center"/>
            </w:pPr>
            <w:r>
              <w:rPr>
                <w:rFonts w:hint="eastAsia"/>
                <w:lang w:bidi="ar"/>
              </w:rPr>
              <w:t>20,729,096.00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13,974,699.93</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color w:val="000000" w:themeColor="text1"/>
              </w:rPr>
            </w:pPr>
            <w:r>
              <w:rPr>
                <w:rFonts w:hint="eastAsia"/>
                <w:color w:val="000000" w:themeColor="text1"/>
              </w:rPr>
              <w:t>其中：费用化研发支出</w:t>
            </w:r>
          </w:p>
        </w:tc>
        <w:tc>
          <w:tcPr>
            <w:tcW w:w="1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5659" w:rsidRDefault="000E33C4">
            <w:pPr>
              <w:jc w:val="right"/>
              <w:textAlignment w:val="center"/>
            </w:pPr>
            <w:r>
              <w:rPr>
                <w:rFonts w:hint="eastAsia"/>
                <w:lang w:bidi="ar"/>
              </w:rPr>
              <w:t>20,729,096.00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rPr>
                <w:rFonts w:hint="eastAsia"/>
                <w:color w:val="000000"/>
              </w:rPr>
              <w:t>13,974,699.93</w:t>
            </w:r>
          </w:p>
        </w:tc>
      </w:tr>
      <w:tr w:rsidR="000C5659">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ind w:firstLineChars="300" w:firstLine="630"/>
              <w:rPr>
                <w:color w:val="000000" w:themeColor="text1"/>
              </w:rPr>
            </w:pPr>
            <w:r>
              <w:rPr>
                <w:rFonts w:hint="eastAsia"/>
                <w:color w:val="000000" w:themeColor="text1"/>
              </w:rPr>
              <w:t>资本化研发支出</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bl>
    <w:p w:rsidR="000C5659" w:rsidRDefault="000E33C4">
      <w:pPr>
        <w:rPr>
          <w:color w:val="000000" w:themeColor="text1"/>
        </w:rPr>
      </w:pPr>
      <w:r>
        <w:rPr>
          <w:rFonts w:hint="eastAsia"/>
          <w:color w:val="000000" w:themeColor="text1"/>
        </w:rPr>
        <w:t>其他说明：</w:t>
      </w:r>
    </w:p>
    <w:sdt>
      <w:sdtPr>
        <w:rPr>
          <w:color w:val="000000" w:themeColor="text1"/>
        </w:rPr>
        <w:alias w:val="研发支出按费用性质列示的其他说明"/>
        <w:tag w:val="_GBC_6b3d42161462405e8011d40253de8df9"/>
        <w:id w:val="894785531"/>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Style163"/>
        <w:numPr>
          <w:ilvl w:val="0"/>
          <w:numId w:val="94"/>
        </w:numPr>
        <w:ind w:left="360" w:hanging="360"/>
        <w:rPr>
          <w:color w:val="000000" w:themeColor="text1"/>
        </w:rPr>
      </w:pPr>
      <w:bookmarkStart w:id="352" w:name="_Hlk153266294"/>
      <w:bookmarkEnd w:id="350"/>
      <w:r>
        <w:rPr>
          <w:color w:val="000000" w:themeColor="text1"/>
        </w:rPr>
        <w:t>符合资本化条件的研发项目</w:t>
      </w:r>
      <w:r>
        <w:rPr>
          <w:rFonts w:hint="eastAsia"/>
          <w:color w:val="000000" w:themeColor="text1"/>
        </w:rPr>
        <w:t>开发支出</w:t>
      </w:r>
    </w:p>
    <w:sdt>
      <w:sdtPr>
        <w:rPr>
          <w:color w:val="000000" w:themeColor="text1"/>
        </w:rPr>
        <w:alias w:val="是否适用：开发支出[双击切换]"/>
        <w:tag w:val="_GBC_c4491189045f4579aa1097e6d5456e9e"/>
        <w:id w:val="-165190201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352"/>
    <w:p w:rsidR="000C5659" w:rsidRDefault="000E33C4">
      <w:pPr>
        <w:rPr>
          <w:color w:val="000000" w:themeColor="text1"/>
        </w:rPr>
      </w:pPr>
      <w:r>
        <w:rPr>
          <w:color w:val="000000" w:themeColor="text1"/>
        </w:rPr>
        <w:t>重要的资本化研发项目</w:t>
      </w:r>
    </w:p>
    <w:sdt>
      <w:sdtPr>
        <w:rPr>
          <w:color w:val="000000" w:themeColor="text1"/>
        </w:rPr>
        <w:alias w:val="是否适用：重要的资本化研发项目[双击切换]"/>
        <w:tag w:val="_GBC_1cd050ceff7c445bb12c764341f77187"/>
        <w:id w:val="181167042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color w:val="000000" w:themeColor="text1"/>
        </w:rPr>
        <w:t>开发支出减值准备</w:t>
      </w:r>
    </w:p>
    <w:sdt>
      <w:sdtPr>
        <w:rPr>
          <w:color w:val="000000" w:themeColor="text1"/>
        </w:rPr>
        <w:alias w:val="是否适用：开发支出减值准备[双击切换]"/>
        <w:tag w:val="_GBC_61f8745227c4412fa050b0628c64a40a"/>
        <w:id w:val="44265904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符合资本化条件的研发项目开发支出的其他说明"/>
        <w:tag w:val="_GBC_6f5dba19dcad4294ab6f74834cfe3448"/>
        <w:id w:val="280628399"/>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Style163"/>
        <w:numPr>
          <w:ilvl w:val="0"/>
          <w:numId w:val="94"/>
        </w:numPr>
        <w:ind w:left="360" w:hanging="360"/>
        <w:rPr>
          <w:color w:val="000000" w:themeColor="text1"/>
        </w:rPr>
      </w:pPr>
      <w:r>
        <w:rPr>
          <w:color w:val="000000" w:themeColor="text1"/>
        </w:rPr>
        <w:t>重要的外购在研项目</w:t>
      </w:r>
    </w:p>
    <w:sdt>
      <w:sdtPr>
        <w:rPr>
          <w:color w:val="000000" w:themeColor="text1"/>
        </w:rPr>
        <w:alias w:val="是否适用：重要的外购在研项目[双击切换]"/>
        <w:tag w:val="_GBC_d8453a2bfa274fa6906f48d9a4c81bac"/>
        <w:id w:val="-57390028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51"/>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合并范围的变更</w:t>
      </w:r>
    </w:p>
    <w:p w:rsidR="000C5659" w:rsidRDefault="000E33C4" w:rsidP="000743DD">
      <w:pPr>
        <w:pStyle w:val="Style163"/>
        <w:numPr>
          <w:ilvl w:val="0"/>
          <w:numId w:val="95"/>
        </w:numPr>
        <w:rPr>
          <w:rFonts w:ascii="宋体" w:hAnsi="宋体" w:cs="Arial"/>
          <w:color w:val="000000" w:themeColor="text1"/>
          <w:szCs w:val="21"/>
        </w:rPr>
      </w:pPr>
      <w:r>
        <w:rPr>
          <w:rFonts w:ascii="宋体" w:hAnsi="宋体" w:cs="Arial" w:hint="eastAsia"/>
          <w:color w:val="000000" w:themeColor="text1"/>
          <w:szCs w:val="21"/>
        </w:rPr>
        <w:t>非同一控制下企业合并</w:t>
      </w:r>
    </w:p>
    <w:sdt>
      <w:sdtPr>
        <w:rPr>
          <w:color w:val="000000" w:themeColor="text1"/>
        </w:rPr>
        <w:alias w:val="是否适用：非同一控制下企业合并[双击切换]"/>
        <w:tag w:val="_GBC_2f9a65b0b4644b14ab5af1407e6467f1"/>
        <w:id w:val="-150274078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rsidP="000743DD">
      <w:pPr>
        <w:pStyle w:val="Style165"/>
        <w:numPr>
          <w:ilvl w:val="0"/>
          <w:numId w:val="96"/>
        </w:numPr>
        <w:ind w:left="426" w:hanging="426"/>
        <w:rPr>
          <w:rStyle w:val="Style260"/>
          <w:rFonts w:ascii="宋体" w:hAnsi="宋体"/>
          <w:b/>
          <w:bCs/>
          <w:color w:val="000000" w:themeColor="text1"/>
          <w:szCs w:val="21"/>
        </w:rPr>
        <w:sectPr w:rsidR="000C5659">
          <w:pgSz w:w="11906" w:h="16838"/>
          <w:pgMar w:top="1525" w:right="1276" w:bottom="1440" w:left="1797" w:header="856" w:footer="992" w:gutter="0"/>
          <w:cols w:space="425"/>
          <w:docGrid w:linePitch="312"/>
        </w:sectPr>
      </w:pPr>
      <w:bookmarkStart w:id="353" w:name="_Hlk167972301"/>
    </w:p>
    <w:p w:rsidR="000C5659" w:rsidRDefault="000E33C4" w:rsidP="000743DD">
      <w:pPr>
        <w:pStyle w:val="Style165"/>
        <w:numPr>
          <w:ilvl w:val="0"/>
          <w:numId w:val="96"/>
        </w:numPr>
        <w:ind w:left="426" w:hanging="426"/>
        <w:rPr>
          <w:rStyle w:val="Style260"/>
          <w:rFonts w:ascii="宋体" w:hAnsi="宋体"/>
          <w:b/>
          <w:color w:val="000000" w:themeColor="text1"/>
          <w:szCs w:val="21"/>
        </w:rPr>
      </w:pPr>
      <w:r>
        <w:rPr>
          <w:rStyle w:val="Style260"/>
          <w:rFonts w:ascii="宋体" w:hAnsi="宋体" w:hint="eastAsia"/>
          <w:b/>
          <w:color w:val="000000" w:themeColor="text1"/>
          <w:szCs w:val="21"/>
        </w:rPr>
        <w:lastRenderedPageBreak/>
        <w:t>本期发生的非同一控制下企业合并交易</w:t>
      </w:r>
    </w:p>
    <w:sdt>
      <w:sdtPr>
        <w:rPr>
          <w:color w:val="000000" w:themeColor="text1"/>
        </w:rPr>
        <w:alias w:val="是否适用：本期发生的非同一控制下企业合并[双击切换]"/>
        <w:tag w:val="_GBC_e96a44415dda407ea2833d06f7591e32"/>
        <w:id w:val="168061961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非同一控制下企业合并取得的子公司"/>
          <w:tag w:val="_GBC_f12eef1c07684ee9a3ebbced2441606f"/>
          <w:id w:val="-20402700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非同一控制下企业合并取得的子公司"/>
          <w:tag w:val="_GBC_91871619ee1d4df192c515942bfa9a82"/>
          <w:id w:val="-4379960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189"/>
        <w:gridCol w:w="1686"/>
        <w:gridCol w:w="1165"/>
        <w:gridCol w:w="1187"/>
        <w:gridCol w:w="1132"/>
        <w:gridCol w:w="1373"/>
        <w:gridCol w:w="1672"/>
        <w:gridCol w:w="1670"/>
        <w:gridCol w:w="1667"/>
      </w:tblGrid>
      <w:tr w:rsidR="000C5659">
        <w:trPr>
          <w:trHeight w:val="954"/>
        </w:trPr>
        <w:sdt>
          <w:sdtPr>
            <w:rPr>
              <w:color w:val="000000" w:themeColor="text1"/>
            </w:rPr>
            <w:tag w:val="_PLD_1c36b515b9fa4a11b1fa28fc1246a4ea"/>
            <w:id w:val="-260456124"/>
          </w:sdtPr>
          <w:sdtEndPr/>
          <w:sdtContent>
            <w:tc>
              <w:tcPr>
                <w:tcW w:w="425" w:type="pc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被购买方名称</w:t>
                </w:r>
              </w:p>
            </w:tc>
          </w:sdtContent>
        </w:sdt>
        <w:sdt>
          <w:sdtPr>
            <w:rPr>
              <w:color w:val="000000" w:themeColor="text1"/>
            </w:rPr>
            <w:tag w:val="_PLD_ebd0f7a9278c40b393033bfa8f3ab54f"/>
            <w:id w:val="-1462183351"/>
          </w:sdtPr>
          <w:sdtEndPr/>
          <w:sdtContent>
            <w:tc>
              <w:tcPr>
                <w:tcW w:w="449" w:type="pc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股权取得时点</w:t>
                </w:r>
              </w:p>
            </w:tc>
          </w:sdtContent>
        </w:sdt>
        <w:sdt>
          <w:sdtPr>
            <w:rPr>
              <w:color w:val="000000" w:themeColor="text1"/>
            </w:rPr>
            <w:tag w:val="_PLD_c682526ea50b46b9bae48b7b9fd356a1"/>
            <w:id w:val="-1803231230"/>
          </w:sdtPr>
          <w:sdtEndPr/>
          <w:sdtContent>
            <w:tc>
              <w:tcPr>
                <w:tcW w:w="428" w:type="pc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股权取得成本</w:t>
                </w:r>
              </w:p>
            </w:tc>
          </w:sdtContent>
        </w:sdt>
        <w:sdt>
          <w:sdtPr>
            <w:rPr>
              <w:color w:val="000000" w:themeColor="text1"/>
            </w:rPr>
            <w:tag w:val="_PLD_e3363b6ddcfb4bb4b0a40ebc55aea79a"/>
            <w:id w:val="599764472"/>
          </w:sdtPr>
          <w:sdtEndPr/>
          <w:sdtContent>
            <w:tc>
              <w:tcPr>
                <w:tcW w:w="440" w:type="pc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股权取得比例</w:t>
                </w:r>
              </w:p>
              <w:p w:rsidR="000C5659" w:rsidRDefault="000E33C4">
                <w:pPr>
                  <w:jc w:val="center"/>
                  <w:rPr>
                    <w:rFonts w:cs="Arial"/>
                    <w:color w:val="000000" w:themeColor="text1"/>
                    <w:lang w:val="en-GB"/>
                  </w:rPr>
                </w:pPr>
                <w:r>
                  <w:rPr>
                    <w:rFonts w:cs="Arial" w:hint="eastAsia"/>
                    <w:color w:val="000000" w:themeColor="text1"/>
                    <w:lang w:val="en-GB"/>
                  </w:rPr>
                  <w:t>（%）</w:t>
                </w:r>
              </w:p>
            </w:tc>
          </w:sdtContent>
        </w:sdt>
        <w:sdt>
          <w:sdtPr>
            <w:rPr>
              <w:color w:val="000000" w:themeColor="text1"/>
            </w:rPr>
            <w:tag w:val="_PLD_fbb35b304ba74e4c9059f5df287cbf7c"/>
            <w:id w:val="1701740301"/>
          </w:sdtPr>
          <w:sdtEndPr/>
          <w:sdtContent>
            <w:tc>
              <w:tcPr>
                <w:tcW w:w="448" w:type="pc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股权取得方式</w:t>
                </w:r>
              </w:p>
            </w:tc>
          </w:sdtContent>
        </w:sdt>
        <w:sdt>
          <w:sdtPr>
            <w:rPr>
              <w:color w:val="000000" w:themeColor="text1"/>
            </w:rPr>
            <w:tag w:val="_PLD_63b1bfb1e2e643629282cbed1fad22d2"/>
            <w:id w:val="1944956387"/>
          </w:sdtPr>
          <w:sdtEndPr/>
          <w:sdtContent>
            <w:tc>
              <w:tcPr>
                <w:tcW w:w="428" w:type="pc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购买日</w:t>
                </w:r>
              </w:p>
            </w:tc>
          </w:sdtContent>
        </w:sdt>
        <w:sdt>
          <w:sdtPr>
            <w:rPr>
              <w:color w:val="000000" w:themeColor="text1"/>
            </w:rPr>
            <w:tag w:val="_PLD_d216ed6de4964264acf357ac04da6674"/>
            <w:id w:val="905725389"/>
          </w:sdtPr>
          <w:sdtEndPr/>
          <w:sdtContent>
            <w:tc>
              <w:tcPr>
                <w:tcW w:w="515" w:type="pc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购买日的确定依据</w:t>
                </w:r>
              </w:p>
            </w:tc>
          </w:sdtContent>
        </w:sdt>
        <w:sdt>
          <w:sdtPr>
            <w:rPr>
              <w:color w:val="000000" w:themeColor="text1"/>
            </w:rPr>
            <w:tag w:val="_PLD_49f415ae04df4ae4b7191f3c81c166f4"/>
            <w:id w:val="783927132"/>
          </w:sdtPr>
          <w:sdtEndPr/>
          <w:sdtContent>
            <w:tc>
              <w:tcPr>
                <w:tcW w:w="623" w:type="pc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购买日至期末被购买方的收入</w:t>
                </w:r>
              </w:p>
            </w:tc>
          </w:sdtContent>
        </w:sdt>
        <w:sdt>
          <w:sdtPr>
            <w:rPr>
              <w:color w:val="000000" w:themeColor="text1"/>
            </w:rPr>
            <w:tag w:val="_PLD_6e16491ed3df44789dbcac3530ea1703"/>
            <w:id w:val="1233349080"/>
          </w:sdtPr>
          <w:sdtEndPr/>
          <w:sdtContent>
            <w:tc>
              <w:tcPr>
                <w:tcW w:w="622" w:type="pc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购买日至期末被购买方的净利润</w:t>
                </w:r>
              </w:p>
            </w:tc>
          </w:sdtContent>
        </w:sdt>
        <w:tc>
          <w:tcPr>
            <w:tcW w:w="621" w:type="pct"/>
          </w:tcPr>
          <w:sdt>
            <w:sdtPr>
              <w:rPr>
                <w:rFonts w:cs="Arial" w:hint="eastAsia"/>
                <w:color w:val="000000" w:themeColor="text1"/>
                <w:lang w:val="en-GB"/>
              </w:rPr>
              <w:tag w:val="_PLD_ec5a7a3b56be4f5a987eccd026ad6d09"/>
              <w:id w:val="-655690651"/>
            </w:sdtPr>
            <w:sdtEndPr/>
            <w:sdtContent>
              <w:p w:rsidR="000C5659" w:rsidRDefault="000E33C4">
                <w:pPr>
                  <w:jc w:val="center"/>
                  <w:rPr>
                    <w:color w:val="000000" w:themeColor="text1"/>
                  </w:rPr>
                </w:pPr>
                <w:r>
                  <w:rPr>
                    <w:rFonts w:cs="Arial" w:hint="eastAsia"/>
                    <w:color w:val="000000" w:themeColor="text1"/>
                    <w:lang w:val="en-GB"/>
                  </w:rPr>
                  <w:t>购买日至期末被购买方的现金流量</w:t>
                </w:r>
              </w:p>
            </w:sdtContent>
          </w:sdt>
        </w:tc>
      </w:tr>
      <w:tr w:rsidR="000C5659">
        <w:trPr>
          <w:trHeight w:val="293"/>
        </w:trPr>
        <w:tc>
          <w:tcPr>
            <w:tcW w:w="425" w:type="pct"/>
            <w:shd w:val="clear" w:color="auto" w:fill="auto"/>
          </w:tcPr>
          <w:p w:rsidR="000C5659" w:rsidRDefault="000E33C4">
            <w:pPr>
              <w:pStyle w:val="Style325"/>
            </w:pPr>
            <w:r>
              <w:rPr>
                <w:rFonts w:hint="eastAsia"/>
              </w:rPr>
              <w:t>善恩康生物科技（苏州）有限公司</w:t>
            </w:r>
          </w:p>
        </w:tc>
        <w:tc>
          <w:tcPr>
            <w:tcW w:w="1266" w:type="dxa"/>
            <w:shd w:val="clear" w:color="auto" w:fill="auto"/>
          </w:tcPr>
          <w:p w:rsidR="000C5659" w:rsidRDefault="000E33C4">
            <w:pPr>
              <w:pStyle w:val="Style325"/>
            </w:pPr>
            <w:r>
              <w:rPr>
                <w:rFonts w:hint="eastAsia"/>
              </w:rPr>
              <w:t>2</w:t>
            </w:r>
            <w:r>
              <w:t>024-04-07</w:t>
            </w:r>
          </w:p>
        </w:tc>
        <w:tc>
          <w:tcPr>
            <w:tcW w:w="724" w:type="dxa"/>
            <w:shd w:val="clear" w:color="auto" w:fill="auto"/>
          </w:tcPr>
          <w:p w:rsidR="000C5659" w:rsidRDefault="000E33C4">
            <w:pPr>
              <w:jc w:val="right"/>
            </w:pPr>
            <w:r>
              <w:rPr>
                <w:rFonts w:hint="eastAsia"/>
              </w:rPr>
              <w:t>183,911,556.55</w:t>
            </w:r>
          </w:p>
        </w:tc>
        <w:tc>
          <w:tcPr>
            <w:tcW w:w="745" w:type="dxa"/>
            <w:shd w:val="clear" w:color="auto" w:fill="auto"/>
          </w:tcPr>
          <w:p w:rsidR="000C5659" w:rsidRDefault="000E33C4">
            <w:pPr>
              <w:jc w:val="right"/>
            </w:pPr>
            <w:r>
              <w:rPr>
                <w:rFonts w:hint="eastAsia"/>
              </w:rPr>
              <w:t>52</w:t>
            </w:r>
            <w:r>
              <w:t>.</w:t>
            </w:r>
            <w:r>
              <w:rPr>
                <w:rFonts w:hint="eastAsia"/>
              </w:rPr>
              <w:t>00</w:t>
            </w:r>
            <w:r w:rsidR="00B4667C">
              <w:t>06</w:t>
            </w:r>
          </w:p>
        </w:tc>
        <w:tc>
          <w:tcPr>
            <w:tcW w:w="761" w:type="dxa"/>
            <w:shd w:val="clear" w:color="auto" w:fill="auto"/>
          </w:tcPr>
          <w:p w:rsidR="000C5659" w:rsidRDefault="000E33C4">
            <w:pPr>
              <w:pStyle w:val="Style325"/>
            </w:pPr>
            <w:r>
              <w:rPr>
                <w:rFonts w:hint="eastAsia"/>
              </w:rPr>
              <w:t>股权转让及承诺增资方式</w:t>
            </w:r>
          </w:p>
        </w:tc>
        <w:tc>
          <w:tcPr>
            <w:tcW w:w="725" w:type="dxa"/>
            <w:shd w:val="clear" w:color="auto" w:fill="auto"/>
          </w:tcPr>
          <w:p w:rsidR="000C5659" w:rsidRDefault="000E33C4">
            <w:pPr>
              <w:pStyle w:val="Style325"/>
            </w:pPr>
            <w:r>
              <w:t>2024-04-07</w:t>
            </w:r>
          </w:p>
        </w:tc>
        <w:tc>
          <w:tcPr>
            <w:tcW w:w="882" w:type="dxa"/>
            <w:shd w:val="clear" w:color="auto" w:fill="auto"/>
          </w:tcPr>
          <w:p w:rsidR="000C5659" w:rsidRDefault="000E33C4">
            <w:pPr>
              <w:pStyle w:val="Style325"/>
            </w:pPr>
            <w:r>
              <w:rPr>
                <w:rFonts w:hint="eastAsia"/>
              </w:rPr>
              <w:t>交易的交割条件已经全部满足</w:t>
            </w:r>
          </w:p>
        </w:tc>
        <w:tc>
          <w:tcPr>
            <w:tcW w:w="1078" w:type="dxa"/>
            <w:shd w:val="clear" w:color="auto" w:fill="auto"/>
            <w:vAlign w:val="center"/>
          </w:tcPr>
          <w:p w:rsidR="000C5659" w:rsidRDefault="000E33C4">
            <w:pPr>
              <w:jc w:val="center"/>
              <w:textAlignment w:val="center"/>
            </w:pPr>
            <w:r>
              <w:rPr>
                <w:rFonts w:hint="eastAsia"/>
                <w:color w:val="000000"/>
                <w:lang w:bidi="ar"/>
              </w:rPr>
              <w:t>15,180,508.97</w:t>
            </w:r>
          </w:p>
        </w:tc>
        <w:tc>
          <w:tcPr>
            <w:tcW w:w="1076" w:type="dxa"/>
            <w:shd w:val="clear" w:color="auto" w:fill="auto"/>
            <w:vAlign w:val="center"/>
          </w:tcPr>
          <w:p w:rsidR="000C5659" w:rsidRDefault="000E33C4">
            <w:pPr>
              <w:jc w:val="center"/>
              <w:textAlignment w:val="center"/>
            </w:pPr>
            <w:r>
              <w:rPr>
                <w:rFonts w:hint="eastAsia"/>
                <w:lang w:bidi="ar"/>
              </w:rPr>
              <w:t>-2,975,554.43</w:t>
            </w:r>
            <w:r>
              <w:rPr>
                <w:rFonts w:hint="eastAsia"/>
                <w:color w:val="FF0000"/>
                <w:lang w:bidi="ar"/>
              </w:rPr>
              <w:t xml:space="preserve"> </w:t>
            </w:r>
          </w:p>
        </w:tc>
        <w:tc>
          <w:tcPr>
            <w:tcW w:w="1074" w:type="dxa"/>
            <w:vAlign w:val="center"/>
          </w:tcPr>
          <w:p w:rsidR="000C5659" w:rsidRDefault="000E33C4">
            <w:pPr>
              <w:jc w:val="center"/>
              <w:textAlignment w:val="center"/>
            </w:pPr>
            <w:r>
              <w:rPr>
                <w:rFonts w:hint="eastAsia"/>
                <w:color w:val="000000"/>
                <w:lang w:bidi="ar"/>
              </w:rPr>
              <w:t>-8,976,578.86</w:t>
            </w:r>
          </w:p>
        </w:tc>
      </w:tr>
    </w:tbl>
    <w:p w:rsidR="000C5659" w:rsidRDefault="000E33C4">
      <w:pPr>
        <w:spacing w:before="60" w:after="60"/>
        <w:rPr>
          <w:rFonts w:cs="Arial"/>
          <w:color w:val="000000" w:themeColor="text1"/>
        </w:rPr>
      </w:pPr>
      <w:r>
        <w:rPr>
          <w:rFonts w:cs="Arial" w:hint="eastAsia"/>
          <w:color w:val="000000" w:themeColor="text1"/>
        </w:rPr>
        <w:t>其他说明：</w:t>
      </w:r>
    </w:p>
    <w:sdt>
      <w:sdtPr>
        <w:rPr>
          <w:rFonts w:cs="Arial"/>
          <w:color w:val="000000" w:themeColor="text1"/>
        </w:rPr>
        <w:alias w:val="本期发生的非同一控制下企业合并的其他说明"/>
        <w:tag w:val="_GBC_efdfcb5584f84d09886fca4dada85fd1"/>
        <w:id w:val="1035073727"/>
        <w:placeholder>
          <w:docPart w:val="GBC22222222222222222222222222222"/>
        </w:placeholder>
      </w:sdtPr>
      <w:sdtEndPr/>
      <w:sdtContent>
        <w:p w:rsidR="000C5659" w:rsidRDefault="000E33C4">
          <w:pPr>
            <w:rPr>
              <w:rFonts w:cs="Arial"/>
              <w:color w:val="000000" w:themeColor="text1"/>
            </w:rPr>
          </w:pPr>
          <w:r>
            <w:rPr>
              <w:rFonts w:cs="Arial" w:hint="eastAsia"/>
              <w:color w:val="000000" w:themeColor="text1"/>
            </w:rPr>
            <w:t>无</w:t>
          </w:r>
        </w:p>
      </w:sdtContent>
    </w:sdt>
    <w:p w:rsidR="000C5659" w:rsidRDefault="000C5659">
      <w:pPr>
        <w:rPr>
          <w:rFonts w:cs="Arial"/>
          <w:color w:val="000000" w:themeColor="text1"/>
        </w:rPr>
        <w:sectPr w:rsidR="000C5659">
          <w:pgSz w:w="16838" w:h="11906" w:orient="landscape"/>
          <w:pgMar w:top="1797" w:right="1525" w:bottom="1276" w:left="1440" w:header="856" w:footer="992" w:gutter="0"/>
          <w:cols w:space="425"/>
          <w:docGrid w:linePitch="312"/>
        </w:sectPr>
      </w:pPr>
    </w:p>
    <w:p w:rsidR="000C5659" w:rsidRDefault="000C5659">
      <w:pPr>
        <w:rPr>
          <w:rFonts w:cs="Arial"/>
          <w:color w:val="000000" w:themeColor="text1"/>
        </w:rPr>
      </w:pPr>
    </w:p>
    <w:bookmarkEnd w:id="353"/>
    <w:p w:rsidR="000C5659" w:rsidRDefault="000E33C4" w:rsidP="000743DD">
      <w:pPr>
        <w:pStyle w:val="Style165"/>
        <w:numPr>
          <w:ilvl w:val="0"/>
          <w:numId w:val="96"/>
        </w:numPr>
        <w:ind w:left="426" w:hanging="426"/>
        <w:rPr>
          <w:rFonts w:cs="Arial"/>
          <w:color w:val="000000" w:themeColor="text1"/>
          <w:kern w:val="0"/>
          <w:szCs w:val="24"/>
        </w:rPr>
      </w:pPr>
      <w:r>
        <w:rPr>
          <w:rFonts w:cs="Arial" w:hint="eastAsia"/>
          <w:color w:val="000000" w:themeColor="text1"/>
          <w:kern w:val="0"/>
          <w:szCs w:val="24"/>
        </w:rPr>
        <w:t>合并成本及商誉</w:t>
      </w:r>
    </w:p>
    <w:p w:rsidR="000C5659" w:rsidRDefault="00220B84">
      <w:pPr>
        <w:rPr>
          <w:color w:val="000000" w:themeColor="text1"/>
        </w:rPr>
      </w:pPr>
      <w:sdt>
        <w:sdtPr>
          <w:rPr>
            <w:color w:val="000000" w:themeColor="text1"/>
          </w:rPr>
          <w:alias w:val="是否适用：合并成本及商誉[双击切换]"/>
          <w:tag w:val="_GBC_56d9f6aa774c4776ac65c41472b0a280"/>
          <w:id w:val="442271666"/>
          <w:lock w:val="contentLocked"/>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合并成本及商誉"/>
          <w:tag w:val="_GBC_7dcc905e1cc54d7da6ff3999e09e0f1f"/>
          <w:id w:val="6400803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合并成本及商誉"/>
          <w:tag w:val="_GBC_1d4f1604e6724ad4aa12235f8be81df0"/>
          <w:id w:val="18648640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334"/>
      </w:tblGrid>
      <w:tr w:rsidR="000C5659">
        <w:trPr>
          <w:jc w:val="center"/>
        </w:trPr>
        <w:bookmarkStart w:id="354" w:name="_Hlk168315102" w:displacedByCustomXml="next"/>
        <w:sdt>
          <w:sdtPr>
            <w:rPr>
              <w:rFonts w:cs="Arial" w:hint="eastAsia"/>
              <w:b/>
              <w:color w:val="000000" w:themeColor="text1"/>
            </w:rPr>
            <w:tag w:val="_PLD_90e0a910c2c54a11a6666bf7ea3e769c"/>
            <w:id w:val="-248113290"/>
          </w:sdtPr>
          <w:sdtEndPr>
            <w:rPr>
              <w:rFonts w:cs="宋体" w:hint="default"/>
              <w:b w:val="0"/>
            </w:rPr>
          </w:sdtEndPr>
          <w:sdtContent>
            <w:tc>
              <w:tcPr>
                <w:tcW w:w="2544" w:type="pct"/>
                <w:shd w:val="clear" w:color="auto" w:fill="auto"/>
              </w:tcPr>
              <w:p w:rsidR="000C5659" w:rsidRDefault="000E33C4">
                <w:pPr>
                  <w:rPr>
                    <w:rFonts w:cs="Arial"/>
                    <w:color w:val="000000" w:themeColor="text1"/>
                  </w:rPr>
                </w:pPr>
                <w:r>
                  <w:rPr>
                    <w:rFonts w:cs="Arial" w:hint="eastAsia"/>
                    <w:color w:val="000000" w:themeColor="text1"/>
                    <w:lang w:val="en-GB"/>
                  </w:rPr>
                  <w:t>合并成本</w:t>
                </w:r>
              </w:p>
            </w:tc>
          </w:sdtContent>
        </w:sdt>
        <w:tc>
          <w:tcPr>
            <w:tcW w:w="4445" w:type="dxa"/>
          </w:tcPr>
          <w:sdt>
            <w:sdtPr>
              <w:rPr>
                <w:color w:val="000000" w:themeColor="text1"/>
              </w:rPr>
              <w:alias w:val="非同一控制下企业合并成本及商誉明细-公司名称"/>
              <w:tag w:val="_GBC_469a7483e3b446c4ac515b62fe192804"/>
              <w:id w:val="1157960025"/>
            </w:sdtPr>
            <w:sdtEndPr/>
            <w:sdtContent>
              <w:p w:rsidR="000C5659" w:rsidRDefault="000E33C4">
                <w:pPr>
                  <w:rPr>
                    <w:color w:val="000000" w:themeColor="text1"/>
                  </w:rPr>
                </w:pPr>
                <w:r>
                  <w:rPr>
                    <w:rFonts w:hint="eastAsia"/>
                    <w:color w:val="000000" w:themeColor="text1"/>
                  </w:rPr>
                  <w:t>善恩康生物科技（苏州）有限公司</w:t>
                </w:r>
              </w:p>
            </w:sdtContent>
          </w:sdt>
          <w:p w:rsidR="000C5659" w:rsidRDefault="000C5659">
            <w:pPr>
              <w:rPr>
                <w:color w:val="000000" w:themeColor="text1"/>
              </w:rPr>
            </w:pPr>
          </w:p>
        </w:tc>
      </w:tr>
      <w:tr w:rsidR="000C5659">
        <w:trPr>
          <w:jc w:val="center"/>
        </w:trPr>
        <w:tc>
          <w:tcPr>
            <w:tcW w:w="2544" w:type="pct"/>
            <w:shd w:val="clear" w:color="auto" w:fill="FFFFFF"/>
            <w:vAlign w:val="center"/>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现金</w:t>
            </w:r>
          </w:p>
        </w:tc>
        <w:tc>
          <w:tcPr>
            <w:tcW w:w="4445" w:type="dxa"/>
            <w:vAlign w:val="center"/>
          </w:tcPr>
          <w:p w:rsidR="000C5659" w:rsidRDefault="000E33C4">
            <w:pPr>
              <w:jc w:val="right"/>
              <w:textAlignment w:val="center"/>
            </w:pPr>
            <w:r>
              <w:rPr>
                <w:rFonts w:hint="eastAsia"/>
                <w:color w:val="000000"/>
                <w:lang w:bidi="ar"/>
              </w:rPr>
              <w:t>138,152,810.55</w:t>
            </w:r>
          </w:p>
        </w:tc>
      </w:tr>
      <w:tr w:rsidR="000C5659">
        <w:trPr>
          <w:jc w:val="center"/>
        </w:trPr>
        <w:tc>
          <w:tcPr>
            <w:tcW w:w="2544" w:type="pct"/>
            <w:shd w:val="clear" w:color="auto" w:fill="FFFFFF"/>
            <w:vAlign w:val="center"/>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非现金资产的公允价值</w:t>
            </w:r>
          </w:p>
        </w:tc>
        <w:tc>
          <w:tcPr>
            <w:tcW w:w="4445" w:type="dxa"/>
            <w:vAlign w:val="center"/>
          </w:tcPr>
          <w:p w:rsidR="000C5659" w:rsidRDefault="000C5659">
            <w:pPr>
              <w:jc w:val="right"/>
            </w:pPr>
          </w:p>
        </w:tc>
      </w:tr>
      <w:tr w:rsidR="000C5659">
        <w:trPr>
          <w:jc w:val="center"/>
        </w:trPr>
        <w:tc>
          <w:tcPr>
            <w:tcW w:w="2544" w:type="pct"/>
            <w:shd w:val="clear" w:color="auto" w:fill="FFFFFF"/>
            <w:vAlign w:val="center"/>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发行或承担的债务的公允价值</w:t>
            </w:r>
          </w:p>
        </w:tc>
        <w:tc>
          <w:tcPr>
            <w:tcW w:w="4445" w:type="dxa"/>
            <w:vAlign w:val="center"/>
          </w:tcPr>
          <w:p w:rsidR="000C5659" w:rsidRDefault="000C5659">
            <w:pPr>
              <w:jc w:val="right"/>
            </w:pPr>
          </w:p>
        </w:tc>
      </w:tr>
      <w:tr w:rsidR="000C5659">
        <w:trPr>
          <w:jc w:val="center"/>
        </w:trPr>
        <w:tc>
          <w:tcPr>
            <w:tcW w:w="2544" w:type="pct"/>
            <w:shd w:val="clear" w:color="auto" w:fill="FFFFFF"/>
            <w:vAlign w:val="center"/>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发行的权益性证券的公允价值</w:t>
            </w:r>
          </w:p>
        </w:tc>
        <w:tc>
          <w:tcPr>
            <w:tcW w:w="4445" w:type="dxa"/>
            <w:vAlign w:val="center"/>
          </w:tcPr>
          <w:p w:rsidR="000C5659" w:rsidRDefault="000C5659">
            <w:pPr>
              <w:jc w:val="right"/>
            </w:pPr>
          </w:p>
        </w:tc>
      </w:tr>
      <w:tr w:rsidR="000C5659">
        <w:trPr>
          <w:jc w:val="center"/>
        </w:trPr>
        <w:tc>
          <w:tcPr>
            <w:tcW w:w="2544" w:type="pct"/>
            <w:shd w:val="clear" w:color="auto" w:fill="FFFFFF"/>
            <w:vAlign w:val="center"/>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或有对价的公允价值</w:t>
            </w:r>
          </w:p>
        </w:tc>
        <w:tc>
          <w:tcPr>
            <w:tcW w:w="4445" w:type="dxa"/>
            <w:vAlign w:val="center"/>
          </w:tcPr>
          <w:p w:rsidR="000C5659" w:rsidRDefault="000E33C4">
            <w:pPr>
              <w:jc w:val="right"/>
              <w:textAlignment w:val="center"/>
            </w:pPr>
            <w:r>
              <w:rPr>
                <w:rFonts w:hint="eastAsia"/>
                <w:color w:val="000000"/>
                <w:lang w:bidi="ar"/>
              </w:rPr>
              <w:t>-28,650,000.00</w:t>
            </w:r>
          </w:p>
        </w:tc>
      </w:tr>
      <w:tr w:rsidR="000C5659">
        <w:trPr>
          <w:jc w:val="center"/>
        </w:trPr>
        <w:tc>
          <w:tcPr>
            <w:tcW w:w="2544" w:type="pct"/>
            <w:shd w:val="clear" w:color="auto" w:fill="FFFFFF"/>
            <w:vAlign w:val="center"/>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购买日之前持有的股权于购买日的公允价值</w:t>
            </w:r>
          </w:p>
        </w:tc>
        <w:tc>
          <w:tcPr>
            <w:tcW w:w="4445" w:type="dxa"/>
            <w:vAlign w:val="center"/>
          </w:tcPr>
          <w:p w:rsidR="000C5659" w:rsidRDefault="000C5659">
            <w:pPr>
              <w:jc w:val="right"/>
            </w:pPr>
          </w:p>
        </w:tc>
      </w:tr>
      <w:tr w:rsidR="000C5659">
        <w:trPr>
          <w:jc w:val="center"/>
        </w:trPr>
        <w:tc>
          <w:tcPr>
            <w:tcW w:w="2544" w:type="pct"/>
            <w:shd w:val="clear" w:color="auto" w:fill="auto"/>
            <w:vAlign w:val="center"/>
          </w:tcPr>
          <w:p w:rsidR="000C5659" w:rsidRDefault="000E33C4">
            <w:pPr>
              <w:rPr>
                <w:rFonts w:cs="Arial"/>
                <w:color w:val="000000" w:themeColor="text1"/>
                <w:lang w:val="en-GB"/>
              </w:rPr>
            </w:pPr>
            <w:r>
              <w:rPr>
                <w:rFonts w:cs="Arial" w:hint="eastAsia"/>
                <w:color w:val="000000" w:themeColor="text1"/>
                <w:lang w:val="en-GB"/>
              </w:rPr>
              <w:t>--其他</w:t>
            </w:r>
          </w:p>
        </w:tc>
        <w:tc>
          <w:tcPr>
            <w:tcW w:w="4445" w:type="dxa"/>
            <w:vAlign w:val="center"/>
          </w:tcPr>
          <w:p w:rsidR="000C5659" w:rsidRDefault="000E33C4">
            <w:pPr>
              <w:jc w:val="right"/>
              <w:textAlignment w:val="center"/>
            </w:pPr>
            <w:r>
              <w:rPr>
                <w:rFonts w:hint="eastAsia"/>
                <w:color w:val="000000"/>
                <w:lang w:bidi="ar"/>
              </w:rPr>
              <w:t>74,408,746.00</w:t>
            </w:r>
          </w:p>
        </w:tc>
      </w:tr>
      <w:tr w:rsidR="000C5659">
        <w:trPr>
          <w:jc w:val="center"/>
        </w:trPr>
        <w:tc>
          <w:tcPr>
            <w:tcW w:w="2544" w:type="pct"/>
            <w:shd w:val="clear" w:color="auto" w:fill="auto"/>
            <w:vAlign w:val="center"/>
          </w:tcPr>
          <w:p w:rsidR="000C5659" w:rsidRDefault="000E33C4">
            <w:pPr>
              <w:rPr>
                <w:rFonts w:cs="Arial"/>
                <w:color w:val="000000" w:themeColor="text1"/>
              </w:rPr>
            </w:pPr>
            <w:r>
              <w:rPr>
                <w:rFonts w:cs="Arial" w:hint="eastAsia"/>
                <w:color w:val="000000" w:themeColor="text1"/>
                <w:lang w:val="en-GB"/>
              </w:rPr>
              <w:t>合并成本合计</w:t>
            </w:r>
          </w:p>
        </w:tc>
        <w:tc>
          <w:tcPr>
            <w:tcW w:w="4445" w:type="dxa"/>
            <w:vAlign w:val="center"/>
          </w:tcPr>
          <w:p w:rsidR="000C5659" w:rsidRDefault="000E33C4">
            <w:pPr>
              <w:jc w:val="right"/>
              <w:textAlignment w:val="center"/>
            </w:pPr>
            <w:r>
              <w:rPr>
                <w:rFonts w:hint="eastAsia"/>
                <w:color w:val="000000"/>
                <w:lang w:bidi="ar"/>
              </w:rPr>
              <w:t>183,911,556.55</w:t>
            </w:r>
          </w:p>
        </w:tc>
      </w:tr>
      <w:tr w:rsidR="000C5659">
        <w:trPr>
          <w:jc w:val="center"/>
        </w:trPr>
        <w:tc>
          <w:tcPr>
            <w:tcW w:w="2544" w:type="pct"/>
            <w:shd w:val="clear" w:color="auto" w:fill="auto"/>
            <w:vAlign w:val="center"/>
          </w:tcPr>
          <w:p w:rsidR="000C5659" w:rsidRDefault="000E33C4">
            <w:pPr>
              <w:rPr>
                <w:rFonts w:cs="Arial"/>
                <w:color w:val="000000" w:themeColor="text1"/>
              </w:rPr>
            </w:pPr>
            <w:r>
              <w:rPr>
                <w:rFonts w:cs="Arial" w:hint="eastAsia"/>
                <w:color w:val="000000" w:themeColor="text1"/>
                <w:lang w:val="en-GB"/>
              </w:rPr>
              <w:t>减：取得的可辨认净资产公允价值份额</w:t>
            </w:r>
          </w:p>
        </w:tc>
        <w:tc>
          <w:tcPr>
            <w:tcW w:w="4445" w:type="dxa"/>
            <w:vAlign w:val="center"/>
          </w:tcPr>
          <w:p w:rsidR="000C5659" w:rsidRDefault="000E33C4">
            <w:pPr>
              <w:jc w:val="right"/>
              <w:textAlignment w:val="center"/>
            </w:pPr>
            <w:r>
              <w:rPr>
                <w:rFonts w:hint="eastAsia"/>
                <w:color w:val="000000"/>
                <w:lang w:bidi="ar"/>
              </w:rPr>
              <w:t>94,080,247.33</w:t>
            </w:r>
          </w:p>
        </w:tc>
      </w:tr>
      <w:tr w:rsidR="000C5659">
        <w:trPr>
          <w:jc w:val="center"/>
        </w:trPr>
        <w:tc>
          <w:tcPr>
            <w:tcW w:w="2544" w:type="pct"/>
            <w:shd w:val="clear" w:color="auto" w:fill="auto"/>
            <w:vAlign w:val="center"/>
          </w:tcPr>
          <w:p w:rsidR="000C5659" w:rsidRDefault="000E33C4">
            <w:pPr>
              <w:rPr>
                <w:rFonts w:cs="Arial"/>
                <w:color w:val="000000" w:themeColor="text1"/>
              </w:rPr>
            </w:pPr>
            <w:r>
              <w:rPr>
                <w:rFonts w:cs="Arial" w:hint="eastAsia"/>
                <w:color w:val="000000" w:themeColor="text1"/>
                <w:lang w:val="en-GB"/>
              </w:rPr>
              <w:t>商誉</w:t>
            </w:r>
            <w:r>
              <w:rPr>
                <w:rFonts w:cs="Arial"/>
                <w:color w:val="000000" w:themeColor="text1"/>
              </w:rPr>
              <w:t>/</w:t>
            </w:r>
            <w:r>
              <w:rPr>
                <w:rFonts w:cs="Arial" w:hint="eastAsia"/>
                <w:color w:val="000000" w:themeColor="text1"/>
                <w:lang w:val="en-GB"/>
              </w:rPr>
              <w:t>合并成本小于取得的可辨认净资产公允价值份额的金额</w:t>
            </w:r>
          </w:p>
        </w:tc>
        <w:tc>
          <w:tcPr>
            <w:tcW w:w="4445" w:type="dxa"/>
            <w:vAlign w:val="center"/>
          </w:tcPr>
          <w:p w:rsidR="000C5659" w:rsidRDefault="000E33C4">
            <w:pPr>
              <w:jc w:val="right"/>
              <w:textAlignment w:val="center"/>
            </w:pPr>
            <w:r>
              <w:rPr>
                <w:rFonts w:hint="eastAsia"/>
                <w:color w:val="000000"/>
                <w:lang w:bidi="ar"/>
              </w:rPr>
              <w:t>89,831,309.22</w:t>
            </w:r>
          </w:p>
        </w:tc>
      </w:tr>
    </w:tbl>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合并成本公允价值的确定方法：</w:t>
      </w:r>
    </w:p>
    <w:sdt>
      <w:sdtPr>
        <w:rPr>
          <w:color w:val="000000" w:themeColor="text1"/>
        </w:rPr>
        <w:alias w:val="是否适用：合并成本公允价值的确定方法[双击切换]"/>
        <w:tag w:val="_GBC_001eb95767b2485095f39d5f4c981e45"/>
        <w:id w:val="-83352422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220B84">
      <w:pPr>
        <w:rPr>
          <w:rFonts w:cs="Arial"/>
          <w:color w:val="000000" w:themeColor="text1"/>
        </w:rPr>
      </w:pPr>
      <w:sdt>
        <w:sdtPr>
          <w:rPr>
            <w:rFonts w:cs="Arial"/>
            <w:color w:val="000000" w:themeColor="text1"/>
          </w:rPr>
          <w:alias w:val="合并成本公允价值、或有对价及其变动的说明"/>
          <w:tag w:val="_GBC_0e62dadd58354b58b991e7e322f67051"/>
          <w:id w:val="-1360499749"/>
          <w:placeholder>
            <w:docPart w:val="GBC22222222222222222222222222222"/>
          </w:placeholder>
        </w:sdtPr>
        <w:sdtEndPr/>
        <w:sdtContent>
          <w:sdt>
            <w:sdtPr>
              <w:rPr>
                <w:rFonts w:cs="Arial"/>
                <w:color w:val="000000" w:themeColor="text1"/>
              </w:rPr>
              <w:alias w:val="合并成本公允价值、或有对价及其变动的说明"/>
              <w:tag w:val="_GBC_0e62dadd58354b58b991e7e322f67051"/>
              <w:id w:val="897012848"/>
            </w:sdtPr>
            <w:sdtEndPr/>
            <w:sdtContent>
              <w:r w:rsidR="000E33C4">
                <w:rPr>
                  <w:rFonts w:hint="eastAsia"/>
                </w:rPr>
                <w:t>采用估值方法确定业绩补偿的公允价值计入交易性金融资产。</w:t>
              </w:r>
            </w:sdtContent>
          </w:sdt>
        </w:sdtContent>
      </w:sdt>
    </w:p>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业绩承诺的完成情况：</w:t>
      </w:r>
    </w:p>
    <w:sdt>
      <w:sdtPr>
        <w:rPr>
          <w:color w:val="000000" w:themeColor="text1"/>
        </w:rPr>
        <w:alias w:val="是否适用：披露业绩承诺的完成情况[双击切换]"/>
        <w:tag w:val="_GBC_96f7158e06964ee0a84d047cf2618cd0"/>
        <w:id w:val="32069969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大额商誉形成的主要原因：</w:t>
      </w:r>
    </w:p>
    <w:sdt>
      <w:sdtPr>
        <w:rPr>
          <w:rFonts w:cs="Arial" w:hint="eastAsia"/>
          <w:color w:val="000000" w:themeColor="text1"/>
        </w:rPr>
        <w:alias w:val="是否适用：大额商誉形成的主要原因[双击切换]"/>
        <w:tag w:val="_GBC_13cca4bf5fbe4d859e68e100efaa41f0"/>
        <w:id w:val="1940563541"/>
        <w:placeholder>
          <w:docPart w:val="GBC22222222222222222222222222222"/>
        </w:placeholder>
      </w:sdtPr>
      <w:sdtEndPr/>
      <w:sdtContent>
        <w:p w:rsidR="000C5659" w:rsidRDefault="000E33C4">
          <w:pPr>
            <w:rPr>
              <w:rFonts w:cs="Arial"/>
              <w:color w:val="000000" w:themeColor="text1"/>
            </w:rPr>
          </w:pPr>
          <w:r>
            <w:rPr>
              <w:rFonts w:cs="Arial"/>
              <w:color w:val="000000" w:themeColor="text1"/>
            </w:rPr>
            <w:fldChar w:fldCharType="begin"/>
          </w:r>
          <w:r>
            <w:rPr>
              <w:rFonts w:cs="Arial" w:hint="eastAsia"/>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hint="eastAsia"/>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rPr>
          <w:rFonts w:cs="Arial"/>
          <w:color w:val="000000" w:themeColor="text1"/>
        </w:rPr>
      </w:pPr>
    </w:p>
    <w:p w:rsidR="000C5659" w:rsidRDefault="000E33C4">
      <w:pPr>
        <w:spacing w:before="60" w:after="60"/>
        <w:rPr>
          <w:rFonts w:cs="Arial"/>
          <w:color w:val="000000" w:themeColor="text1"/>
        </w:rPr>
      </w:pPr>
      <w:r>
        <w:rPr>
          <w:rFonts w:cs="Arial" w:hint="eastAsia"/>
          <w:color w:val="000000" w:themeColor="text1"/>
        </w:rPr>
        <w:t>其他说明：</w:t>
      </w:r>
    </w:p>
    <w:p w:rsidR="000C5659" w:rsidRDefault="00220B84">
      <w:pPr>
        <w:rPr>
          <w:rFonts w:cs="Arial"/>
          <w:color w:val="000000" w:themeColor="text1"/>
        </w:rPr>
      </w:pPr>
      <w:sdt>
        <w:sdtPr>
          <w:rPr>
            <w:rFonts w:cs="Arial"/>
            <w:color w:val="000000" w:themeColor="text1"/>
          </w:rPr>
          <w:alias w:val="非同一控制下企业合并成本及商誉的其他说明"/>
          <w:tag w:val="_GBC_8382a4941b9b4661bc98b823ae903a0f"/>
          <w:id w:val="1014582392"/>
          <w:placeholder>
            <w:docPart w:val="GBC22222222222222222222222222222"/>
          </w:placeholder>
        </w:sdtPr>
        <w:sdtEndPr/>
        <w:sdtContent>
          <w:r w:rsidR="000E33C4">
            <w:rPr>
              <w:rFonts w:cs="Arial" w:hint="eastAsia"/>
              <w:color w:val="000000" w:themeColor="text1"/>
              <w:lang w:val="en-GB"/>
            </w:rPr>
            <w:t>《</w:t>
          </w:r>
          <w:r w:rsidR="000E33C4">
            <w:rPr>
              <w:rFonts w:cs="Arial" w:hint="eastAsia"/>
              <w:color w:val="000000" w:themeColor="text1"/>
            </w:rPr>
            <w:t>股权转让及增资协议》已约定但尚未出资款项构成合并成本“其他”项</w:t>
          </w:r>
          <w:r w:rsidR="000E33C4">
            <w:t>74,408,746.00</w:t>
          </w:r>
          <w:r w:rsidR="000E33C4">
            <w:rPr>
              <w:rFonts w:hint="eastAsia"/>
            </w:rPr>
            <w:t>元。</w:t>
          </w:r>
        </w:sdtContent>
      </w:sdt>
    </w:p>
    <w:bookmarkEnd w:id="354"/>
    <w:p w:rsidR="000C5659" w:rsidRDefault="000C5659">
      <w:pPr>
        <w:rPr>
          <w:rFonts w:cs="Arial"/>
          <w:color w:val="000000" w:themeColor="text1"/>
        </w:rPr>
      </w:pPr>
    </w:p>
    <w:p w:rsidR="000C5659" w:rsidRDefault="000E33C4" w:rsidP="000743DD">
      <w:pPr>
        <w:pStyle w:val="Style165"/>
        <w:numPr>
          <w:ilvl w:val="0"/>
          <w:numId w:val="96"/>
        </w:numPr>
        <w:ind w:left="426" w:hanging="426"/>
        <w:rPr>
          <w:rFonts w:cs="Arial"/>
          <w:color w:val="000000" w:themeColor="text1"/>
          <w:kern w:val="0"/>
          <w:szCs w:val="24"/>
        </w:rPr>
      </w:pPr>
      <w:r>
        <w:rPr>
          <w:rFonts w:cs="Arial" w:hint="eastAsia"/>
          <w:color w:val="000000" w:themeColor="text1"/>
          <w:kern w:val="0"/>
          <w:szCs w:val="24"/>
        </w:rPr>
        <w:t>被购买方于</w:t>
      </w:r>
      <w:r>
        <w:rPr>
          <w:rFonts w:cs="Arial" w:hint="eastAsia"/>
          <w:bCs w:val="0"/>
          <w:color w:val="000000" w:themeColor="text1"/>
          <w:kern w:val="0"/>
          <w:szCs w:val="24"/>
        </w:rPr>
        <w:t>购买</w:t>
      </w:r>
      <w:r>
        <w:rPr>
          <w:rFonts w:cs="Arial" w:hint="eastAsia"/>
          <w:color w:val="000000" w:themeColor="text1"/>
          <w:kern w:val="0"/>
          <w:szCs w:val="24"/>
        </w:rPr>
        <w:t>日可辨认资产、负债</w:t>
      </w:r>
    </w:p>
    <w:p w:rsidR="000C5659" w:rsidRDefault="00220B84">
      <w:pPr>
        <w:rPr>
          <w:color w:val="000000" w:themeColor="text1"/>
        </w:rPr>
      </w:pPr>
      <w:sdt>
        <w:sdtPr>
          <w:rPr>
            <w:color w:val="000000" w:themeColor="text1"/>
          </w:rPr>
          <w:alias w:val="是否适用：被购买方于购买日可辨认资产、负债[双击切换]"/>
          <w:tag w:val="_GBC_b192e56c8e2242b3bf12a08de6dc76d4"/>
          <w:id w:val="-1366369421"/>
          <w:lock w:val="contentLocked"/>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p w:rsidR="000C5659" w:rsidRDefault="000E33C4">
      <w:pPr>
        <w:jc w:val="right"/>
        <w:rPr>
          <w:color w:val="000000" w:themeColor="text1"/>
        </w:rPr>
      </w:pPr>
      <w:r>
        <w:rPr>
          <w:rFonts w:cs="Arial" w:hint="eastAsia"/>
          <w:color w:val="000000" w:themeColor="text1"/>
        </w:rPr>
        <w:t>单位：</w:t>
      </w:r>
      <w:sdt>
        <w:sdtPr>
          <w:rPr>
            <w:rFonts w:cs="Arial" w:hint="eastAsia"/>
            <w:color w:val="000000" w:themeColor="text1"/>
          </w:rPr>
          <w:alias w:val="单位：财务附注：被购买方于购买日可辨认资产、负债"/>
          <w:tag w:val="_GBC_fe3b0ed5978941cd84d579dc509a4b5e"/>
          <w:id w:val="10554322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cs="Arial" w:hint="eastAsia"/>
              <w:color w:val="000000" w:themeColor="text1"/>
            </w:rPr>
            <w:t>元</w:t>
          </w:r>
        </w:sdtContent>
      </w:sdt>
      <w:r>
        <w:rPr>
          <w:rFonts w:cs="Arial" w:hint="eastAsia"/>
          <w:color w:val="000000" w:themeColor="text1"/>
        </w:rPr>
        <w:t xml:space="preserve">  币种：</w:t>
      </w:r>
      <w:sdt>
        <w:sdtPr>
          <w:rPr>
            <w:rFonts w:cs="Arial" w:hint="eastAsia"/>
            <w:color w:val="000000" w:themeColor="text1"/>
          </w:rPr>
          <w:alias w:val="币种：财务附注：被购买方于购买日可辨认资产、负债"/>
          <w:tag w:val="_GBC_83c566a361664b7c893465ef7708f711"/>
          <w:id w:val="17000410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cs="Arial" w:hint="eastAsia"/>
              <w:color w:val="000000" w:themeColor="text1"/>
            </w:rPr>
            <w:t>人民币</w:t>
          </w:r>
        </w:sdtContent>
      </w:sdt>
    </w:p>
    <w:tbl>
      <w:tblPr>
        <w:tblStyle w:val="g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698"/>
        <w:gridCol w:w="3682"/>
      </w:tblGrid>
      <w:tr w:rsidR="000C5659">
        <w:trPr>
          <w:jc w:val="center"/>
        </w:trPr>
        <w:tc>
          <w:tcPr>
            <w:tcW w:w="1480" w:type="dxa"/>
            <w:vMerge w:val="restart"/>
            <w:shd w:val="clear" w:color="auto" w:fill="auto"/>
          </w:tcPr>
          <w:p w:rsidR="000C5659" w:rsidRDefault="000C5659">
            <w:pPr>
              <w:rPr>
                <w:rFonts w:cs="Arial"/>
                <w:color w:val="000000" w:themeColor="text1"/>
              </w:rPr>
            </w:pPr>
          </w:p>
        </w:tc>
        <w:tc>
          <w:tcPr>
            <w:tcW w:w="7569" w:type="dxa"/>
            <w:gridSpan w:val="2"/>
            <w:shd w:val="clear" w:color="auto" w:fill="auto"/>
            <w:vAlign w:val="center"/>
          </w:tcPr>
          <w:sdt>
            <w:sdtPr>
              <w:rPr>
                <w:rFonts w:cs="Arial" w:hint="eastAsia"/>
                <w:color w:val="000000" w:themeColor="text1"/>
                <w:lang w:val="en-GB"/>
              </w:rPr>
              <w:alias w:val="被购买方于购买日可辨认资产、负债明细-公司名称"/>
              <w:tag w:val="_GBC_d4fb67d4c1514739bef962c72f680d84"/>
              <w:id w:val="147473507"/>
            </w:sdtPr>
            <w:sdtEndPr/>
            <w:sdtContent>
              <w:p w:rsidR="000C5659" w:rsidRDefault="000E33C4">
                <w:pPr>
                  <w:jc w:val="center"/>
                  <w:rPr>
                    <w:rFonts w:cs="Arial"/>
                    <w:color w:val="000000" w:themeColor="text1"/>
                    <w:lang w:val="en-GB"/>
                  </w:rPr>
                </w:pPr>
                <w:r>
                  <w:rPr>
                    <w:rFonts w:cs="Arial" w:hint="eastAsia"/>
                    <w:color w:val="000000" w:themeColor="text1"/>
                    <w:lang w:val="en-GB"/>
                  </w:rPr>
                  <w:t>善恩康生物科技（苏州）有限公司</w:t>
                </w:r>
              </w:p>
            </w:sdtContent>
          </w:sdt>
          <w:p w:rsidR="000C5659" w:rsidRDefault="000C5659">
            <w:pPr>
              <w:jc w:val="center"/>
              <w:rPr>
                <w:rFonts w:cs="Arial"/>
                <w:color w:val="000000" w:themeColor="text1"/>
                <w:lang w:val="en-GB"/>
              </w:rPr>
            </w:pPr>
          </w:p>
        </w:tc>
      </w:tr>
      <w:tr w:rsidR="000C5659">
        <w:trPr>
          <w:trHeight w:hRule="exact" w:val="291"/>
          <w:jc w:val="center"/>
        </w:trPr>
        <w:tc>
          <w:tcPr>
            <w:tcW w:w="1480" w:type="dxa"/>
            <w:vMerge/>
            <w:shd w:val="clear" w:color="auto" w:fill="auto"/>
            <w:vAlign w:val="center"/>
          </w:tcPr>
          <w:p w:rsidR="000C5659" w:rsidRDefault="000C5659">
            <w:pPr>
              <w:jc w:val="center"/>
              <w:rPr>
                <w:rFonts w:cs="Arial"/>
                <w:color w:val="000000" w:themeColor="text1"/>
              </w:rPr>
            </w:pPr>
          </w:p>
        </w:tc>
        <w:tc>
          <w:tcPr>
            <w:tcW w:w="3793" w:type="dxa"/>
            <w:shd w:val="clear" w:color="auto" w:fill="auto"/>
            <w:vAlign w:val="center"/>
          </w:tcPr>
          <w:p w:rsidR="000C5659" w:rsidRDefault="000E33C4">
            <w:pPr>
              <w:jc w:val="center"/>
              <w:rPr>
                <w:rFonts w:cs="Arial"/>
                <w:color w:val="000000" w:themeColor="text1"/>
              </w:rPr>
            </w:pPr>
            <w:r>
              <w:rPr>
                <w:rFonts w:cs="Arial" w:hint="eastAsia"/>
                <w:color w:val="000000" w:themeColor="text1"/>
                <w:kern w:val="2"/>
                <w:lang w:val="en-GB"/>
              </w:rPr>
              <w:t>购买日公允价值</w:t>
            </w:r>
          </w:p>
        </w:tc>
        <w:tc>
          <w:tcPr>
            <w:tcW w:w="3776" w:type="dxa"/>
            <w:vAlign w:val="center"/>
          </w:tcPr>
          <w:p w:rsidR="000C5659" w:rsidRDefault="000E33C4">
            <w:pPr>
              <w:jc w:val="center"/>
              <w:rPr>
                <w:rFonts w:cs="Arial"/>
                <w:color w:val="000000" w:themeColor="text1"/>
                <w:lang w:val="en-GB"/>
              </w:rPr>
            </w:pPr>
            <w:r>
              <w:rPr>
                <w:rFonts w:cs="Arial" w:hint="eastAsia"/>
                <w:color w:val="000000" w:themeColor="text1"/>
                <w:lang w:val="en-GB"/>
              </w:rPr>
              <w:t>购买日账面价值</w:t>
            </w:r>
          </w:p>
        </w:tc>
      </w:tr>
      <w:tr w:rsidR="000C5659">
        <w:trPr>
          <w:jc w:val="center"/>
        </w:trPr>
        <w:tc>
          <w:tcPr>
            <w:tcW w:w="1480" w:type="dxa"/>
            <w:shd w:val="clear" w:color="auto" w:fill="auto"/>
            <w:vAlign w:val="center"/>
          </w:tcPr>
          <w:p w:rsidR="000C5659" w:rsidRDefault="000E33C4">
            <w:pPr>
              <w:rPr>
                <w:rFonts w:cs="Arial"/>
                <w:color w:val="000000" w:themeColor="text1"/>
              </w:rPr>
            </w:pPr>
            <w:r>
              <w:rPr>
                <w:rFonts w:cs="Arial" w:hint="eastAsia"/>
                <w:color w:val="000000" w:themeColor="text1"/>
                <w:lang w:val="en-GB"/>
              </w:rPr>
              <w:t>资产：</w:t>
            </w:r>
          </w:p>
        </w:tc>
        <w:tc>
          <w:tcPr>
            <w:tcW w:w="3793" w:type="dxa"/>
            <w:shd w:val="clear" w:color="auto" w:fill="auto"/>
            <w:vAlign w:val="center"/>
          </w:tcPr>
          <w:p w:rsidR="000C5659" w:rsidRDefault="000E33C4">
            <w:pPr>
              <w:jc w:val="right"/>
              <w:textAlignment w:val="center"/>
              <w:rPr>
                <w:rFonts w:cs="Arial"/>
              </w:rPr>
            </w:pPr>
            <w:r>
              <w:rPr>
                <w:rFonts w:hint="eastAsia"/>
                <w:color w:val="000000"/>
                <w:lang w:bidi="ar"/>
              </w:rPr>
              <w:t>148,402,804.28</w:t>
            </w:r>
          </w:p>
        </w:tc>
        <w:tc>
          <w:tcPr>
            <w:tcW w:w="3776" w:type="dxa"/>
            <w:vAlign w:val="center"/>
          </w:tcPr>
          <w:p w:rsidR="000C5659" w:rsidRDefault="000E33C4">
            <w:pPr>
              <w:jc w:val="right"/>
              <w:textAlignment w:val="center"/>
            </w:pPr>
            <w:r>
              <w:rPr>
                <w:rFonts w:hint="eastAsia"/>
                <w:color w:val="000000"/>
                <w:lang w:bidi="ar"/>
              </w:rPr>
              <w:t>129,521,184.71</w:t>
            </w:r>
          </w:p>
        </w:tc>
      </w:tr>
      <w:tr w:rsidR="000C5659">
        <w:trPr>
          <w:jc w:val="center"/>
        </w:trPr>
        <w:tc>
          <w:tcPr>
            <w:tcW w:w="1480" w:type="dxa"/>
            <w:shd w:val="clear" w:color="auto" w:fill="auto"/>
            <w:vAlign w:val="center"/>
          </w:tcPr>
          <w:p w:rsidR="000C5659" w:rsidRDefault="000E33C4">
            <w:pPr>
              <w:rPr>
                <w:rFonts w:cs="Arial"/>
                <w:color w:val="000000" w:themeColor="text1"/>
                <w:lang w:val="en-GB"/>
              </w:rPr>
            </w:pPr>
            <w:r>
              <w:rPr>
                <w:rFonts w:cs="Arial" w:hint="eastAsia"/>
                <w:color w:val="000000" w:themeColor="text1"/>
                <w:lang w:val="en-GB"/>
              </w:rPr>
              <w:t>货币资金</w:t>
            </w:r>
          </w:p>
        </w:tc>
        <w:tc>
          <w:tcPr>
            <w:tcW w:w="3793" w:type="dxa"/>
            <w:shd w:val="clear" w:color="auto" w:fill="auto"/>
            <w:vAlign w:val="center"/>
          </w:tcPr>
          <w:p w:rsidR="000C5659" w:rsidRDefault="000E33C4">
            <w:pPr>
              <w:jc w:val="right"/>
              <w:textAlignment w:val="center"/>
              <w:rPr>
                <w:rFonts w:cs="Arial"/>
              </w:rPr>
            </w:pPr>
            <w:r>
              <w:rPr>
                <w:rFonts w:hint="eastAsia"/>
                <w:color w:val="000000"/>
                <w:lang w:bidi="ar"/>
              </w:rPr>
              <w:t>12,059,472.75</w:t>
            </w:r>
          </w:p>
        </w:tc>
        <w:tc>
          <w:tcPr>
            <w:tcW w:w="3776" w:type="dxa"/>
            <w:vAlign w:val="center"/>
          </w:tcPr>
          <w:p w:rsidR="000C5659" w:rsidRDefault="000E33C4">
            <w:pPr>
              <w:jc w:val="right"/>
              <w:textAlignment w:val="center"/>
              <w:rPr>
                <w:rFonts w:cs="Arial"/>
              </w:rPr>
            </w:pPr>
            <w:r>
              <w:rPr>
                <w:rFonts w:hint="eastAsia"/>
                <w:color w:val="000000"/>
                <w:lang w:bidi="ar"/>
              </w:rPr>
              <w:t>12,059,472.75</w:t>
            </w:r>
          </w:p>
        </w:tc>
      </w:tr>
      <w:tr w:rsidR="000C5659">
        <w:trPr>
          <w:jc w:val="center"/>
        </w:trPr>
        <w:tc>
          <w:tcPr>
            <w:tcW w:w="1480" w:type="dxa"/>
            <w:shd w:val="clear" w:color="auto" w:fill="auto"/>
            <w:vAlign w:val="center"/>
          </w:tcPr>
          <w:p w:rsidR="000C5659" w:rsidRDefault="000E33C4">
            <w:pPr>
              <w:rPr>
                <w:rFonts w:cs="Arial"/>
                <w:color w:val="000000" w:themeColor="text1"/>
                <w:lang w:val="en-GB"/>
              </w:rPr>
            </w:pPr>
            <w:r>
              <w:rPr>
                <w:rFonts w:cs="Arial" w:hint="eastAsia"/>
                <w:color w:val="000000" w:themeColor="text1"/>
                <w:lang w:val="en-GB"/>
              </w:rPr>
              <w:t>应收款项</w:t>
            </w:r>
          </w:p>
        </w:tc>
        <w:tc>
          <w:tcPr>
            <w:tcW w:w="3793" w:type="dxa"/>
            <w:shd w:val="clear" w:color="auto" w:fill="auto"/>
            <w:vAlign w:val="center"/>
          </w:tcPr>
          <w:p w:rsidR="000C5659" w:rsidRDefault="000E33C4">
            <w:pPr>
              <w:jc w:val="right"/>
              <w:textAlignment w:val="center"/>
              <w:rPr>
                <w:rFonts w:cs="Arial"/>
              </w:rPr>
            </w:pPr>
            <w:r>
              <w:rPr>
                <w:rFonts w:hint="eastAsia"/>
                <w:color w:val="000000"/>
                <w:lang w:bidi="ar"/>
              </w:rPr>
              <w:t>5,344,209.35</w:t>
            </w:r>
          </w:p>
        </w:tc>
        <w:tc>
          <w:tcPr>
            <w:tcW w:w="3776" w:type="dxa"/>
            <w:vAlign w:val="center"/>
          </w:tcPr>
          <w:p w:rsidR="000C5659" w:rsidRDefault="000E33C4">
            <w:pPr>
              <w:jc w:val="right"/>
              <w:textAlignment w:val="center"/>
              <w:rPr>
                <w:rFonts w:cs="Arial"/>
              </w:rPr>
            </w:pPr>
            <w:r>
              <w:rPr>
                <w:rFonts w:hint="eastAsia"/>
                <w:color w:val="000000"/>
                <w:lang w:bidi="ar"/>
              </w:rPr>
              <w:t>5,344,209.35</w:t>
            </w:r>
          </w:p>
        </w:tc>
      </w:tr>
      <w:tr w:rsidR="000C5659">
        <w:trPr>
          <w:jc w:val="center"/>
        </w:trPr>
        <w:tc>
          <w:tcPr>
            <w:tcW w:w="1480" w:type="dxa"/>
            <w:shd w:val="clear" w:color="auto" w:fill="auto"/>
            <w:vAlign w:val="center"/>
          </w:tcPr>
          <w:p w:rsidR="000C5659" w:rsidRDefault="000E33C4">
            <w:pPr>
              <w:rPr>
                <w:rFonts w:cs="Arial"/>
                <w:color w:val="000000" w:themeColor="text1"/>
                <w:lang w:val="en-GB"/>
              </w:rPr>
            </w:pPr>
            <w:r>
              <w:rPr>
                <w:rFonts w:cs="Arial" w:hint="eastAsia"/>
                <w:color w:val="000000" w:themeColor="text1"/>
                <w:lang w:val="en-GB"/>
              </w:rPr>
              <w:t>存货</w:t>
            </w:r>
          </w:p>
        </w:tc>
        <w:tc>
          <w:tcPr>
            <w:tcW w:w="3793" w:type="dxa"/>
            <w:shd w:val="clear" w:color="auto" w:fill="auto"/>
            <w:vAlign w:val="center"/>
          </w:tcPr>
          <w:p w:rsidR="000C5659" w:rsidRDefault="000E33C4">
            <w:pPr>
              <w:jc w:val="right"/>
              <w:textAlignment w:val="center"/>
              <w:rPr>
                <w:rFonts w:cs="Arial"/>
              </w:rPr>
            </w:pPr>
            <w:r>
              <w:rPr>
                <w:rFonts w:hint="eastAsia"/>
                <w:color w:val="000000"/>
                <w:lang w:bidi="ar"/>
              </w:rPr>
              <w:t>14,457,550.15</w:t>
            </w:r>
          </w:p>
        </w:tc>
        <w:tc>
          <w:tcPr>
            <w:tcW w:w="3776" w:type="dxa"/>
            <w:vAlign w:val="center"/>
          </w:tcPr>
          <w:p w:rsidR="000C5659" w:rsidRDefault="000E33C4">
            <w:pPr>
              <w:jc w:val="right"/>
              <w:textAlignment w:val="center"/>
              <w:rPr>
                <w:rFonts w:cs="Arial"/>
              </w:rPr>
            </w:pPr>
            <w:r>
              <w:rPr>
                <w:rFonts w:hint="eastAsia"/>
                <w:color w:val="000000"/>
                <w:lang w:bidi="ar"/>
              </w:rPr>
              <w:t>12,051,349.02</w:t>
            </w:r>
          </w:p>
        </w:tc>
      </w:tr>
      <w:tr w:rsidR="000C5659">
        <w:trPr>
          <w:jc w:val="center"/>
        </w:trPr>
        <w:tc>
          <w:tcPr>
            <w:tcW w:w="1480" w:type="dxa"/>
            <w:shd w:val="clear" w:color="auto" w:fill="auto"/>
            <w:vAlign w:val="center"/>
          </w:tcPr>
          <w:p w:rsidR="000C5659" w:rsidRDefault="000E33C4">
            <w:pPr>
              <w:rPr>
                <w:rFonts w:cs="Arial"/>
                <w:color w:val="000000" w:themeColor="text1"/>
                <w:lang w:val="en-GB"/>
              </w:rPr>
            </w:pPr>
            <w:r>
              <w:rPr>
                <w:rFonts w:cs="Arial" w:hint="eastAsia"/>
                <w:color w:val="000000" w:themeColor="text1"/>
                <w:lang w:val="en-GB"/>
              </w:rPr>
              <w:t>固定资产</w:t>
            </w:r>
          </w:p>
        </w:tc>
        <w:tc>
          <w:tcPr>
            <w:tcW w:w="3793" w:type="dxa"/>
            <w:shd w:val="clear" w:color="auto" w:fill="auto"/>
            <w:vAlign w:val="center"/>
          </w:tcPr>
          <w:p w:rsidR="000C5659" w:rsidRDefault="000E33C4">
            <w:pPr>
              <w:jc w:val="right"/>
              <w:textAlignment w:val="center"/>
              <w:rPr>
                <w:rFonts w:cs="Arial"/>
              </w:rPr>
            </w:pPr>
            <w:r>
              <w:rPr>
                <w:rFonts w:hint="eastAsia"/>
                <w:color w:val="000000"/>
                <w:lang w:bidi="ar"/>
              </w:rPr>
              <w:t>58,960,546.00</w:t>
            </w:r>
          </w:p>
        </w:tc>
        <w:tc>
          <w:tcPr>
            <w:tcW w:w="3776" w:type="dxa"/>
            <w:vAlign w:val="center"/>
          </w:tcPr>
          <w:p w:rsidR="000C5659" w:rsidRDefault="000E33C4">
            <w:pPr>
              <w:jc w:val="right"/>
              <w:textAlignment w:val="center"/>
              <w:rPr>
                <w:rFonts w:cs="Arial"/>
              </w:rPr>
            </w:pPr>
            <w:r>
              <w:rPr>
                <w:rFonts w:hint="eastAsia"/>
                <w:color w:val="000000"/>
                <w:lang w:bidi="ar"/>
              </w:rPr>
              <w:t>55,035,885.90</w:t>
            </w:r>
          </w:p>
        </w:tc>
      </w:tr>
      <w:tr w:rsidR="000C5659">
        <w:trPr>
          <w:jc w:val="center"/>
        </w:trPr>
        <w:tc>
          <w:tcPr>
            <w:tcW w:w="1480" w:type="dxa"/>
            <w:shd w:val="clear" w:color="auto" w:fill="auto"/>
            <w:vAlign w:val="center"/>
          </w:tcPr>
          <w:p w:rsidR="000C5659" w:rsidRDefault="000E33C4">
            <w:pPr>
              <w:rPr>
                <w:rFonts w:cs="Arial"/>
                <w:color w:val="000000" w:themeColor="text1"/>
                <w:lang w:val="en-GB"/>
              </w:rPr>
            </w:pPr>
            <w:r>
              <w:rPr>
                <w:rFonts w:cs="Arial" w:hint="eastAsia"/>
                <w:color w:val="000000" w:themeColor="text1"/>
                <w:lang w:val="en-GB"/>
              </w:rPr>
              <w:t>无形资产</w:t>
            </w:r>
          </w:p>
        </w:tc>
        <w:tc>
          <w:tcPr>
            <w:tcW w:w="3793" w:type="dxa"/>
            <w:shd w:val="clear" w:color="auto" w:fill="auto"/>
            <w:vAlign w:val="center"/>
          </w:tcPr>
          <w:p w:rsidR="000C5659" w:rsidRDefault="000E33C4">
            <w:pPr>
              <w:jc w:val="right"/>
              <w:textAlignment w:val="center"/>
              <w:rPr>
                <w:rFonts w:cs="Arial"/>
              </w:rPr>
            </w:pPr>
            <w:r>
              <w:rPr>
                <w:rFonts w:hint="eastAsia"/>
                <w:color w:val="000000"/>
                <w:lang w:bidi="ar"/>
              </w:rPr>
              <w:t>17,076,097.52</w:t>
            </w:r>
          </w:p>
        </w:tc>
        <w:tc>
          <w:tcPr>
            <w:tcW w:w="3776" w:type="dxa"/>
            <w:vAlign w:val="center"/>
          </w:tcPr>
          <w:p w:rsidR="000C5659" w:rsidRDefault="000E33C4">
            <w:pPr>
              <w:jc w:val="right"/>
              <w:textAlignment w:val="center"/>
              <w:rPr>
                <w:rFonts w:cs="Arial"/>
              </w:rPr>
            </w:pPr>
            <w:r>
              <w:rPr>
                <w:rFonts w:hint="eastAsia"/>
                <w:color w:val="000000"/>
                <w:lang w:bidi="ar"/>
              </w:rPr>
              <w:t>5,505,843.78</w:t>
            </w:r>
          </w:p>
        </w:tc>
      </w:tr>
      <w:tr w:rsidR="000C5659">
        <w:trPr>
          <w:jc w:val="center"/>
        </w:trPr>
        <w:tc>
          <w:tcPr>
            <w:tcW w:w="1480" w:type="dxa"/>
            <w:shd w:val="clear" w:color="auto" w:fill="FFFFFF"/>
          </w:tcPr>
          <w:p w:rsidR="000C5659" w:rsidRDefault="000E33C4">
            <w:r>
              <w:rPr>
                <w:rFonts w:hint="eastAsia"/>
              </w:rPr>
              <w:t>预付款项</w:t>
            </w:r>
          </w:p>
        </w:tc>
        <w:tc>
          <w:tcPr>
            <w:tcW w:w="3793" w:type="dxa"/>
            <w:vAlign w:val="center"/>
          </w:tcPr>
          <w:p w:rsidR="000C5659" w:rsidRDefault="000E33C4">
            <w:pPr>
              <w:jc w:val="right"/>
              <w:textAlignment w:val="center"/>
              <w:rPr>
                <w:color w:val="000000"/>
              </w:rPr>
            </w:pPr>
            <w:r>
              <w:rPr>
                <w:rFonts w:hint="eastAsia"/>
                <w:color w:val="000000"/>
                <w:lang w:bidi="ar"/>
              </w:rPr>
              <w:t>6,374,874.52</w:t>
            </w:r>
          </w:p>
        </w:tc>
        <w:tc>
          <w:tcPr>
            <w:tcW w:w="3776" w:type="dxa"/>
            <w:vAlign w:val="center"/>
          </w:tcPr>
          <w:p w:rsidR="000C5659" w:rsidRDefault="000E33C4">
            <w:pPr>
              <w:jc w:val="right"/>
              <w:textAlignment w:val="center"/>
              <w:rPr>
                <w:color w:val="000000"/>
              </w:rPr>
            </w:pPr>
            <w:r>
              <w:rPr>
                <w:rFonts w:hint="eastAsia"/>
                <w:color w:val="000000"/>
                <w:lang w:bidi="ar"/>
              </w:rPr>
              <w:t>6,374,874.52</w:t>
            </w:r>
          </w:p>
        </w:tc>
      </w:tr>
      <w:tr w:rsidR="000C5659">
        <w:trPr>
          <w:trHeight w:val="220"/>
          <w:jc w:val="center"/>
        </w:trPr>
        <w:tc>
          <w:tcPr>
            <w:tcW w:w="1480" w:type="dxa"/>
            <w:shd w:val="clear" w:color="auto" w:fill="FFFFFF"/>
          </w:tcPr>
          <w:p w:rsidR="000C5659" w:rsidRDefault="000E33C4">
            <w:pPr>
              <w:rPr>
                <w:rFonts w:cs="Arial"/>
              </w:rPr>
            </w:pPr>
            <w:r>
              <w:rPr>
                <w:rFonts w:hint="eastAsia"/>
              </w:rPr>
              <w:t>其他应收款</w:t>
            </w:r>
          </w:p>
        </w:tc>
        <w:tc>
          <w:tcPr>
            <w:tcW w:w="3793" w:type="dxa"/>
            <w:vAlign w:val="center"/>
          </w:tcPr>
          <w:p w:rsidR="000C5659" w:rsidRDefault="000E33C4">
            <w:pPr>
              <w:jc w:val="right"/>
              <w:textAlignment w:val="center"/>
              <w:rPr>
                <w:rFonts w:cs="Arial"/>
              </w:rPr>
            </w:pPr>
            <w:r>
              <w:rPr>
                <w:rFonts w:hint="eastAsia"/>
                <w:color w:val="000000"/>
                <w:lang w:bidi="ar"/>
              </w:rPr>
              <w:t>1,395,714.28</w:t>
            </w:r>
          </w:p>
        </w:tc>
        <w:tc>
          <w:tcPr>
            <w:tcW w:w="3776" w:type="dxa"/>
            <w:vAlign w:val="center"/>
          </w:tcPr>
          <w:p w:rsidR="000C5659" w:rsidRDefault="000E33C4">
            <w:pPr>
              <w:jc w:val="right"/>
              <w:textAlignment w:val="center"/>
            </w:pPr>
            <w:r>
              <w:rPr>
                <w:rFonts w:hint="eastAsia"/>
                <w:color w:val="000000"/>
                <w:lang w:bidi="ar"/>
              </w:rPr>
              <w:t>415,209.68</w:t>
            </w:r>
          </w:p>
        </w:tc>
      </w:tr>
      <w:tr w:rsidR="000C5659">
        <w:trPr>
          <w:jc w:val="center"/>
        </w:trPr>
        <w:tc>
          <w:tcPr>
            <w:tcW w:w="1480" w:type="dxa"/>
            <w:shd w:val="clear" w:color="auto" w:fill="FFFFFF"/>
          </w:tcPr>
          <w:p w:rsidR="000C5659" w:rsidRDefault="000E33C4">
            <w:pPr>
              <w:rPr>
                <w:rFonts w:cs="Arial"/>
                <w:color w:val="000000" w:themeColor="text1"/>
              </w:rPr>
            </w:pPr>
            <w:r>
              <w:rPr>
                <w:rFonts w:hint="eastAsia"/>
                <w:color w:val="000000" w:themeColor="text1"/>
              </w:rPr>
              <w:t>长期应收款</w:t>
            </w:r>
          </w:p>
        </w:tc>
        <w:tc>
          <w:tcPr>
            <w:tcW w:w="3793" w:type="dxa"/>
            <w:vAlign w:val="center"/>
          </w:tcPr>
          <w:p w:rsidR="000C5659" w:rsidRDefault="000E33C4">
            <w:pPr>
              <w:jc w:val="right"/>
              <w:textAlignment w:val="center"/>
              <w:rPr>
                <w:rFonts w:cs="Arial"/>
                <w:color w:val="000000" w:themeColor="text1"/>
              </w:rPr>
            </w:pPr>
            <w:r>
              <w:rPr>
                <w:rFonts w:hint="eastAsia"/>
                <w:color w:val="000000"/>
                <w:lang w:bidi="ar"/>
              </w:rPr>
              <w:t>135,396.00</w:t>
            </w:r>
          </w:p>
        </w:tc>
        <w:tc>
          <w:tcPr>
            <w:tcW w:w="3776" w:type="dxa"/>
            <w:vAlign w:val="center"/>
          </w:tcPr>
          <w:p w:rsidR="000C5659" w:rsidRDefault="000E33C4">
            <w:pPr>
              <w:jc w:val="right"/>
              <w:textAlignment w:val="center"/>
              <w:rPr>
                <w:color w:val="000000" w:themeColor="text1"/>
              </w:rPr>
            </w:pPr>
            <w:r>
              <w:rPr>
                <w:rFonts w:hint="eastAsia"/>
                <w:color w:val="000000"/>
                <w:lang w:bidi="ar"/>
              </w:rPr>
              <w:t>135,396.00</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在建工程</w:t>
            </w:r>
          </w:p>
        </w:tc>
        <w:tc>
          <w:tcPr>
            <w:tcW w:w="3793" w:type="dxa"/>
            <w:vAlign w:val="center"/>
          </w:tcPr>
          <w:p w:rsidR="000C5659" w:rsidRDefault="000E33C4">
            <w:pPr>
              <w:jc w:val="right"/>
              <w:textAlignment w:val="center"/>
              <w:rPr>
                <w:color w:val="000000"/>
              </w:rPr>
            </w:pPr>
            <w:r>
              <w:rPr>
                <w:rFonts w:hint="eastAsia"/>
                <w:color w:val="000000"/>
                <w:lang w:bidi="ar"/>
              </w:rPr>
              <w:t>19,832,904.12</w:t>
            </w:r>
          </w:p>
        </w:tc>
        <w:tc>
          <w:tcPr>
            <w:tcW w:w="3776" w:type="dxa"/>
            <w:vAlign w:val="center"/>
          </w:tcPr>
          <w:p w:rsidR="000C5659" w:rsidRDefault="000E33C4">
            <w:pPr>
              <w:jc w:val="right"/>
              <w:textAlignment w:val="center"/>
              <w:rPr>
                <w:color w:val="000000"/>
              </w:rPr>
            </w:pPr>
            <w:r>
              <w:rPr>
                <w:rFonts w:hint="eastAsia"/>
                <w:color w:val="000000"/>
                <w:lang w:bidi="ar"/>
              </w:rPr>
              <w:t>19,832,904.12</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使用权资产</w:t>
            </w:r>
          </w:p>
        </w:tc>
        <w:tc>
          <w:tcPr>
            <w:tcW w:w="3793" w:type="dxa"/>
            <w:vAlign w:val="center"/>
          </w:tcPr>
          <w:p w:rsidR="000C5659" w:rsidRDefault="000E33C4">
            <w:pPr>
              <w:jc w:val="right"/>
              <w:textAlignment w:val="center"/>
              <w:rPr>
                <w:color w:val="000000"/>
              </w:rPr>
            </w:pPr>
            <w:r>
              <w:rPr>
                <w:rFonts w:hint="eastAsia"/>
                <w:color w:val="000000"/>
                <w:lang w:bidi="ar"/>
              </w:rPr>
              <w:t>4,138,569.67</w:t>
            </w:r>
          </w:p>
        </w:tc>
        <w:tc>
          <w:tcPr>
            <w:tcW w:w="3776" w:type="dxa"/>
            <w:vAlign w:val="center"/>
          </w:tcPr>
          <w:p w:rsidR="000C5659" w:rsidRDefault="000E33C4">
            <w:pPr>
              <w:jc w:val="right"/>
              <w:textAlignment w:val="center"/>
              <w:rPr>
                <w:color w:val="000000"/>
              </w:rPr>
            </w:pPr>
            <w:r>
              <w:rPr>
                <w:rFonts w:hint="eastAsia"/>
                <w:color w:val="000000"/>
                <w:lang w:bidi="ar"/>
              </w:rPr>
              <w:t>4,138,569.67</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lastRenderedPageBreak/>
              <w:t>长期待摊费用</w:t>
            </w:r>
          </w:p>
        </w:tc>
        <w:tc>
          <w:tcPr>
            <w:tcW w:w="3793" w:type="dxa"/>
            <w:vAlign w:val="center"/>
          </w:tcPr>
          <w:p w:rsidR="000C5659" w:rsidRDefault="000E33C4">
            <w:pPr>
              <w:jc w:val="right"/>
              <w:textAlignment w:val="center"/>
              <w:rPr>
                <w:color w:val="000000"/>
              </w:rPr>
            </w:pPr>
            <w:r>
              <w:rPr>
                <w:rFonts w:hint="eastAsia"/>
                <w:color w:val="000000"/>
                <w:lang w:bidi="ar"/>
              </w:rPr>
              <w:t>32,164.67</w:t>
            </w:r>
          </w:p>
        </w:tc>
        <w:tc>
          <w:tcPr>
            <w:tcW w:w="3776" w:type="dxa"/>
            <w:vAlign w:val="center"/>
          </w:tcPr>
          <w:p w:rsidR="000C5659" w:rsidRDefault="000E33C4">
            <w:pPr>
              <w:jc w:val="right"/>
              <w:textAlignment w:val="center"/>
              <w:rPr>
                <w:color w:val="000000"/>
              </w:rPr>
            </w:pPr>
            <w:r>
              <w:rPr>
                <w:rFonts w:hint="eastAsia"/>
                <w:color w:val="000000"/>
                <w:lang w:bidi="ar"/>
              </w:rPr>
              <w:t>32,164.67</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其他流动资产</w:t>
            </w:r>
          </w:p>
        </w:tc>
        <w:tc>
          <w:tcPr>
            <w:tcW w:w="3793" w:type="dxa"/>
            <w:vAlign w:val="center"/>
          </w:tcPr>
          <w:p w:rsidR="000C5659" w:rsidRDefault="000E33C4">
            <w:pPr>
              <w:jc w:val="right"/>
              <w:textAlignment w:val="center"/>
              <w:rPr>
                <w:color w:val="000000"/>
              </w:rPr>
            </w:pPr>
            <w:r>
              <w:rPr>
                <w:rFonts w:hint="eastAsia"/>
                <w:color w:val="000000"/>
                <w:lang w:bidi="ar"/>
              </w:rPr>
              <w:t>2,219,904.15</w:t>
            </w:r>
          </w:p>
        </w:tc>
        <w:tc>
          <w:tcPr>
            <w:tcW w:w="3776" w:type="dxa"/>
            <w:vAlign w:val="center"/>
          </w:tcPr>
          <w:p w:rsidR="000C5659" w:rsidRDefault="000E33C4">
            <w:pPr>
              <w:jc w:val="right"/>
              <w:textAlignment w:val="center"/>
              <w:rPr>
                <w:color w:val="000000"/>
              </w:rPr>
            </w:pPr>
            <w:r>
              <w:rPr>
                <w:rFonts w:hint="eastAsia"/>
                <w:color w:val="000000"/>
                <w:lang w:bidi="ar"/>
              </w:rPr>
              <w:t>2,219,904.15</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递延所得税资产</w:t>
            </w:r>
          </w:p>
        </w:tc>
        <w:tc>
          <w:tcPr>
            <w:tcW w:w="3793" w:type="dxa"/>
            <w:vAlign w:val="center"/>
          </w:tcPr>
          <w:p w:rsidR="000C5659" w:rsidRDefault="000E33C4">
            <w:pPr>
              <w:jc w:val="right"/>
              <w:textAlignment w:val="center"/>
              <w:rPr>
                <w:color w:val="000000"/>
              </w:rPr>
            </w:pPr>
            <w:r>
              <w:rPr>
                <w:rFonts w:hint="eastAsia"/>
                <w:color w:val="000000"/>
                <w:lang w:bidi="ar"/>
              </w:rPr>
              <w:t>1,859,061.53</w:t>
            </w:r>
          </w:p>
        </w:tc>
        <w:tc>
          <w:tcPr>
            <w:tcW w:w="3776" w:type="dxa"/>
            <w:vAlign w:val="center"/>
          </w:tcPr>
          <w:p w:rsidR="000C5659" w:rsidRDefault="000E33C4">
            <w:pPr>
              <w:jc w:val="right"/>
              <w:textAlignment w:val="center"/>
              <w:rPr>
                <w:color w:val="000000"/>
              </w:rPr>
            </w:pPr>
            <w:r>
              <w:rPr>
                <w:rFonts w:hint="eastAsia"/>
                <w:color w:val="000000"/>
                <w:lang w:bidi="ar"/>
              </w:rPr>
              <w:t>1,859,061.53</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其他非流动资产</w:t>
            </w:r>
          </w:p>
        </w:tc>
        <w:tc>
          <w:tcPr>
            <w:tcW w:w="3793" w:type="dxa"/>
            <w:vAlign w:val="center"/>
          </w:tcPr>
          <w:p w:rsidR="000C5659" w:rsidRDefault="000E33C4">
            <w:pPr>
              <w:jc w:val="right"/>
              <w:textAlignment w:val="center"/>
              <w:rPr>
                <w:color w:val="000000"/>
              </w:rPr>
            </w:pPr>
            <w:r>
              <w:rPr>
                <w:rFonts w:hint="eastAsia"/>
                <w:color w:val="000000"/>
                <w:lang w:bidi="ar"/>
              </w:rPr>
              <w:t>4,516,339.57</w:t>
            </w:r>
          </w:p>
        </w:tc>
        <w:tc>
          <w:tcPr>
            <w:tcW w:w="3776" w:type="dxa"/>
            <w:vAlign w:val="center"/>
          </w:tcPr>
          <w:p w:rsidR="000C5659" w:rsidRDefault="000E33C4">
            <w:pPr>
              <w:jc w:val="right"/>
              <w:textAlignment w:val="center"/>
              <w:rPr>
                <w:color w:val="000000"/>
              </w:rPr>
            </w:pPr>
            <w:r>
              <w:rPr>
                <w:rFonts w:hint="eastAsia"/>
                <w:color w:val="000000"/>
                <w:lang w:bidi="ar"/>
              </w:rPr>
              <w:t>4,516,339.57</w:t>
            </w:r>
          </w:p>
        </w:tc>
      </w:tr>
      <w:tr w:rsidR="000C5659">
        <w:trPr>
          <w:jc w:val="center"/>
        </w:trPr>
        <w:tc>
          <w:tcPr>
            <w:tcW w:w="1480" w:type="dxa"/>
            <w:shd w:val="clear" w:color="auto" w:fill="FFFFFF"/>
          </w:tcPr>
          <w:p w:rsidR="000C5659" w:rsidRDefault="000C5659">
            <w:pPr>
              <w:rPr>
                <w:color w:val="000000" w:themeColor="text1"/>
              </w:rPr>
            </w:pPr>
          </w:p>
        </w:tc>
        <w:tc>
          <w:tcPr>
            <w:tcW w:w="3793" w:type="dxa"/>
            <w:vAlign w:val="center"/>
          </w:tcPr>
          <w:p w:rsidR="000C5659" w:rsidRDefault="000C5659">
            <w:pPr>
              <w:jc w:val="right"/>
              <w:rPr>
                <w:color w:val="000000"/>
              </w:rPr>
            </w:pPr>
          </w:p>
        </w:tc>
        <w:tc>
          <w:tcPr>
            <w:tcW w:w="3776" w:type="dxa"/>
            <w:vAlign w:val="center"/>
          </w:tcPr>
          <w:p w:rsidR="000C5659" w:rsidRDefault="000C5659">
            <w:pPr>
              <w:jc w:val="right"/>
              <w:rPr>
                <w:color w:val="000000"/>
              </w:rPr>
            </w:pPr>
          </w:p>
        </w:tc>
      </w:tr>
      <w:tr w:rsidR="000C5659">
        <w:trPr>
          <w:jc w:val="center"/>
        </w:trPr>
        <w:tc>
          <w:tcPr>
            <w:tcW w:w="1480" w:type="dxa"/>
            <w:shd w:val="clear" w:color="auto" w:fill="FFFFFF"/>
          </w:tcPr>
          <w:p w:rsidR="000C5659" w:rsidRDefault="000C5659">
            <w:pPr>
              <w:rPr>
                <w:color w:val="000000" w:themeColor="text1"/>
              </w:rPr>
            </w:pPr>
          </w:p>
        </w:tc>
        <w:tc>
          <w:tcPr>
            <w:tcW w:w="3793" w:type="dxa"/>
            <w:vAlign w:val="center"/>
          </w:tcPr>
          <w:p w:rsidR="000C5659" w:rsidRDefault="000C5659">
            <w:pPr>
              <w:jc w:val="right"/>
              <w:rPr>
                <w:color w:val="000000"/>
              </w:rPr>
            </w:pPr>
          </w:p>
        </w:tc>
        <w:tc>
          <w:tcPr>
            <w:tcW w:w="3776" w:type="dxa"/>
            <w:vAlign w:val="center"/>
          </w:tcPr>
          <w:p w:rsidR="000C5659" w:rsidRDefault="000C5659">
            <w:pPr>
              <w:jc w:val="right"/>
              <w:rPr>
                <w:color w:val="000000"/>
              </w:rPr>
            </w:pPr>
          </w:p>
        </w:tc>
      </w:tr>
      <w:tr w:rsidR="000C5659">
        <w:trPr>
          <w:jc w:val="center"/>
        </w:trPr>
        <w:tc>
          <w:tcPr>
            <w:tcW w:w="1480" w:type="dxa"/>
            <w:shd w:val="clear" w:color="auto" w:fill="FFFFFF"/>
          </w:tcPr>
          <w:p w:rsidR="000C5659" w:rsidRDefault="000E33C4">
            <w:pPr>
              <w:rPr>
                <w:rFonts w:cs="Arial"/>
                <w:color w:val="000000" w:themeColor="text1"/>
                <w:lang w:val="en-GB"/>
              </w:rPr>
            </w:pPr>
            <w:r>
              <w:rPr>
                <w:rFonts w:cs="Arial" w:hint="eastAsia"/>
                <w:color w:val="000000" w:themeColor="text1"/>
                <w:lang w:val="en-GB"/>
              </w:rPr>
              <w:t>负债：</w:t>
            </w:r>
          </w:p>
        </w:tc>
        <w:tc>
          <w:tcPr>
            <w:tcW w:w="3793" w:type="dxa"/>
            <w:vAlign w:val="center"/>
          </w:tcPr>
          <w:p w:rsidR="000C5659" w:rsidRDefault="000E33C4">
            <w:pPr>
              <w:jc w:val="right"/>
              <w:textAlignment w:val="center"/>
              <w:rPr>
                <w:rFonts w:cs="Arial"/>
              </w:rPr>
            </w:pPr>
            <w:r>
              <w:rPr>
                <w:rFonts w:hint="eastAsia"/>
                <w:color w:val="000000"/>
                <w:lang w:bidi="ar"/>
              </w:rPr>
              <w:t>58,171,945.96</w:t>
            </w:r>
          </w:p>
        </w:tc>
        <w:tc>
          <w:tcPr>
            <w:tcW w:w="3776" w:type="dxa"/>
            <w:vAlign w:val="center"/>
          </w:tcPr>
          <w:p w:rsidR="000C5659" w:rsidRDefault="000E33C4">
            <w:pPr>
              <w:jc w:val="right"/>
              <w:textAlignment w:val="center"/>
            </w:pPr>
            <w:r>
              <w:rPr>
                <w:rFonts w:hint="eastAsia"/>
                <w:color w:val="000000"/>
                <w:lang w:bidi="ar"/>
              </w:rPr>
              <w:t>57,440,134.10</w:t>
            </w:r>
          </w:p>
        </w:tc>
      </w:tr>
      <w:tr w:rsidR="000C5659">
        <w:trPr>
          <w:jc w:val="center"/>
        </w:trPr>
        <w:tc>
          <w:tcPr>
            <w:tcW w:w="1480" w:type="dxa"/>
            <w:shd w:val="clear" w:color="auto" w:fill="FFFFFF"/>
          </w:tcPr>
          <w:p w:rsidR="000C5659" w:rsidRDefault="000E33C4">
            <w:pPr>
              <w:rPr>
                <w:rFonts w:cs="Arial"/>
                <w:color w:val="000000" w:themeColor="text1"/>
              </w:rPr>
            </w:pPr>
            <w:r>
              <w:rPr>
                <w:rFonts w:cs="Arial" w:hint="eastAsia"/>
                <w:color w:val="000000" w:themeColor="text1"/>
              </w:rPr>
              <w:t>借款</w:t>
            </w:r>
          </w:p>
        </w:tc>
        <w:tc>
          <w:tcPr>
            <w:tcW w:w="3793" w:type="dxa"/>
            <w:vAlign w:val="center"/>
          </w:tcPr>
          <w:p w:rsidR="000C5659" w:rsidRDefault="000E33C4">
            <w:pPr>
              <w:jc w:val="right"/>
              <w:textAlignment w:val="center"/>
              <w:rPr>
                <w:rFonts w:cs="Arial"/>
              </w:rPr>
            </w:pPr>
            <w:r>
              <w:rPr>
                <w:rFonts w:hint="eastAsia"/>
                <w:color w:val="000000"/>
                <w:lang w:bidi="ar"/>
              </w:rPr>
              <w:t>32,284,453.83</w:t>
            </w:r>
          </w:p>
        </w:tc>
        <w:tc>
          <w:tcPr>
            <w:tcW w:w="3776" w:type="dxa"/>
            <w:vAlign w:val="center"/>
          </w:tcPr>
          <w:p w:rsidR="000C5659" w:rsidRDefault="000E33C4">
            <w:pPr>
              <w:jc w:val="right"/>
              <w:textAlignment w:val="center"/>
              <w:rPr>
                <w:rFonts w:cs="Arial"/>
              </w:rPr>
            </w:pPr>
            <w:r>
              <w:rPr>
                <w:rFonts w:hint="eastAsia"/>
                <w:color w:val="000000"/>
                <w:lang w:bidi="ar"/>
              </w:rPr>
              <w:t>32,284,453.83</w:t>
            </w:r>
          </w:p>
        </w:tc>
      </w:tr>
      <w:tr w:rsidR="000C5659">
        <w:trPr>
          <w:jc w:val="center"/>
        </w:trPr>
        <w:tc>
          <w:tcPr>
            <w:tcW w:w="1480" w:type="dxa"/>
            <w:shd w:val="clear" w:color="auto" w:fill="FFFFFF"/>
          </w:tcPr>
          <w:p w:rsidR="000C5659" w:rsidRDefault="000E33C4">
            <w:pPr>
              <w:rPr>
                <w:rFonts w:cs="Arial"/>
                <w:color w:val="000000" w:themeColor="text1"/>
              </w:rPr>
            </w:pPr>
            <w:r>
              <w:rPr>
                <w:rFonts w:cs="Arial" w:hint="eastAsia"/>
                <w:color w:val="000000" w:themeColor="text1"/>
              </w:rPr>
              <w:t>应付款项</w:t>
            </w:r>
          </w:p>
        </w:tc>
        <w:tc>
          <w:tcPr>
            <w:tcW w:w="3793" w:type="dxa"/>
            <w:vAlign w:val="center"/>
          </w:tcPr>
          <w:p w:rsidR="000C5659" w:rsidRDefault="000E33C4">
            <w:pPr>
              <w:jc w:val="right"/>
              <w:textAlignment w:val="center"/>
              <w:rPr>
                <w:rFonts w:cs="Arial"/>
              </w:rPr>
            </w:pPr>
            <w:r>
              <w:rPr>
                <w:rFonts w:hint="eastAsia"/>
                <w:color w:val="000000"/>
                <w:lang w:bidi="ar"/>
              </w:rPr>
              <w:t>1,299,372.75</w:t>
            </w:r>
          </w:p>
        </w:tc>
        <w:tc>
          <w:tcPr>
            <w:tcW w:w="3776" w:type="dxa"/>
            <w:vAlign w:val="center"/>
          </w:tcPr>
          <w:p w:rsidR="000C5659" w:rsidRDefault="000E33C4">
            <w:pPr>
              <w:jc w:val="right"/>
              <w:textAlignment w:val="center"/>
              <w:rPr>
                <w:rFonts w:cs="Arial"/>
              </w:rPr>
            </w:pPr>
            <w:r>
              <w:rPr>
                <w:rFonts w:hint="eastAsia"/>
                <w:color w:val="000000"/>
                <w:lang w:bidi="ar"/>
              </w:rPr>
              <w:t>1,299,372.75</w:t>
            </w:r>
          </w:p>
        </w:tc>
      </w:tr>
      <w:tr w:rsidR="000C5659">
        <w:trPr>
          <w:jc w:val="center"/>
        </w:trPr>
        <w:tc>
          <w:tcPr>
            <w:tcW w:w="1480" w:type="dxa"/>
            <w:shd w:val="clear" w:color="auto" w:fill="FFFFFF"/>
          </w:tcPr>
          <w:p w:rsidR="000C5659" w:rsidRDefault="000E33C4">
            <w:pPr>
              <w:rPr>
                <w:rFonts w:cs="Arial"/>
                <w:color w:val="000000" w:themeColor="text1"/>
              </w:rPr>
            </w:pPr>
            <w:r>
              <w:rPr>
                <w:rFonts w:cs="Arial" w:hint="eastAsia"/>
                <w:color w:val="000000" w:themeColor="text1"/>
              </w:rPr>
              <w:t>递延所得税负债</w:t>
            </w:r>
          </w:p>
        </w:tc>
        <w:tc>
          <w:tcPr>
            <w:tcW w:w="3793" w:type="dxa"/>
            <w:vAlign w:val="center"/>
          </w:tcPr>
          <w:p w:rsidR="000C5659" w:rsidRDefault="000E33C4">
            <w:pPr>
              <w:jc w:val="right"/>
              <w:textAlignment w:val="center"/>
              <w:rPr>
                <w:rFonts w:cs="Arial"/>
              </w:rPr>
            </w:pPr>
            <w:r>
              <w:rPr>
                <w:rFonts w:hint="eastAsia"/>
                <w:color w:val="000000"/>
                <w:lang w:bidi="ar"/>
              </w:rPr>
              <w:t>4,243,299.22</w:t>
            </w:r>
          </w:p>
        </w:tc>
        <w:tc>
          <w:tcPr>
            <w:tcW w:w="3776" w:type="dxa"/>
            <w:vAlign w:val="center"/>
          </w:tcPr>
          <w:p w:rsidR="000C5659" w:rsidRDefault="000C5659">
            <w:pPr>
              <w:jc w:val="right"/>
              <w:rPr>
                <w:rFonts w:cs="Arial"/>
              </w:rPr>
            </w:pPr>
          </w:p>
        </w:tc>
      </w:tr>
      <w:tr w:rsidR="000C5659">
        <w:trPr>
          <w:jc w:val="center"/>
        </w:trPr>
        <w:tc>
          <w:tcPr>
            <w:tcW w:w="1480" w:type="dxa"/>
            <w:shd w:val="clear" w:color="auto" w:fill="FFFFFF"/>
          </w:tcPr>
          <w:p w:rsidR="000C5659" w:rsidRDefault="000E33C4">
            <w:pPr>
              <w:rPr>
                <w:rFonts w:cs="Arial"/>
              </w:rPr>
            </w:pPr>
            <w:r>
              <w:rPr>
                <w:rFonts w:hint="eastAsia"/>
              </w:rPr>
              <w:t>合同负债</w:t>
            </w:r>
          </w:p>
        </w:tc>
        <w:tc>
          <w:tcPr>
            <w:tcW w:w="3793" w:type="dxa"/>
            <w:vAlign w:val="center"/>
          </w:tcPr>
          <w:p w:rsidR="000C5659" w:rsidRDefault="000E33C4">
            <w:pPr>
              <w:jc w:val="right"/>
              <w:textAlignment w:val="center"/>
              <w:rPr>
                <w:rFonts w:cs="Arial"/>
              </w:rPr>
            </w:pPr>
            <w:r>
              <w:rPr>
                <w:rFonts w:hint="eastAsia"/>
                <w:color w:val="000000"/>
                <w:lang w:bidi="ar"/>
              </w:rPr>
              <w:t>2,312,748.64</w:t>
            </w:r>
          </w:p>
        </w:tc>
        <w:tc>
          <w:tcPr>
            <w:tcW w:w="3776" w:type="dxa"/>
            <w:vAlign w:val="center"/>
          </w:tcPr>
          <w:p w:rsidR="000C5659" w:rsidRDefault="000E33C4">
            <w:pPr>
              <w:jc w:val="right"/>
              <w:textAlignment w:val="center"/>
            </w:pPr>
            <w:r>
              <w:rPr>
                <w:rFonts w:hint="eastAsia"/>
                <w:color w:val="000000"/>
                <w:lang w:bidi="ar"/>
              </w:rPr>
              <w:t>2,312,748.64</w:t>
            </w:r>
          </w:p>
        </w:tc>
      </w:tr>
      <w:tr w:rsidR="000C5659">
        <w:trPr>
          <w:jc w:val="center"/>
        </w:trPr>
        <w:tc>
          <w:tcPr>
            <w:tcW w:w="1480" w:type="dxa"/>
            <w:shd w:val="clear" w:color="auto" w:fill="FFFFFF"/>
          </w:tcPr>
          <w:p w:rsidR="000C5659" w:rsidRDefault="000E33C4">
            <w:pPr>
              <w:rPr>
                <w:rFonts w:cs="Arial"/>
                <w:color w:val="000000" w:themeColor="text1"/>
              </w:rPr>
            </w:pPr>
            <w:r>
              <w:rPr>
                <w:rFonts w:hint="eastAsia"/>
                <w:color w:val="000000" w:themeColor="text1"/>
              </w:rPr>
              <w:t>应付职工薪酬</w:t>
            </w:r>
          </w:p>
        </w:tc>
        <w:tc>
          <w:tcPr>
            <w:tcW w:w="3793" w:type="dxa"/>
            <w:vAlign w:val="center"/>
          </w:tcPr>
          <w:p w:rsidR="000C5659" w:rsidRDefault="000E33C4">
            <w:pPr>
              <w:jc w:val="right"/>
              <w:textAlignment w:val="center"/>
              <w:rPr>
                <w:rFonts w:cs="Arial"/>
                <w:color w:val="000000" w:themeColor="text1"/>
              </w:rPr>
            </w:pPr>
            <w:r>
              <w:rPr>
                <w:rFonts w:hint="eastAsia"/>
                <w:color w:val="000000"/>
                <w:lang w:bidi="ar"/>
              </w:rPr>
              <w:t>1,705,043.82</w:t>
            </w:r>
          </w:p>
        </w:tc>
        <w:tc>
          <w:tcPr>
            <w:tcW w:w="3776" w:type="dxa"/>
            <w:vAlign w:val="center"/>
          </w:tcPr>
          <w:p w:rsidR="000C5659" w:rsidRDefault="000E33C4">
            <w:pPr>
              <w:jc w:val="right"/>
              <w:textAlignment w:val="center"/>
              <w:rPr>
                <w:color w:val="000000" w:themeColor="text1"/>
              </w:rPr>
            </w:pPr>
            <w:r>
              <w:rPr>
                <w:rFonts w:hint="eastAsia"/>
                <w:color w:val="000000"/>
                <w:lang w:bidi="ar"/>
              </w:rPr>
              <w:t>1,705,043.82</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应交税费</w:t>
            </w:r>
          </w:p>
        </w:tc>
        <w:tc>
          <w:tcPr>
            <w:tcW w:w="3793" w:type="dxa"/>
            <w:vAlign w:val="center"/>
          </w:tcPr>
          <w:p w:rsidR="000C5659" w:rsidRDefault="000E33C4">
            <w:pPr>
              <w:jc w:val="right"/>
              <w:textAlignment w:val="center"/>
              <w:rPr>
                <w:color w:val="000000"/>
              </w:rPr>
            </w:pPr>
            <w:r>
              <w:rPr>
                <w:rFonts w:hint="eastAsia"/>
                <w:color w:val="000000"/>
                <w:lang w:bidi="ar"/>
              </w:rPr>
              <w:t>181,104.98</w:t>
            </w:r>
          </w:p>
        </w:tc>
        <w:tc>
          <w:tcPr>
            <w:tcW w:w="3776" w:type="dxa"/>
            <w:vAlign w:val="center"/>
          </w:tcPr>
          <w:p w:rsidR="000C5659" w:rsidRDefault="000E33C4">
            <w:pPr>
              <w:jc w:val="right"/>
              <w:textAlignment w:val="center"/>
              <w:rPr>
                <w:color w:val="000000"/>
              </w:rPr>
            </w:pPr>
            <w:r>
              <w:rPr>
                <w:rFonts w:hint="eastAsia"/>
                <w:color w:val="000000"/>
                <w:lang w:bidi="ar"/>
              </w:rPr>
              <w:t>181,104.98</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其他应付款</w:t>
            </w:r>
          </w:p>
        </w:tc>
        <w:tc>
          <w:tcPr>
            <w:tcW w:w="3793" w:type="dxa"/>
            <w:vAlign w:val="center"/>
          </w:tcPr>
          <w:p w:rsidR="000C5659" w:rsidRDefault="000E33C4">
            <w:pPr>
              <w:jc w:val="right"/>
              <w:textAlignment w:val="center"/>
              <w:rPr>
                <w:color w:val="000000"/>
              </w:rPr>
            </w:pPr>
            <w:r>
              <w:rPr>
                <w:rFonts w:hint="eastAsia"/>
                <w:color w:val="000000"/>
                <w:lang w:bidi="ar"/>
              </w:rPr>
              <w:t>11,675,776.88</w:t>
            </w:r>
          </w:p>
        </w:tc>
        <w:tc>
          <w:tcPr>
            <w:tcW w:w="3776" w:type="dxa"/>
            <w:vAlign w:val="center"/>
          </w:tcPr>
          <w:p w:rsidR="000C5659" w:rsidRDefault="000E33C4">
            <w:pPr>
              <w:jc w:val="right"/>
              <w:textAlignment w:val="center"/>
              <w:rPr>
                <w:color w:val="000000"/>
              </w:rPr>
            </w:pPr>
            <w:r>
              <w:rPr>
                <w:rFonts w:hint="eastAsia"/>
                <w:color w:val="000000"/>
                <w:lang w:bidi="ar"/>
              </w:rPr>
              <w:t>11,675,776.88</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一年内到期的非流动负债</w:t>
            </w:r>
          </w:p>
        </w:tc>
        <w:tc>
          <w:tcPr>
            <w:tcW w:w="3793" w:type="dxa"/>
            <w:vAlign w:val="center"/>
          </w:tcPr>
          <w:p w:rsidR="000C5659" w:rsidRDefault="000E33C4">
            <w:pPr>
              <w:jc w:val="right"/>
              <w:textAlignment w:val="center"/>
              <w:rPr>
                <w:color w:val="000000"/>
              </w:rPr>
            </w:pPr>
            <w:r>
              <w:rPr>
                <w:rFonts w:hint="eastAsia"/>
                <w:color w:val="000000"/>
                <w:lang w:bidi="ar"/>
              </w:rPr>
              <w:t>2,162,035.20</w:t>
            </w:r>
          </w:p>
        </w:tc>
        <w:tc>
          <w:tcPr>
            <w:tcW w:w="3776" w:type="dxa"/>
            <w:vAlign w:val="center"/>
          </w:tcPr>
          <w:p w:rsidR="000C5659" w:rsidRDefault="000E33C4">
            <w:pPr>
              <w:jc w:val="right"/>
              <w:textAlignment w:val="center"/>
              <w:rPr>
                <w:color w:val="000000"/>
              </w:rPr>
            </w:pPr>
            <w:r>
              <w:rPr>
                <w:rFonts w:hint="eastAsia"/>
                <w:color w:val="000000"/>
                <w:lang w:bidi="ar"/>
              </w:rPr>
              <w:t>2,162,035.20</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其他流动负债</w:t>
            </w:r>
          </w:p>
        </w:tc>
        <w:tc>
          <w:tcPr>
            <w:tcW w:w="3793" w:type="dxa"/>
            <w:vAlign w:val="center"/>
          </w:tcPr>
          <w:p w:rsidR="000C5659" w:rsidRDefault="000E33C4">
            <w:pPr>
              <w:jc w:val="right"/>
              <w:textAlignment w:val="center"/>
              <w:rPr>
                <w:color w:val="000000"/>
              </w:rPr>
            </w:pPr>
            <w:r>
              <w:rPr>
                <w:rFonts w:hint="eastAsia"/>
                <w:color w:val="000000"/>
                <w:lang w:bidi="ar"/>
              </w:rPr>
              <w:t>142,003.82</w:t>
            </w:r>
          </w:p>
        </w:tc>
        <w:tc>
          <w:tcPr>
            <w:tcW w:w="3776" w:type="dxa"/>
            <w:vAlign w:val="center"/>
          </w:tcPr>
          <w:p w:rsidR="000C5659" w:rsidRDefault="000E33C4">
            <w:pPr>
              <w:jc w:val="right"/>
              <w:textAlignment w:val="center"/>
              <w:rPr>
                <w:color w:val="000000"/>
              </w:rPr>
            </w:pPr>
            <w:r>
              <w:rPr>
                <w:rFonts w:hint="eastAsia"/>
                <w:color w:val="000000"/>
                <w:lang w:bidi="ar"/>
              </w:rPr>
              <w:t>142,003.82</w:t>
            </w:r>
          </w:p>
        </w:tc>
      </w:tr>
      <w:tr w:rsidR="000C5659">
        <w:trPr>
          <w:jc w:val="center"/>
        </w:trPr>
        <w:tc>
          <w:tcPr>
            <w:tcW w:w="1480" w:type="dxa"/>
            <w:shd w:val="clear" w:color="auto" w:fill="FFFFFF"/>
          </w:tcPr>
          <w:p w:rsidR="000C5659" w:rsidRDefault="000E33C4">
            <w:pPr>
              <w:rPr>
                <w:color w:val="000000" w:themeColor="text1"/>
              </w:rPr>
            </w:pPr>
            <w:r>
              <w:rPr>
                <w:rFonts w:hint="eastAsia"/>
                <w:color w:val="000000" w:themeColor="text1"/>
              </w:rPr>
              <w:t>租赁负债</w:t>
            </w:r>
          </w:p>
        </w:tc>
        <w:tc>
          <w:tcPr>
            <w:tcW w:w="3793" w:type="dxa"/>
            <w:vAlign w:val="center"/>
          </w:tcPr>
          <w:p w:rsidR="000C5659" w:rsidRDefault="000E33C4">
            <w:pPr>
              <w:jc w:val="right"/>
              <w:textAlignment w:val="center"/>
              <w:rPr>
                <w:color w:val="000000"/>
              </w:rPr>
            </w:pPr>
            <w:r>
              <w:rPr>
                <w:rFonts w:hint="eastAsia"/>
                <w:color w:val="000000"/>
                <w:lang w:bidi="ar"/>
              </w:rPr>
              <w:t>2,166,106.82</w:t>
            </w:r>
          </w:p>
        </w:tc>
        <w:tc>
          <w:tcPr>
            <w:tcW w:w="3776" w:type="dxa"/>
            <w:vAlign w:val="center"/>
          </w:tcPr>
          <w:p w:rsidR="000C5659" w:rsidRDefault="000E33C4">
            <w:pPr>
              <w:jc w:val="right"/>
              <w:textAlignment w:val="center"/>
              <w:rPr>
                <w:color w:val="000000"/>
              </w:rPr>
            </w:pPr>
            <w:r>
              <w:rPr>
                <w:rFonts w:hint="eastAsia"/>
                <w:color w:val="000000"/>
                <w:lang w:bidi="ar"/>
              </w:rPr>
              <w:t>2,166,106.82</w:t>
            </w:r>
          </w:p>
        </w:tc>
      </w:tr>
      <w:tr w:rsidR="000C5659">
        <w:trPr>
          <w:jc w:val="center"/>
        </w:trPr>
        <w:tc>
          <w:tcPr>
            <w:tcW w:w="1480" w:type="dxa"/>
            <w:shd w:val="clear" w:color="auto" w:fill="FFFFFF"/>
          </w:tcPr>
          <w:p w:rsidR="000C5659" w:rsidRDefault="000E33C4">
            <w:r>
              <w:t>递延收益</w:t>
            </w:r>
          </w:p>
        </w:tc>
        <w:tc>
          <w:tcPr>
            <w:tcW w:w="3793" w:type="dxa"/>
            <w:vAlign w:val="center"/>
          </w:tcPr>
          <w:p w:rsidR="000C5659" w:rsidRDefault="000C5659">
            <w:pPr>
              <w:jc w:val="right"/>
            </w:pPr>
          </w:p>
        </w:tc>
        <w:tc>
          <w:tcPr>
            <w:tcW w:w="3776" w:type="dxa"/>
            <w:vAlign w:val="center"/>
          </w:tcPr>
          <w:p w:rsidR="000C5659" w:rsidRDefault="000E33C4">
            <w:pPr>
              <w:jc w:val="right"/>
              <w:textAlignment w:val="center"/>
            </w:pPr>
            <w:r>
              <w:rPr>
                <w:rFonts w:hint="eastAsia"/>
                <w:color w:val="000000"/>
                <w:lang w:bidi="ar"/>
              </w:rPr>
              <w:t>3,511,487.36</w:t>
            </w:r>
          </w:p>
        </w:tc>
      </w:tr>
      <w:tr w:rsidR="000C5659">
        <w:trPr>
          <w:jc w:val="center"/>
        </w:trPr>
        <w:tc>
          <w:tcPr>
            <w:tcW w:w="1480" w:type="dxa"/>
            <w:shd w:val="clear" w:color="auto" w:fill="FFFFFF"/>
          </w:tcPr>
          <w:p w:rsidR="000C5659" w:rsidRDefault="000C5659">
            <w:pPr>
              <w:rPr>
                <w:color w:val="000000" w:themeColor="text1"/>
              </w:rPr>
            </w:pPr>
          </w:p>
        </w:tc>
        <w:tc>
          <w:tcPr>
            <w:tcW w:w="3793" w:type="dxa"/>
            <w:vAlign w:val="center"/>
          </w:tcPr>
          <w:p w:rsidR="000C5659" w:rsidRDefault="000C5659">
            <w:pPr>
              <w:jc w:val="right"/>
              <w:rPr>
                <w:color w:val="000000"/>
              </w:rPr>
            </w:pPr>
          </w:p>
        </w:tc>
        <w:tc>
          <w:tcPr>
            <w:tcW w:w="3776" w:type="dxa"/>
            <w:vAlign w:val="center"/>
          </w:tcPr>
          <w:p w:rsidR="000C5659" w:rsidRDefault="000C5659">
            <w:pPr>
              <w:jc w:val="right"/>
              <w:rPr>
                <w:color w:val="000000"/>
              </w:rPr>
            </w:pPr>
          </w:p>
        </w:tc>
      </w:tr>
      <w:tr w:rsidR="000C5659">
        <w:trPr>
          <w:jc w:val="center"/>
        </w:trPr>
        <w:tc>
          <w:tcPr>
            <w:tcW w:w="1480" w:type="dxa"/>
          </w:tcPr>
          <w:p w:rsidR="000C5659" w:rsidRDefault="000E33C4">
            <w:pPr>
              <w:ind w:left="3"/>
              <w:rPr>
                <w:rFonts w:cs="Arial"/>
                <w:color w:val="000000" w:themeColor="text1"/>
              </w:rPr>
            </w:pPr>
            <w:r>
              <w:rPr>
                <w:rFonts w:cs="Arial" w:hint="eastAsia"/>
                <w:color w:val="000000" w:themeColor="text1"/>
                <w:lang w:val="en-GB"/>
              </w:rPr>
              <w:t>净资产</w:t>
            </w:r>
          </w:p>
        </w:tc>
        <w:tc>
          <w:tcPr>
            <w:tcW w:w="3793" w:type="dxa"/>
            <w:vAlign w:val="center"/>
          </w:tcPr>
          <w:p w:rsidR="000C5659" w:rsidRDefault="000E33C4">
            <w:pPr>
              <w:jc w:val="right"/>
              <w:textAlignment w:val="center"/>
              <w:rPr>
                <w:rFonts w:cs="Arial"/>
              </w:rPr>
            </w:pPr>
            <w:r>
              <w:rPr>
                <w:rFonts w:hint="eastAsia"/>
                <w:color w:val="000000"/>
                <w:lang w:bidi="ar"/>
              </w:rPr>
              <w:t>90,230,858.32</w:t>
            </w:r>
          </w:p>
        </w:tc>
        <w:tc>
          <w:tcPr>
            <w:tcW w:w="3776" w:type="dxa"/>
            <w:vAlign w:val="center"/>
          </w:tcPr>
          <w:p w:rsidR="000C5659" w:rsidRDefault="000E33C4">
            <w:pPr>
              <w:jc w:val="right"/>
              <w:textAlignment w:val="center"/>
            </w:pPr>
            <w:r>
              <w:rPr>
                <w:rFonts w:hint="eastAsia"/>
                <w:color w:val="000000"/>
                <w:lang w:bidi="ar"/>
              </w:rPr>
              <w:t>72,081,050.61</w:t>
            </w:r>
          </w:p>
        </w:tc>
      </w:tr>
      <w:tr w:rsidR="000C5659">
        <w:trPr>
          <w:jc w:val="center"/>
        </w:trPr>
        <w:tc>
          <w:tcPr>
            <w:tcW w:w="1480" w:type="dxa"/>
          </w:tcPr>
          <w:p w:rsidR="000C5659" w:rsidRDefault="000E33C4">
            <w:pPr>
              <w:ind w:left="3"/>
              <w:rPr>
                <w:rFonts w:cs="Arial"/>
                <w:color w:val="000000" w:themeColor="text1"/>
              </w:rPr>
            </w:pPr>
            <w:r>
              <w:rPr>
                <w:rFonts w:cs="Arial" w:hint="eastAsia"/>
                <w:color w:val="000000" w:themeColor="text1"/>
                <w:lang w:val="en-GB"/>
              </w:rPr>
              <w:t>《股权转让及增资协议》已约定但尚未出资款项</w:t>
            </w:r>
          </w:p>
        </w:tc>
        <w:tc>
          <w:tcPr>
            <w:tcW w:w="3793" w:type="dxa"/>
            <w:vAlign w:val="center"/>
          </w:tcPr>
          <w:p w:rsidR="000C5659" w:rsidRDefault="000E33C4">
            <w:pPr>
              <w:jc w:val="right"/>
              <w:textAlignment w:val="center"/>
              <w:rPr>
                <w:rFonts w:cs="Arial"/>
              </w:rPr>
            </w:pPr>
            <w:r>
              <w:rPr>
                <w:rFonts w:hint="eastAsia"/>
                <w:color w:val="000000"/>
                <w:lang w:bidi="ar"/>
              </w:rPr>
              <w:t>74,408,746.00</w:t>
            </w:r>
          </w:p>
        </w:tc>
        <w:tc>
          <w:tcPr>
            <w:tcW w:w="3776" w:type="dxa"/>
            <w:vAlign w:val="center"/>
          </w:tcPr>
          <w:p w:rsidR="000C5659" w:rsidRDefault="000C5659">
            <w:pPr>
              <w:jc w:val="right"/>
            </w:pPr>
          </w:p>
        </w:tc>
      </w:tr>
      <w:tr w:rsidR="000C5659">
        <w:trPr>
          <w:jc w:val="center"/>
        </w:trPr>
        <w:tc>
          <w:tcPr>
            <w:tcW w:w="1480" w:type="dxa"/>
          </w:tcPr>
          <w:p w:rsidR="000C5659" w:rsidRDefault="000E33C4">
            <w:pPr>
              <w:ind w:left="3"/>
              <w:rPr>
                <w:rFonts w:cs="Arial"/>
                <w:color w:val="000000" w:themeColor="text1"/>
              </w:rPr>
            </w:pPr>
            <w:r>
              <w:rPr>
                <w:rFonts w:cs="Arial" w:hint="eastAsia"/>
                <w:color w:val="000000" w:themeColor="text1"/>
                <w:lang w:val="en-GB"/>
              </w:rPr>
              <w:t>减：少数股东权益</w:t>
            </w:r>
          </w:p>
        </w:tc>
        <w:tc>
          <w:tcPr>
            <w:tcW w:w="3793" w:type="dxa"/>
            <w:vAlign w:val="center"/>
          </w:tcPr>
          <w:p w:rsidR="000C5659" w:rsidRDefault="000E33C4">
            <w:pPr>
              <w:jc w:val="right"/>
              <w:textAlignment w:val="center"/>
              <w:rPr>
                <w:rFonts w:cs="Arial"/>
              </w:rPr>
            </w:pPr>
            <w:r>
              <w:rPr>
                <w:rFonts w:hint="eastAsia"/>
                <w:color w:val="000000"/>
                <w:lang w:bidi="ar"/>
              </w:rPr>
              <w:t>70,559,356.99</w:t>
            </w:r>
          </w:p>
        </w:tc>
        <w:tc>
          <w:tcPr>
            <w:tcW w:w="3776" w:type="dxa"/>
            <w:vAlign w:val="center"/>
          </w:tcPr>
          <w:p w:rsidR="000C5659" w:rsidRDefault="000E33C4">
            <w:pPr>
              <w:jc w:val="right"/>
              <w:textAlignment w:val="center"/>
            </w:pPr>
            <w:r>
              <w:rPr>
                <w:rFonts w:hint="eastAsia"/>
                <w:color w:val="000000"/>
                <w:lang w:bidi="ar"/>
              </w:rPr>
              <w:t>30,891,671.56</w:t>
            </w:r>
          </w:p>
        </w:tc>
      </w:tr>
      <w:tr w:rsidR="000C5659">
        <w:trPr>
          <w:jc w:val="center"/>
        </w:trPr>
        <w:tc>
          <w:tcPr>
            <w:tcW w:w="1480" w:type="dxa"/>
          </w:tcPr>
          <w:p w:rsidR="000C5659" w:rsidRDefault="000E33C4">
            <w:pPr>
              <w:ind w:left="3"/>
              <w:rPr>
                <w:rFonts w:cs="Arial"/>
                <w:color w:val="000000" w:themeColor="text1"/>
                <w:lang w:val="en-GB"/>
              </w:rPr>
            </w:pPr>
            <w:r>
              <w:rPr>
                <w:rFonts w:cs="Arial" w:hint="eastAsia"/>
                <w:color w:val="000000" w:themeColor="text1"/>
                <w:lang w:val="en-GB"/>
              </w:rPr>
              <w:t>取得的净资产</w:t>
            </w:r>
          </w:p>
        </w:tc>
        <w:tc>
          <w:tcPr>
            <w:tcW w:w="3793" w:type="dxa"/>
            <w:vAlign w:val="center"/>
          </w:tcPr>
          <w:p w:rsidR="000C5659" w:rsidRDefault="000E33C4">
            <w:pPr>
              <w:jc w:val="right"/>
              <w:textAlignment w:val="center"/>
              <w:rPr>
                <w:color w:val="000000"/>
              </w:rPr>
            </w:pPr>
            <w:r>
              <w:rPr>
                <w:rFonts w:hint="eastAsia"/>
                <w:color w:val="000000"/>
                <w:lang w:bidi="ar"/>
              </w:rPr>
              <w:t>94,080,247.33</w:t>
            </w:r>
          </w:p>
        </w:tc>
        <w:tc>
          <w:tcPr>
            <w:tcW w:w="3776" w:type="dxa"/>
            <w:vAlign w:val="center"/>
          </w:tcPr>
          <w:p w:rsidR="000C5659" w:rsidRDefault="000E33C4">
            <w:pPr>
              <w:jc w:val="right"/>
              <w:textAlignment w:val="center"/>
              <w:rPr>
                <w:color w:val="000000"/>
              </w:rPr>
            </w:pPr>
            <w:r>
              <w:rPr>
                <w:rFonts w:hint="eastAsia"/>
                <w:color w:val="000000"/>
                <w:lang w:bidi="ar"/>
              </w:rPr>
              <w:t>41,189,379.05</w:t>
            </w:r>
          </w:p>
        </w:tc>
      </w:tr>
    </w:tbl>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可辨认资产、负债公允价值的确定方法：</w:t>
      </w:r>
    </w:p>
    <w:sdt>
      <w:sdtPr>
        <w:rPr>
          <w:rFonts w:cs="Arial" w:hint="eastAsia"/>
          <w:color w:val="000000" w:themeColor="text1"/>
        </w:rPr>
        <w:alias w:val="可辨认资产、负债公允价值的确定方法"/>
        <w:tag w:val="_GBC_45e7c286832e451897a1af3914036802"/>
        <w:id w:val="-2099713626"/>
        <w:placeholder>
          <w:docPart w:val="GBC22222222222222222222222222222"/>
        </w:placeholder>
      </w:sdtPr>
      <w:sdtEndPr/>
      <w:sdtContent>
        <w:sdt>
          <w:sdtPr>
            <w:rPr>
              <w:rFonts w:cs="Arial" w:hint="eastAsia"/>
              <w:color w:val="000000" w:themeColor="text1"/>
            </w:rPr>
            <w:alias w:val="可辨认资产、负债公允价值的确定方法"/>
            <w:tag w:val="_GBC_45e7c286832e451897a1af3914036802"/>
            <w:id w:val="2058967949"/>
          </w:sdtPr>
          <w:sdtEndPr/>
          <w:sdtContent>
            <w:p w:rsidR="000C5659" w:rsidRDefault="000E33C4">
              <w:pPr>
                <w:rPr>
                  <w:rFonts w:cs="Arial"/>
                  <w:color w:val="000000" w:themeColor="text1"/>
                </w:rPr>
              </w:pPr>
              <w:r>
                <w:rPr>
                  <w:rFonts w:hint="eastAsia"/>
                </w:rPr>
                <w:t>采用估值方法确认</w:t>
              </w:r>
            </w:p>
          </w:sdtContent>
        </w:sdt>
        <w:p w:rsidR="000C5659" w:rsidRDefault="00220B84">
          <w:pPr>
            <w:rPr>
              <w:rFonts w:cs="Arial"/>
              <w:color w:val="000000" w:themeColor="text1"/>
            </w:rPr>
          </w:pPr>
        </w:p>
      </w:sdtContent>
    </w:sdt>
    <w:p w:rsidR="000C5659" w:rsidRDefault="000E33C4">
      <w:pPr>
        <w:rPr>
          <w:rFonts w:cs="Arial"/>
          <w:color w:val="000000" w:themeColor="text1"/>
        </w:rPr>
      </w:pPr>
      <w:r>
        <w:rPr>
          <w:rFonts w:cs="Arial" w:hint="eastAsia"/>
          <w:color w:val="000000" w:themeColor="text1"/>
        </w:rPr>
        <w:t>企业合并中承担的被购买方的或有负债：</w:t>
      </w:r>
    </w:p>
    <w:sdt>
      <w:sdtPr>
        <w:rPr>
          <w:rFonts w:cs="Arial"/>
          <w:color w:val="000000" w:themeColor="text1"/>
        </w:rPr>
        <w:alias w:val="企业合并中承担的被购买方的或有负债"/>
        <w:tag w:val="_GBC_474a94bc8d6940a487785a6accd26b87"/>
        <w:id w:val="-14551940"/>
        <w:placeholder>
          <w:docPart w:val="GBC22222222222222222222222222222"/>
        </w:placeholder>
      </w:sdtPr>
      <w:sdtEndPr/>
      <w:sdtContent>
        <w:p w:rsidR="000C5659" w:rsidRDefault="000E33C4">
          <w:pPr>
            <w:rPr>
              <w:rFonts w:cs="Arial"/>
              <w:color w:val="000000" w:themeColor="text1"/>
            </w:rPr>
          </w:pPr>
          <w:r>
            <w:rPr>
              <w:rFonts w:cs="Arial" w:hint="eastAsia"/>
              <w:color w:val="000000" w:themeColor="text1"/>
            </w:rPr>
            <w:t>无</w:t>
          </w:r>
        </w:p>
      </w:sdtContent>
    </w:sdt>
    <w:p w:rsidR="000C5659" w:rsidRDefault="000E33C4">
      <w:pPr>
        <w:rPr>
          <w:rFonts w:cs="Arial"/>
          <w:color w:val="000000" w:themeColor="text1"/>
        </w:rPr>
      </w:pPr>
      <w:r>
        <w:rPr>
          <w:rFonts w:cs="Arial" w:hint="eastAsia"/>
          <w:color w:val="000000" w:themeColor="text1"/>
        </w:rPr>
        <w:t>其他说明：</w:t>
      </w:r>
    </w:p>
    <w:sdt>
      <w:sdtPr>
        <w:rPr>
          <w:rFonts w:cs="Arial"/>
          <w:color w:val="000000" w:themeColor="text1"/>
        </w:rPr>
        <w:alias w:val="被购买方于购买日可辨认资产、负债的其他说明"/>
        <w:tag w:val="_GBC_dd8b59b904e64ba0bb442dee8b4568e6"/>
        <w:id w:val="-1443990542"/>
        <w:placeholder>
          <w:docPart w:val="GBC22222222222222222222222222222"/>
        </w:placeholder>
      </w:sdtPr>
      <w:sdtEndPr/>
      <w:sdtContent>
        <w:p w:rsidR="000C5659" w:rsidRDefault="000E33C4">
          <w:pPr>
            <w:rPr>
              <w:rFonts w:cs="Arial"/>
              <w:color w:val="000000" w:themeColor="text1"/>
            </w:rPr>
          </w:pPr>
          <w:r>
            <w:rPr>
              <w:rFonts w:cs="Arial" w:hint="eastAsia"/>
              <w:color w:val="000000" w:themeColor="text1"/>
            </w:rPr>
            <w:t>无</w:t>
          </w:r>
        </w:p>
      </w:sdtContent>
    </w:sdt>
    <w:p w:rsidR="000C5659" w:rsidRDefault="000C5659">
      <w:pPr>
        <w:rPr>
          <w:color w:val="000000" w:themeColor="text1"/>
        </w:rPr>
      </w:pPr>
    </w:p>
    <w:p w:rsidR="000C5659" w:rsidRDefault="000E33C4" w:rsidP="000743DD">
      <w:pPr>
        <w:pStyle w:val="Style165"/>
        <w:numPr>
          <w:ilvl w:val="0"/>
          <w:numId w:val="96"/>
        </w:numPr>
        <w:ind w:left="426" w:hanging="426"/>
        <w:rPr>
          <w:rFonts w:ascii="Calibri" w:hAnsi="Calibri"/>
          <w:color w:val="000000" w:themeColor="text1"/>
          <w:szCs w:val="22"/>
        </w:rPr>
      </w:pPr>
      <w:bookmarkStart w:id="355" w:name="_Hlk169011108"/>
      <w:r>
        <w:rPr>
          <w:rFonts w:hint="eastAsia"/>
          <w:color w:val="000000" w:themeColor="text1"/>
        </w:rPr>
        <w:t>购买日之前持有的股权按照公允价值重新计量产生的利得或损失</w:t>
      </w:r>
    </w:p>
    <w:p w:rsidR="000C5659" w:rsidRDefault="000E33C4">
      <w:pPr>
        <w:rPr>
          <w:rFonts w:ascii="Calibri" w:hAnsi="Calibri" w:cs="Times New Roman"/>
          <w:color w:val="000000" w:themeColor="text1"/>
          <w:kern w:val="2"/>
          <w:szCs w:val="22"/>
        </w:rPr>
      </w:pPr>
      <w:r>
        <w:rPr>
          <w:rFonts w:hint="eastAsia"/>
          <w:color w:val="000000" w:themeColor="text1"/>
        </w:rPr>
        <w:t>是否存在通过多次交易分步实现企业合并且在报告期内取得控制权的交易</w:t>
      </w:r>
    </w:p>
    <w:p w:rsidR="000C5659" w:rsidRDefault="00220B84">
      <w:pPr>
        <w:rPr>
          <w:rFonts w:cs="Arial"/>
          <w:color w:val="000000" w:themeColor="text1"/>
        </w:rPr>
      </w:pPr>
      <w:sdt>
        <w:sdtPr>
          <w:rPr>
            <w:color w:val="000000" w:themeColor="text1"/>
          </w:rPr>
          <w:alias w:val="是否存在通过多次交易分步实现企业合并且在本报告期取得控制权的情形[双击切换]"/>
          <w:tag w:val="_GBC_4a7c18909bcc47eb9c6f2ab2c0181eee"/>
          <w:id w:val="1967237807"/>
          <w:placeholder>
            <w:docPart w:val="GBC22222222222222222222222222222"/>
          </w:placeholder>
        </w:sdtPr>
        <w:sdtEndPr/>
        <w:sdtContent>
          <w:r w:rsidR="000E33C4">
            <w:rPr>
              <w:color w:val="000000" w:themeColor="text1"/>
            </w:rPr>
            <w:fldChar w:fldCharType="begin"/>
          </w:r>
          <w:r w:rsidR="000E33C4">
            <w:rPr>
              <w:rFonts w:hint="eastAsia"/>
              <w:color w:val="000000" w:themeColor="text1"/>
            </w:rPr>
            <w:instrText xml:space="preserve">MACROBUTTON  SnrToggleCheckbox □适用 </w:instrText>
          </w:r>
          <w:r w:rsidR="000E33C4">
            <w:rPr>
              <w:color w:val="000000" w:themeColor="text1"/>
            </w:rPr>
            <w:fldChar w:fldCharType="end"/>
          </w:r>
          <w:r w:rsidR="000E33C4">
            <w:rPr>
              <w:color w:val="000000" w:themeColor="text1"/>
            </w:rPr>
            <w:fldChar w:fldCharType="begin"/>
          </w:r>
          <w:r w:rsidR="000E33C4">
            <w:rPr>
              <w:rFonts w:hint="eastAsia"/>
              <w:color w:val="000000" w:themeColor="text1"/>
            </w:rPr>
            <w:instrText xml:space="preserve"> MACROBUTTON  SnrToggleCheckbox √不适用 </w:instrText>
          </w:r>
          <w:r w:rsidR="000E33C4">
            <w:rPr>
              <w:color w:val="000000" w:themeColor="text1"/>
            </w:rPr>
            <w:fldChar w:fldCharType="end"/>
          </w:r>
        </w:sdtContent>
      </w:sdt>
    </w:p>
    <w:bookmarkEnd w:id="355"/>
    <w:p w:rsidR="000C5659" w:rsidRDefault="000C5659">
      <w:pPr>
        <w:rPr>
          <w:rFonts w:cs="Arial"/>
          <w:color w:val="000000" w:themeColor="text1"/>
        </w:rPr>
      </w:pPr>
    </w:p>
    <w:p w:rsidR="000C5659" w:rsidRDefault="000E33C4" w:rsidP="000743DD">
      <w:pPr>
        <w:pStyle w:val="Style165"/>
        <w:numPr>
          <w:ilvl w:val="0"/>
          <w:numId w:val="96"/>
        </w:numPr>
        <w:ind w:left="0" w:firstLine="0"/>
        <w:rPr>
          <w:rFonts w:cs="Arial"/>
          <w:color w:val="000000" w:themeColor="text1"/>
          <w:kern w:val="0"/>
          <w:szCs w:val="24"/>
        </w:rPr>
      </w:pPr>
      <w:r>
        <w:rPr>
          <w:rFonts w:cs="Arial" w:hint="eastAsia"/>
          <w:color w:val="000000" w:themeColor="text1"/>
          <w:kern w:val="0"/>
          <w:szCs w:val="24"/>
        </w:rPr>
        <w:t>购买日或合并当期期末无法合理确定合并对价或被购买方可辨认资产、负债公允价值的相关说明</w:t>
      </w:r>
    </w:p>
    <w:sdt>
      <w:sdtPr>
        <w:rPr>
          <w:color w:val="000000" w:themeColor="text1"/>
        </w:rPr>
        <w:alias w:val="是否适用：购买日或合并当期期末无法合理确定合并对价或被购买方可辨认资产、负债公允价值的相关说明[双击切换]"/>
        <w:tag w:val="_GBC_e8a75ceb0d7e4c35bfc03d5c6782889f"/>
        <w:id w:val="435256757"/>
        <w:placeholder>
          <w:docPart w:val="GBC22222222222222222222222222222"/>
        </w:placeholder>
      </w:sdtPr>
      <w:sdtEndPr/>
      <w:sdtContent>
        <w:p w:rsidR="000C5659" w:rsidRDefault="000E33C4">
          <w:pPr>
            <w:rPr>
              <w:rFonts w:cs="Arial"/>
              <w:b/>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165"/>
        <w:numPr>
          <w:ilvl w:val="0"/>
          <w:numId w:val="96"/>
        </w:numPr>
        <w:ind w:left="0" w:firstLine="0"/>
        <w:rPr>
          <w:rFonts w:cs="Arial"/>
          <w:color w:val="000000" w:themeColor="text1"/>
          <w:kern w:val="0"/>
          <w:szCs w:val="24"/>
        </w:rPr>
      </w:pPr>
      <w:r>
        <w:rPr>
          <w:rFonts w:cs="Arial" w:hint="eastAsia"/>
          <w:color w:val="000000" w:themeColor="text1"/>
          <w:kern w:val="0"/>
          <w:szCs w:val="24"/>
        </w:rPr>
        <w:t>其他说明</w:t>
      </w:r>
    </w:p>
    <w:sdt>
      <w:sdtPr>
        <w:rPr>
          <w:color w:val="000000" w:themeColor="text1"/>
        </w:rPr>
        <w:alias w:val="是否适用：非同一控制下企业合并其他需要说明的事项[双击切换]"/>
        <w:tag w:val="_GBC_ab58bf6b03504b3d88a49a138127fd98"/>
        <w:id w:val="35315598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p w:rsidR="000C5659" w:rsidRDefault="00220B84">
          <w:pPr>
            <w:rPr>
              <w:rFonts w:cstheme="minorBidi"/>
              <w:color w:val="000000" w:themeColor="text1"/>
            </w:rPr>
          </w:pPr>
        </w:p>
      </w:sdtContent>
    </w:sdt>
    <w:p w:rsidR="000C5659" w:rsidRDefault="000E33C4" w:rsidP="000743DD">
      <w:pPr>
        <w:pStyle w:val="Style163"/>
        <w:numPr>
          <w:ilvl w:val="0"/>
          <w:numId w:val="95"/>
        </w:numPr>
        <w:rPr>
          <w:rFonts w:ascii="宋体" w:hAnsi="宋体" w:cs="Arial"/>
          <w:color w:val="000000" w:themeColor="text1"/>
          <w:szCs w:val="21"/>
        </w:rPr>
      </w:pPr>
      <w:r>
        <w:rPr>
          <w:rFonts w:ascii="宋体" w:hAnsi="宋体" w:cs="Arial" w:hint="eastAsia"/>
          <w:color w:val="000000" w:themeColor="text1"/>
          <w:szCs w:val="21"/>
        </w:rPr>
        <w:t>同一控制下企业合并</w:t>
      </w:r>
    </w:p>
    <w:sdt>
      <w:sdtPr>
        <w:rPr>
          <w:color w:val="000000" w:themeColor="text1"/>
        </w:rPr>
        <w:alias w:val="是否适用：同一控制下企业合并[双击切换]"/>
        <w:tag w:val="_GBC_cde296136a1d4f2094eb79d21291eae2"/>
        <w:id w:val="91774743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97"/>
        </w:numPr>
        <w:rPr>
          <w:rFonts w:cs="Arial"/>
          <w:color w:val="000000" w:themeColor="text1"/>
          <w:kern w:val="0"/>
          <w:szCs w:val="24"/>
        </w:rPr>
      </w:pPr>
      <w:r>
        <w:rPr>
          <w:rFonts w:cs="Arial" w:hint="eastAsia"/>
          <w:color w:val="000000" w:themeColor="text1"/>
          <w:kern w:val="0"/>
          <w:szCs w:val="24"/>
        </w:rPr>
        <w:t>本期发生的同一控制下企业合并</w:t>
      </w:r>
    </w:p>
    <w:sdt>
      <w:sdtPr>
        <w:rPr>
          <w:color w:val="000000" w:themeColor="text1"/>
        </w:rPr>
        <w:alias w:val="是否适用：本期发生的同一控制下企业合并[双击切换]"/>
        <w:tag w:val="_GBC_ab717a33fda94a748576343d4e39503a"/>
        <w:id w:val="1060451971"/>
        <w:placeholder>
          <w:docPart w:val="GBC22222222222222222222222222222"/>
        </w:placeholder>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165"/>
        <w:numPr>
          <w:ilvl w:val="0"/>
          <w:numId w:val="97"/>
        </w:numPr>
        <w:rPr>
          <w:rFonts w:cs="Arial"/>
          <w:color w:val="000000" w:themeColor="text1"/>
          <w:kern w:val="0"/>
          <w:szCs w:val="24"/>
        </w:rPr>
      </w:pPr>
      <w:r>
        <w:rPr>
          <w:rFonts w:cs="Arial" w:hint="eastAsia"/>
          <w:color w:val="000000" w:themeColor="text1"/>
          <w:kern w:val="0"/>
          <w:szCs w:val="24"/>
        </w:rPr>
        <w:t>合并成本</w:t>
      </w:r>
    </w:p>
    <w:p w:rsidR="000C5659" w:rsidRDefault="00220B84">
      <w:pPr>
        <w:rPr>
          <w:rFonts w:cstheme="minorBidi"/>
          <w:color w:val="000000" w:themeColor="text1"/>
        </w:rPr>
      </w:pPr>
      <w:sdt>
        <w:sdtPr>
          <w:rPr>
            <w:color w:val="000000" w:themeColor="text1"/>
          </w:rPr>
          <w:alias w:val="是否适用：合并成本[双击切换]"/>
          <w:tag w:val="_GBC_1e3feddd46da4a95805d8f480f4c84d9"/>
          <w:id w:val="-1889255662"/>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rFonts w:cs="Arial"/>
          <w:color w:val="000000" w:themeColor="text1"/>
        </w:rPr>
      </w:pPr>
    </w:p>
    <w:p w:rsidR="000C5659" w:rsidRDefault="000E33C4" w:rsidP="000743DD">
      <w:pPr>
        <w:pStyle w:val="Style165"/>
        <w:numPr>
          <w:ilvl w:val="0"/>
          <w:numId w:val="97"/>
        </w:numPr>
        <w:rPr>
          <w:rFonts w:cs="Arial"/>
          <w:color w:val="000000" w:themeColor="text1"/>
          <w:kern w:val="0"/>
          <w:szCs w:val="24"/>
        </w:rPr>
      </w:pPr>
      <w:r>
        <w:rPr>
          <w:rFonts w:cs="Arial" w:hint="eastAsia"/>
          <w:color w:val="000000" w:themeColor="text1"/>
          <w:kern w:val="0"/>
          <w:szCs w:val="24"/>
        </w:rPr>
        <w:t>合并日被合并方资产、负债的账面价值</w:t>
      </w:r>
    </w:p>
    <w:p w:rsidR="000C5659" w:rsidRDefault="00220B84">
      <w:pPr>
        <w:rPr>
          <w:rFonts w:cs="Arial"/>
          <w:color w:val="000000" w:themeColor="text1"/>
        </w:rPr>
      </w:pPr>
      <w:sdt>
        <w:sdtPr>
          <w:rPr>
            <w:color w:val="000000" w:themeColor="text1"/>
          </w:rPr>
          <w:alias w:val="是否适用：合并日被合并方资产、负债的账面价值[双击切换]"/>
          <w:tag w:val="_GBC_b46a615b0ac64c019a83debe19fe4c1c"/>
          <w:id w:val="-718212294"/>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C5659">
      <w:pPr>
        <w:rPr>
          <w:color w:val="000000" w:themeColor="text1"/>
        </w:rPr>
      </w:pPr>
    </w:p>
    <w:p w:rsidR="000C5659" w:rsidRDefault="000E33C4">
      <w:pPr>
        <w:rPr>
          <w:rFonts w:cs="Arial"/>
          <w:color w:val="000000" w:themeColor="text1"/>
        </w:rPr>
      </w:pPr>
      <w:r>
        <w:rPr>
          <w:rFonts w:cs="Arial" w:hint="eastAsia"/>
          <w:color w:val="000000" w:themeColor="text1"/>
        </w:rPr>
        <w:t>其他说明：</w:t>
      </w:r>
    </w:p>
    <w:sdt>
      <w:sdtPr>
        <w:rPr>
          <w:rFonts w:cs="Arial"/>
          <w:color w:val="000000" w:themeColor="text1"/>
        </w:rPr>
        <w:alias w:val="是否适用：被合并方的资产、负债的说明[双击切换]"/>
        <w:tag w:val="_GBC_8f372a5c0c69446aabb6ef4fb8f7c20e"/>
        <w:id w:val="1400557670"/>
        <w:placeholder>
          <w:docPart w:val="GBC22222222222222222222222222222"/>
        </w:placeholder>
      </w:sdtPr>
      <w:sdtEndPr/>
      <w:sdtContent>
        <w:p w:rsidR="000C5659" w:rsidRDefault="000E33C4">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95"/>
        </w:numPr>
        <w:rPr>
          <w:rFonts w:ascii="宋体" w:hAnsi="宋体" w:cs="Arial"/>
          <w:color w:val="000000" w:themeColor="text1"/>
          <w:szCs w:val="21"/>
        </w:rPr>
      </w:pPr>
      <w:r>
        <w:rPr>
          <w:rFonts w:ascii="宋体" w:hAnsi="宋体" w:cs="Arial" w:hint="eastAsia"/>
          <w:color w:val="000000" w:themeColor="text1"/>
          <w:szCs w:val="21"/>
        </w:rPr>
        <w:t>反向购买</w:t>
      </w:r>
    </w:p>
    <w:sdt>
      <w:sdtPr>
        <w:rPr>
          <w:color w:val="000000" w:themeColor="text1"/>
        </w:rPr>
        <w:alias w:val="是否适用：反向购买[双击切换]"/>
        <w:tag w:val="_GBC_973cde3cea5d460790de47cc49169bde"/>
        <w:id w:val="1243685854"/>
        <w:placeholder>
          <w:docPart w:val="GBC22222222222222222222222222222"/>
        </w:placeholder>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163"/>
        <w:numPr>
          <w:ilvl w:val="0"/>
          <w:numId w:val="95"/>
        </w:numPr>
        <w:rPr>
          <w:rFonts w:ascii="宋体" w:hAnsi="宋体" w:cs="Arial"/>
          <w:color w:val="000000" w:themeColor="text1"/>
          <w:szCs w:val="21"/>
        </w:rPr>
      </w:pPr>
      <w:bookmarkStart w:id="356" w:name="_Hlk167975840"/>
      <w:r>
        <w:rPr>
          <w:rFonts w:ascii="宋体" w:hAnsi="宋体" w:cs="Arial" w:hint="eastAsia"/>
          <w:color w:val="000000" w:themeColor="text1"/>
          <w:szCs w:val="21"/>
        </w:rPr>
        <w:t>处置子公司</w:t>
      </w:r>
    </w:p>
    <w:p w:rsidR="000C5659" w:rsidRDefault="000E33C4">
      <w:pPr>
        <w:rPr>
          <w:color w:val="000000" w:themeColor="text1"/>
        </w:rPr>
      </w:pPr>
      <w:r>
        <w:rPr>
          <w:rFonts w:hint="eastAsia"/>
          <w:color w:val="000000" w:themeColor="text1"/>
        </w:rPr>
        <w:t>本期是否存在</w:t>
      </w:r>
      <w:r>
        <w:rPr>
          <w:color w:val="000000" w:themeColor="text1"/>
        </w:rPr>
        <w:t>丧失</w:t>
      </w:r>
      <w:r>
        <w:rPr>
          <w:rFonts w:hint="eastAsia"/>
          <w:color w:val="000000" w:themeColor="text1"/>
        </w:rPr>
        <w:t>子公司</w:t>
      </w:r>
      <w:r>
        <w:rPr>
          <w:color w:val="000000" w:themeColor="text1"/>
        </w:rPr>
        <w:t>控制权</w:t>
      </w:r>
      <w:r>
        <w:rPr>
          <w:rFonts w:hint="eastAsia"/>
          <w:color w:val="000000" w:themeColor="text1"/>
        </w:rPr>
        <w:t>的交易或事项</w:t>
      </w:r>
    </w:p>
    <w:sdt>
      <w:sdtPr>
        <w:rPr>
          <w:rFonts w:cs="Arial" w:hint="eastAsia"/>
          <w:color w:val="000000" w:themeColor="text1"/>
        </w:rPr>
        <w:alias w:val="是否存在单次交易处置对子公司投资即丧失控制权的情形[双击切换]"/>
        <w:tag w:val="_GBC_3326559ea8a84c1f80452d301a368ec5"/>
        <w:id w:val="-412238971"/>
        <w:placeholder>
          <w:docPart w:val="GBC22222222222222222222222222222"/>
        </w:placeholder>
      </w:sdtPr>
      <w:sdtEndPr/>
      <w:sdtContent>
        <w:p w:rsidR="000C5659" w:rsidRDefault="000E33C4">
          <w:pPr>
            <w:rPr>
              <w:rFonts w:cs="Arial"/>
              <w:color w:val="000000" w:themeColor="text1"/>
            </w:rPr>
          </w:pPr>
          <w:r>
            <w:rPr>
              <w:rFonts w:cs="Arial"/>
              <w:color w:val="000000" w:themeColor="text1"/>
            </w:rPr>
            <w:fldChar w:fldCharType="begin"/>
          </w:r>
          <w:r>
            <w:rPr>
              <w:rFonts w:cs="Arial"/>
              <w:color w:val="000000" w:themeColor="text1"/>
            </w:rPr>
            <w:instrText xml:space="preserve">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rPr>
          <w:color w:val="000000" w:themeColor="text1"/>
        </w:rPr>
      </w:pPr>
    </w:p>
    <w:p w:rsidR="000C5659" w:rsidRDefault="000E33C4">
      <w:pPr>
        <w:rPr>
          <w:rFonts w:cs="Arial"/>
          <w:color w:val="000000" w:themeColor="text1"/>
        </w:rPr>
      </w:pPr>
      <w:r>
        <w:rPr>
          <w:rFonts w:cs="Arial" w:hint="eastAsia"/>
          <w:color w:val="000000" w:themeColor="text1"/>
        </w:rPr>
        <w:t>其他说明：</w:t>
      </w:r>
    </w:p>
    <w:sdt>
      <w:sdtPr>
        <w:rPr>
          <w:rFonts w:cs="Arial"/>
          <w:color w:val="000000" w:themeColor="text1"/>
        </w:rPr>
        <w:alias w:val="是否适用：单次交易处置对子公司投资即丧失控制权的情形的说明[双击切换]"/>
        <w:tag w:val="_GBC_29528d4c1c444136b1c9a196f82e0e52"/>
        <w:id w:val="1150946935"/>
        <w:placeholder>
          <w:docPart w:val="GBC22222222222222222222222222222"/>
        </w:placeholder>
      </w:sdtPr>
      <w:sdtEndPr/>
      <w:sdtContent>
        <w:p w:rsidR="000C5659" w:rsidRDefault="000E33C4">
          <w:pPr>
            <w:rPr>
              <w:color w:val="000000" w:themeColor="text1"/>
            </w:rPr>
          </w:pPr>
          <w:r>
            <w:rPr>
              <w:rFonts w:cs="Arial"/>
              <w:color w:val="000000" w:themeColor="text1"/>
            </w:rPr>
            <w:fldChar w:fldCharType="begin"/>
          </w:r>
          <w:r>
            <w:rPr>
              <w:rFonts w:cs="Arial"/>
              <w:color w:val="000000" w:themeColor="text1"/>
            </w:rPr>
            <w:instrText xml:space="preserve">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pStyle w:val="affd"/>
        <w:rPr>
          <w:color w:val="000000" w:themeColor="text1"/>
        </w:rPr>
      </w:pPr>
    </w:p>
    <w:p w:rsidR="000C5659" w:rsidRDefault="000E33C4">
      <w:pPr>
        <w:rPr>
          <w:rFonts w:cs="Arial"/>
          <w:color w:val="000000" w:themeColor="text1"/>
        </w:rPr>
      </w:pPr>
      <w:bookmarkStart w:id="357" w:name="_Hlk153549147"/>
      <w:r>
        <w:rPr>
          <w:rFonts w:cs="Arial" w:hint="eastAsia"/>
          <w:color w:val="000000" w:themeColor="text1"/>
        </w:rPr>
        <w:t>是否存在通过多次交易分步处置对子公司投资且在本期丧失控制权的情形</w:t>
      </w:r>
    </w:p>
    <w:sdt>
      <w:sdtPr>
        <w:rPr>
          <w:rFonts w:hint="eastAsia"/>
          <w:color w:val="000000" w:themeColor="text1"/>
        </w:rPr>
        <w:alias w:val="是否存在通过多次交易分步处置对子公司投资且在本期丧失控制权的情形[双击切换]"/>
        <w:tag w:val="_GBC_1aa1c46a77684c9fbd35fa14e4e37b0c"/>
        <w:id w:val="868181906"/>
        <w:placeholder>
          <w:docPart w:val="GBC22222222222222222222222222222"/>
        </w:placeholder>
      </w:sdtPr>
      <w:sdtEndPr/>
      <w:sdtContent>
        <w:p w:rsidR="000C5659" w:rsidRDefault="000E33C4">
          <w:pPr>
            <w:pStyle w:val="affd"/>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rsidR="000C5659" w:rsidRDefault="000C5659">
      <w:pPr>
        <w:pStyle w:val="Style325"/>
      </w:pPr>
    </w:p>
    <w:bookmarkEnd w:id="357"/>
    <w:p w:rsidR="000C5659" w:rsidRDefault="000E33C4">
      <w:pPr>
        <w:rPr>
          <w:rFonts w:cs="Arial"/>
          <w:color w:val="000000" w:themeColor="text1"/>
        </w:rPr>
      </w:pPr>
      <w:r>
        <w:rPr>
          <w:rFonts w:cs="Arial" w:hint="eastAsia"/>
          <w:color w:val="000000" w:themeColor="text1"/>
        </w:rPr>
        <w:t>其他说明：</w:t>
      </w:r>
    </w:p>
    <w:sdt>
      <w:sdtPr>
        <w:rPr>
          <w:rFonts w:cs="Arial"/>
          <w:color w:val="000000" w:themeColor="text1"/>
        </w:rPr>
        <w:alias w:val="是否适用：是否存在通过多次交易分步处置对子公司投资且在本期丧失控制权的情形的说明[双击切换]"/>
        <w:tag w:val="_GBC_4d734455db284d62936c6dddb9394149"/>
        <w:id w:val="-1541897861"/>
        <w:placeholder>
          <w:docPart w:val="GBC22222222222222222222222222222"/>
        </w:placeholder>
      </w:sdtPr>
      <w:sdtEndPr/>
      <w:sdtContent>
        <w:p w:rsidR="000C5659" w:rsidRDefault="000E33C4">
          <w:pPr>
            <w:rPr>
              <w:rFonts w:ascii="Calibri" w:hAnsi="Calibri"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rPr>
          <w:rFonts w:ascii="Calibri" w:hAnsi="Calibri" w:cs="Arial"/>
          <w:color w:val="000000" w:themeColor="text1"/>
        </w:rPr>
      </w:pPr>
    </w:p>
    <w:bookmarkEnd w:id="356"/>
    <w:p w:rsidR="000C5659" w:rsidRDefault="000E33C4" w:rsidP="000743DD">
      <w:pPr>
        <w:pStyle w:val="Style163"/>
        <w:numPr>
          <w:ilvl w:val="0"/>
          <w:numId w:val="95"/>
        </w:numPr>
        <w:rPr>
          <w:rFonts w:ascii="宋体" w:hAnsi="宋体" w:cs="Arial"/>
          <w:color w:val="000000" w:themeColor="text1"/>
        </w:rPr>
      </w:pPr>
      <w:r>
        <w:rPr>
          <w:rFonts w:ascii="宋体" w:hAnsi="宋体" w:cs="Arial" w:hint="eastAsia"/>
          <w:color w:val="000000" w:themeColor="text1"/>
        </w:rPr>
        <w:t>其他原因的合并范围变动</w:t>
      </w:r>
    </w:p>
    <w:p w:rsidR="000C5659" w:rsidRDefault="000E33C4">
      <w:pPr>
        <w:rPr>
          <w:color w:val="000000" w:themeColor="text1"/>
        </w:rPr>
      </w:pPr>
      <w:r>
        <w:rPr>
          <w:rFonts w:hint="eastAsia"/>
          <w:color w:val="000000" w:themeColor="text1"/>
        </w:rPr>
        <w:t>说明其他原因导致的合并范围变动（如，新设子公司、清算子公司等）及其相关情况：</w:t>
      </w:r>
    </w:p>
    <w:sdt>
      <w:sdtPr>
        <w:rPr>
          <w:color w:val="000000" w:themeColor="text1"/>
        </w:rPr>
        <w:alias w:val="是否适用：其他原因导致的合并范围变动及其相关情况[双击切换]"/>
        <w:tag w:val="_GBC_55cbf4f78793498cb1532f08bfbb61f4"/>
        <w:id w:val="-1155519357"/>
        <w:placeholder>
          <w:docPart w:val="GBC22222222222222222222222222222"/>
        </w:placeholder>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163"/>
        <w:numPr>
          <w:ilvl w:val="0"/>
          <w:numId w:val="95"/>
        </w:numPr>
        <w:rPr>
          <w:rFonts w:ascii="宋体" w:hAnsi="宋体" w:cs="Arial"/>
          <w:color w:val="000000" w:themeColor="text1"/>
        </w:rPr>
      </w:pPr>
      <w:r>
        <w:rPr>
          <w:rFonts w:ascii="宋体" w:hAnsi="宋体" w:cs="Arial" w:hint="eastAsia"/>
          <w:color w:val="000000" w:themeColor="text1"/>
        </w:rPr>
        <w:t>其他</w:t>
      </w:r>
    </w:p>
    <w:sdt>
      <w:sdtPr>
        <w:rPr>
          <w:color w:val="000000" w:themeColor="text1"/>
        </w:rPr>
        <w:alias w:val="是否适用：合并范围的变更-其他说明[双击切换]"/>
        <w:tag w:val="_GBC_cca0ea12df6c44878cdcbeced06ed993"/>
        <w:id w:val="-290244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p w:rsidR="000C5659" w:rsidRDefault="00220B84">
          <w:pPr>
            <w:rPr>
              <w:rFonts w:cs="Arial"/>
              <w:color w:val="000000" w:themeColor="text1"/>
            </w:rPr>
          </w:pPr>
        </w:p>
      </w:sdtContent>
    </w:sdt>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在其他主体中的权益</w:t>
      </w:r>
    </w:p>
    <w:p w:rsidR="000C5659" w:rsidRDefault="000E33C4" w:rsidP="000743DD">
      <w:pPr>
        <w:pStyle w:val="Style328"/>
        <w:numPr>
          <w:ilvl w:val="2"/>
          <w:numId w:val="98"/>
        </w:numPr>
        <w:rPr>
          <w:rFonts w:ascii="宋体" w:hAnsi="宋体"/>
          <w:color w:val="000000" w:themeColor="text1"/>
        </w:rPr>
      </w:pPr>
      <w:r>
        <w:rPr>
          <w:rFonts w:ascii="宋体" w:hAnsi="宋体" w:hint="eastAsia"/>
          <w:color w:val="000000" w:themeColor="text1"/>
        </w:rPr>
        <w:t>在子公司中的权益</w:t>
      </w:r>
    </w:p>
    <w:p w:rsidR="000C5659" w:rsidRDefault="000E33C4" w:rsidP="000743DD">
      <w:pPr>
        <w:pStyle w:val="Style329"/>
        <w:numPr>
          <w:ilvl w:val="3"/>
          <w:numId w:val="99"/>
        </w:numPr>
        <w:ind w:left="426" w:hangingChars="202" w:hanging="426"/>
        <w:rPr>
          <w:color w:val="000000" w:themeColor="text1"/>
        </w:rPr>
      </w:pPr>
      <w:bookmarkStart w:id="358" w:name="_Hlk167975969"/>
      <w:r>
        <w:rPr>
          <w:rFonts w:hint="eastAsia"/>
          <w:color w:val="000000" w:themeColor="text1"/>
        </w:rPr>
        <w:t>企业集团的构成</w:t>
      </w:r>
    </w:p>
    <w:sdt>
      <w:sdtPr>
        <w:rPr>
          <w:color w:val="000000" w:themeColor="text1"/>
        </w:rPr>
        <w:alias w:val="是否适用：企业集团的构成[双击切换]"/>
        <w:tag w:val="_GBC_d1c28d303a594095b9e1cc6b9a265571"/>
        <w:id w:val="-136189172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企业集团的构成"/>
          <w:tag w:val="_GBC_02462820d05142eca3713abc443b34f5"/>
          <w:id w:val="-2312353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企业集团的构成"/>
          <w:tag w:val="_GBC_850144d278d74367b4b93ca80468f614"/>
          <w:id w:val="9226940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818"/>
        <w:gridCol w:w="1229"/>
        <w:gridCol w:w="1368"/>
        <w:gridCol w:w="957"/>
        <w:gridCol w:w="821"/>
        <w:gridCol w:w="951"/>
        <w:gridCol w:w="791"/>
      </w:tblGrid>
      <w:tr w:rsidR="000C5659">
        <w:trPr>
          <w:trHeight w:val="247"/>
        </w:trPr>
        <w:sdt>
          <w:sdtPr>
            <w:rPr>
              <w:color w:val="000000" w:themeColor="text1"/>
            </w:rPr>
            <w:tag w:val="_PLD_f9c2120a205a401daafe7d623ad6f73f"/>
            <w:id w:val="739676791"/>
          </w:sdtPr>
          <w:sdtEndPr/>
          <w:sdtContent>
            <w:tc>
              <w:tcPr>
                <w:tcW w:w="1072" w:type="pct"/>
                <w:vMerge w:val="restar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子公司</w:t>
                </w:r>
              </w:p>
              <w:p w:rsidR="000C5659" w:rsidRDefault="000E33C4">
                <w:pPr>
                  <w:jc w:val="center"/>
                  <w:rPr>
                    <w:rFonts w:cs="Arial"/>
                    <w:color w:val="000000" w:themeColor="text1"/>
                  </w:rPr>
                </w:pPr>
                <w:r>
                  <w:rPr>
                    <w:rFonts w:cs="Arial" w:hint="eastAsia"/>
                    <w:color w:val="000000" w:themeColor="text1"/>
                    <w:lang w:val="en-GB"/>
                  </w:rPr>
                  <w:t>名称</w:t>
                </w:r>
              </w:p>
            </w:tc>
          </w:sdtContent>
        </w:sdt>
        <w:sdt>
          <w:sdtPr>
            <w:rPr>
              <w:color w:val="000000" w:themeColor="text1"/>
            </w:rPr>
            <w:tag w:val="_PLD_723e5916e8d942aa8a0a08bb0a7836d4"/>
            <w:id w:val="1183090381"/>
          </w:sdtPr>
          <w:sdtEndPr/>
          <w:sdtContent>
            <w:tc>
              <w:tcPr>
                <w:tcW w:w="465" w:type="pct"/>
                <w:vMerge w:val="restar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主要经营地</w:t>
                </w:r>
              </w:p>
            </w:tc>
          </w:sdtContent>
        </w:sdt>
        <w:tc>
          <w:tcPr>
            <w:tcW w:w="698" w:type="pct"/>
            <w:vMerge w:val="restart"/>
            <w:vAlign w:val="center"/>
          </w:tcPr>
          <w:sdt>
            <w:sdtPr>
              <w:rPr>
                <w:rFonts w:hint="eastAsia"/>
                <w:color w:val="000000" w:themeColor="text1"/>
              </w:rPr>
              <w:tag w:val="_PLD_d5e3d7a26fa0476b87e5fb13adf75c0b"/>
              <w:id w:val="-1014686875"/>
            </w:sdtPr>
            <w:sdtEndPr/>
            <w:sdtContent>
              <w:p w:rsidR="000C5659" w:rsidRDefault="000E33C4">
                <w:pPr>
                  <w:jc w:val="center"/>
                  <w:rPr>
                    <w:color w:val="000000" w:themeColor="text1"/>
                  </w:rPr>
                </w:pPr>
                <w:r>
                  <w:rPr>
                    <w:rFonts w:hint="eastAsia"/>
                    <w:color w:val="000000" w:themeColor="text1"/>
                  </w:rPr>
                  <w:t>注册资本</w:t>
                </w:r>
              </w:p>
            </w:sdtContent>
          </w:sdt>
        </w:tc>
        <w:sdt>
          <w:sdtPr>
            <w:rPr>
              <w:color w:val="000000" w:themeColor="text1"/>
            </w:rPr>
            <w:tag w:val="_PLD_75992b931bd8473e8e862e94745012a5"/>
            <w:id w:val="740839070"/>
          </w:sdtPr>
          <w:sdtEndPr/>
          <w:sdtContent>
            <w:tc>
              <w:tcPr>
                <w:tcW w:w="777" w:type="pct"/>
                <w:vMerge w:val="restar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注册地</w:t>
                </w:r>
              </w:p>
            </w:tc>
          </w:sdtContent>
        </w:sdt>
        <w:sdt>
          <w:sdtPr>
            <w:rPr>
              <w:color w:val="000000" w:themeColor="text1"/>
            </w:rPr>
            <w:tag w:val="_PLD_81986d200a3740efb1af7efc5e522b86"/>
            <w:id w:val="1569540875"/>
          </w:sdtPr>
          <w:sdtEndPr/>
          <w:sdtContent>
            <w:tc>
              <w:tcPr>
                <w:tcW w:w="544" w:type="pct"/>
                <w:vMerge w:val="restar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业务性质</w:t>
                </w:r>
              </w:p>
            </w:tc>
          </w:sdtContent>
        </w:sdt>
        <w:sdt>
          <w:sdtPr>
            <w:rPr>
              <w:color w:val="000000" w:themeColor="text1"/>
            </w:rPr>
            <w:tag w:val="_PLD_03c285667c254271b982c3c49476d597"/>
            <w:id w:val="836268929"/>
          </w:sdtPr>
          <w:sdtEndPr/>
          <w:sdtContent>
            <w:tc>
              <w:tcPr>
                <w:tcW w:w="993" w:type="pct"/>
                <w:gridSpan w:val="2"/>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持股比例</w:t>
                </w:r>
                <w:r>
                  <w:rPr>
                    <w:rFonts w:cs="Arial"/>
                    <w:color w:val="000000" w:themeColor="text1"/>
                  </w:rPr>
                  <w:t>(%)</w:t>
                </w:r>
              </w:p>
            </w:tc>
          </w:sdtContent>
        </w:sdt>
        <w:sdt>
          <w:sdtPr>
            <w:rPr>
              <w:color w:val="000000" w:themeColor="text1"/>
            </w:rPr>
            <w:tag w:val="_PLD_b9a7fd2e9d044a72815c35f904479ae4"/>
            <w:id w:val="1985343353"/>
          </w:sdtPr>
          <w:sdtEndPr/>
          <w:sdtContent>
            <w:tc>
              <w:tcPr>
                <w:tcW w:w="450" w:type="pct"/>
                <w:vMerge w:val="restart"/>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取得</w:t>
                </w:r>
              </w:p>
              <w:p w:rsidR="000C5659" w:rsidRDefault="000E33C4">
                <w:pPr>
                  <w:jc w:val="center"/>
                  <w:rPr>
                    <w:rFonts w:cs="Arial"/>
                    <w:color w:val="000000" w:themeColor="text1"/>
                    <w:lang w:val="en-GB"/>
                  </w:rPr>
                </w:pPr>
                <w:r>
                  <w:rPr>
                    <w:rFonts w:cs="Arial" w:hint="eastAsia"/>
                    <w:color w:val="000000" w:themeColor="text1"/>
                    <w:lang w:val="en-GB"/>
                  </w:rPr>
                  <w:t>方式</w:t>
                </w:r>
              </w:p>
            </w:tc>
          </w:sdtContent>
        </w:sdt>
      </w:tr>
      <w:tr w:rsidR="000C5659">
        <w:trPr>
          <w:trHeight w:val="278"/>
        </w:trPr>
        <w:tc>
          <w:tcPr>
            <w:tcW w:w="1072" w:type="pct"/>
            <w:vMerge/>
            <w:shd w:val="clear" w:color="auto" w:fill="auto"/>
            <w:vAlign w:val="center"/>
          </w:tcPr>
          <w:p w:rsidR="000C5659" w:rsidRDefault="000C5659">
            <w:pPr>
              <w:rPr>
                <w:rFonts w:cs="Arial"/>
                <w:color w:val="000000" w:themeColor="text1"/>
              </w:rPr>
            </w:pPr>
          </w:p>
        </w:tc>
        <w:tc>
          <w:tcPr>
            <w:tcW w:w="465" w:type="pct"/>
            <w:vMerge/>
            <w:shd w:val="clear" w:color="auto" w:fill="auto"/>
            <w:vAlign w:val="center"/>
          </w:tcPr>
          <w:p w:rsidR="000C5659" w:rsidRDefault="000C5659">
            <w:pPr>
              <w:rPr>
                <w:rFonts w:cs="Arial"/>
                <w:color w:val="000000" w:themeColor="text1"/>
              </w:rPr>
            </w:pPr>
          </w:p>
        </w:tc>
        <w:tc>
          <w:tcPr>
            <w:tcW w:w="698" w:type="pct"/>
            <w:vMerge/>
          </w:tcPr>
          <w:p w:rsidR="000C5659" w:rsidRDefault="000C5659">
            <w:pPr>
              <w:rPr>
                <w:rFonts w:cs="Arial"/>
                <w:color w:val="000000" w:themeColor="text1"/>
              </w:rPr>
            </w:pPr>
          </w:p>
        </w:tc>
        <w:tc>
          <w:tcPr>
            <w:tcW w:w="777" w:type="pct"/>
            <w:vMerge/>
            <w:shd w:val="clear" w:color="auto" w:fill="auto"/>
            <w:vAlign w:val="center"/>
          </w:tcPr>
          <w:p w:rsidR="000C5659" w:rsidRDefault="000C5659">
            <w:pPr>
              <w:rPr>
                <w:rFonts w:cs="Arial"/>
                <w:color w:val="000000" w:themeColor="text1"/>
              </w:rPr>
            </w:pPr>
          </w:p>
        </w:tc>
        <w:tc>
          <w:tcPr>
            <w:tcW w:w="544" w:type="pct"/>
            <w:vMerge/>
            <w:shd w:val="clear" w:color="auto" w:fill="auto"/>
            <w:vAlign w:val="center"/>
          </w:tcPr>
          <w:p w:rsidR="000C5659" w:rsidRDefault="000C5659">
            <w:pPr>
              <w:rPr>
                <w:rFonts w:cs="Arial"/>
                <w:color w:val="000000" w:themeColor="text1"/>
              </w:rPr>
            </w:pPr>
          </w:p>
        </w:tc>
        <w:sdt>
          <w:sdtPr>
            <w:rPr>
              <w:color w:val="000000" w:themeColor="text1"/>
            </w:rPr>
            <w:tag w:val="_PLD_de578ebcf9ae4a679d3c9d71857b038a"/>
            <w:id w:val="1583102605"/>
          </w:sdtPr>
          <w:sdtEndPr/>
          <w:sdtContent>
            <w:tc>
              <w:tcPr>
                <w:tcW w:w="467" w:type="pc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直接</w:t>
                </w:r>
              </w:p>
            </w:tc>
          </w:sdtContent>
        </w:sdt>
        <w:sdt>
          <w:sdtPr>
            <w:rPr>
              <w:color w:val="000000" w:themeColor="text1"/>
            </w:rPr>
            <w:tag w:val="_PLD_154fe2dd001b4c93b14ff5f5aec1fbc8"/>
            <w:id w:val="-2023540915"/>
          </w:sdtPr>
          <w:sdtEndPr/>
          <w:sdtContent>
            <w:tc>
              <w:tcPr>
                <w:tcW w:w="525" w:type="pct"/>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间接</w:t>
                </w:r>
              </w:p>
            </w:tc>
          </w:sdtContent>
        </w:sdt>
        <w:tc>
          <w:tcPr>
            <w:tcW w:w="450" w:type="pct"/>
            <w:vMerge/>
          </w:tcPr>
          <w:p w:rsidR="000C5659" w:rsidRDefault="000C5659">
            <w:pPr>
              <w:rPr>
                <w:rFonts w:cs="Arial"/>
                <w:color w:val="000000" w:themeColor="text1"/>
              </w:rPr>
            </w:pPr>
          </w:p>
        </w:tc>
      </w:tr>
      <w:tr w:rsidR="000C5659" w:rsidTr="0006345B">
        <w:tc>
          <w:tcPr>
            <w:tcW w:w="1072" w:type="pct"/>
            <w:vAlign w:val="center"/>
          </w:tcPr>
          <w:p w:rsidR="000C5659" w:rsidRDefault="000E33C4">
            <w:pPr>
              <w:snapToGrid w:val="0"/>
              <w:rPr>
                <w:szCs w:val="18"/>
              </w:rPr>
            </w:pPr>
            <w:r>
              <w:rPr>
                <w:szCs w:val="18"/>
              </w:rPr>
              <w:t>扬州倍加洁日化有限公司</w:t>
            </w:r>
          </w:p>
        </w:tc>
        <w:tc>
          <w:tcPr>
            <w:tcW w:w="465" w:type="pct"/>
            <w:vAlign w:val="center"/>
          </w:tcPr>
          <w:p w:rsidR="000C5659" w:rsidRDefault="000E33C4">
            <w:pPr>
              <w:snapToGrid w:val="0"/>
              <w:rPr>
                <w:szCs w:val="18"/>
              </w:rPr>
            </w:pPr>
            <w:r>
              <w:rPr>
                <w:szCs w:val="18"/>
              </w:rPr>
              <w:t>江苏省扬州市</w:t>
            </w:r>
          </w:p>
        </w:tc>
        <w:tc>
          <w:tcPr>
            <w:tcW w:w="698" w:type="pct"/>
            <w:vAlign w:val="center"/>
          </w:tcPr>
          <w:p w:rsidR="000C5659" w:rsidRDefault="000E33C4" w:rsidP="0006345B">
            <w:pPr>
              <w:jc w:val="right"/>
              <w:textAlignment w:val="center"/>
            </w:pPr>
            <w:r>
              <w:rPr>
                <w:rFonts w:hint="eastAsia"/>
                <w:color w:val="000000"/>
                <w:lang w:bidi="ar"/>
              </w:rPr>
              <w:t>5,241.12</w:t>
            </w:r>
          </w:p>
        </w:tc>
        <w:tc>
          <w:tcPr>
            <w:tcW w:w="777" w:type="pct"/>
            <w:vAlign w:val="center"/>
          </w:tcPr>
          <w:p w:rsidR="000C5659" w:rsidRDefault="000E33C4">
            <w:pPr>
              <w:snapToGrid w:val="0"/>
              <w:rPr>
                <w:szCs w:val="18"/>
              </w:rPr>
            </w:pPr>
            <w:r>
              <w:rPr>
                <w:szCs w:val="18"/>
              </w:rPr>
              <w:t>江苏省扬州市</w:t>
            </w:r>
          </w:p>
        </w:tc>
        <w:tc>
          <w:tcPr>
            <w:tcW w:w="544" w:type="pct"/>
            <w:vAlign w:val="center"/>
          </w:tcPr>
          <w:p w:rsidR="000C5659" w:rsidRDefault="000E33C4">
            <w:pPr>
              <w:snapToGrid w:val="0"/>
              <w:rPr>
                <w:szCs w:val="18"/>
              </w:rPr>
            </w:pPr>
            <w:r>
              <w:rPr>
                <w:szCs w:val="18"/>
              </w:rPr>
              <w:t>制造业</w:t>
            </w:r>
          </w:p>
        </w:tc>
        <w:tc>
          <w:tcPr>
            <w:tcW w:w="467" w:type="pct"/>
            <w:vAlign w:val="center"/>
          </w:tcPr>
          <w:p w:rsidR="000C5659" w:rsidRDefault="000E33C4">
            <w:pPr>
              <w:snapToGrid w:val="0"/>
              <w:jc w:val="right"/>
              <w:rPr>
                <w:szCs w:val="18"/>
              </w:rPr>
            </w:pPr>
            <w:r>
              <w:rPr>
                <w:szCs w:val="18"/>
              </w:rPr>
              <w:t>100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szCs w:val="18"/>
              </w:rPr>
              <w:t>非同一控制下企业合并</w:t>
            </w:r>
          </w:p>
        </w:tc>
      </w:tr>
      <w:tr w:rsidR="000C5659" w:rsidTr="0006345B">
        <w:tc>
          <w:tcPr>
            <w:tcW w:w="1072" w:type="pct"/>
            <w:vAlign w:val="center"/>
          </w:tcPr>
          <w:p w:rsidR="000C5659" w:rsidRDefault="000E33C4">
            <w:pPr>
              <w:snapToGrid w:val="0"/>
              <w:rPr>
                <w:szCs w:val="18"/>
              </w:rPr>
            </w:pPr>
            <w:r>
              <w:rPr>
                <w:szCs w:val="18"/>
              </w:rPr>
              <w:t>扬州美星口腔护理用品有限公司</w:t>
            </w:r>
          </w:p>
        </w:tc>
        <w:tc>
          <w:tcPr>
            <w:tcW w:w="465" w:type="pct"/>
            <w:vAlign w:val="center"/>
          </w:tcPr>
          <w:p w:rsidR="000C5659" w:rsidRDefault="000E33C4">
            <w:pPr>
              <w:snapToGrid w:val="0"/>
              <w:rPr>
                <w:szCs w:val="18"/>
              </w:rPr>
            </w:pPr>
            <w:r>
              <w:rPr>
                <w:szCs w:val="18"/>
              </w:rPr>
              <w:t>江苏省扬州市</w:t>
            </w:r>
          </w:p>
        </w:tc>
        <w:tc>
          <w:tcPr>
            <w:tcW w:w="698" w:type="pct"/>
            <w:vAlign w:val="center"/>
          </w:tcPr>
          <w:p w:rsidR="000C5659" w:rsidRDefault="000E33C4" w:rsidP="0006345B">
            <w:pPr>
              <w:jc w:val="right"/>
              <w:textAlignment w:val="center"/>
            </w:pPr>
            <w:r>
              <w:rPr>
                <w:rFonts w:hint="eastAsia"/>
                <w:color w:val="000000"/>
                <w:lang w:bidi="ar"/>
              </w:rPr>
              <w:t>5,000.00</w:t>
            </w:r>
          </w:p>
        </w:tc>
        <w:tc>
          <w:tcPr>
            <w:tcW w:w="777" w:type="pct"/>
            <w:vAlign w:val="center"/>
          </w:tcPr>
          <w:p w:rsidR="000C5659" w:rsidRDefault="000E33C4">
            <w:pPr>
              <w:snapToGrid w:val="0"/>
              <w:rPr>
                <w:szCs w:val="18"/>
              </w:rPr>
            </w:pPr>
            <w:r>
              <w:rPr>
                <w:szCs w:val="18"/>
              </w:rPr>
              <w:t>江苏省扬州市</w:t>
            </w:r>
          </w:p>
        </w:tc>
        <w:tc>
          <w:tcPr>
            <w:tcW w:w="544" w:type="pct"/>
            <w:vAlign w:val="center"/>
          </w:tcPr>
          <w:p w:rsidR="000C5659" w:rsidRDefault="000E33C4">
            <w:pPr>
              <w:snapToGrid w:val="0"/>
              <w:rPr>
                <w:szCs w:val="18"/>
              </w:rPr>
            </w:pPr>
            <w:r>
              <w:rPr>
                <w:szCs w:val="18"/>
              </w:rPr>
              <w:t>制造业</w:t>
            </w:r>
          </w:p>
        </w:tc>
        <w:tc>
          <w:tcPr>
            <w:tcW w:w="467" w:type="pct"/>
            <w:vAlign w:val="center"/>
          </w:tcPr>
          <w:p w:rsidR="000C5659" w:rsidRDefault="000E33C4">
            <w:pPr>
              <w:snapToGrid w:val="0"/>
              <w:jc w:val="right"/>
              <w:rPr>
                <w:szCs w:val="18"/>
              </w:rPr>
            </w:pPr>
            <w:r>
              <w:rPr>
                <w:szCs w:val="18"/>
              </w:rPr>
              <w:t>100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szCs w:val="18"/>
              </w:rPr>
              <w:t>同一控制下企业合并</w:t>
            </w:r>
          </w:p>
        </w:tc>
      </w:tr>
      <w:tr w:rsidR="000C5659" w:rsidTr="0006345B">
        <w:tc>
          <w:tcPr>
            <w:tcW w:w="1072" w:type="pct"/>
            <w:vAlign w:val="center"/>
          </w:tcPr>
          <w:p w:rsidR="000C5659" w:rsidRDefault="000E33C4">
            <w:pPr>
              <w:snapToGrid w:val="0"/>
              <w:rPr>
                <w:szCs w:val="18"/>
              </w:rPr>
            </w:pPr>
            <w:r>
              <w:rPr>
                <w:szCs w:val="18"/>
              </w:rPr>
              <w:t>扬州恒生精密模具有限公司</w:t>
            </w:r>
          </w:p>
        </w:tc>
        <w:tc>
          <w:tcPr>
            <w:tcW w:w="465" w:type="pct"/>
            <w:vAlign w:val="center"/>
          </w:tcPr>
          <w:p w:rsidR="000C5659" w:rsidRDefault="000E33C4">
            <w:pPr>
              <w:snapToGrid w:val="0"/>
              <w:rPr>
                <w:szCs w:val="18"/>
              </w:rPr>
            </w:pPr>
            <w:r>
              <w:rPr>
                <w:szCs w:val="18"/>
              </w:rPr>
              <w:t>江苏省扬州市</w:t>
            </w:r>
          </w:p>
        </w:tc>
        <w:tc>
          <w:tcPr>
            <w:tcW w:w="698" w:type="pct"/>
            <w:vAlign w:val="center"/>
          </w:tcPr>
          <w:p w:rsidR="000C5659" w:rsidRDefault="000E33C4" w:rsidP="0006345B">
            <w:pPr>
              <w:jc w:val="right"/>
              <w:textAlignment w:val="center"/>
            </w:pPr>
            <w:r>
              <w:rPr>
                <w:rFonts w:hint="eastAsia"/>
                <w:color w:val="000000"/>
                <w:lang w:bidi="ar"/>
              </w:rPr>
              <w:t>300.00</w:t>
            </w:r>
          </w:p>
        </w:tc>
        <w:tc>
          <w:tcPr>
            <w:tcW w:w="777" w:type="pct"/>
            <w:vAlign w:val="center"/>
          </w:tcPr>
          <w:p w:rsidR="000C5659" w:rsidRDefault="000E33C4">
            <w:pPr>
              <w:snapToGrid w:val="0"/>
              <w:rPr>
                <w:szCs w:val="18"/>
              </w:rPr>
            </w:pPr>
            <w:r>
              <w:rPr>
                <w:szCs w:val="18"/>
              </w:rPr>
              <w:t>江苏省扬州市</w:t>
            </w:r>
          </w:p>
        </w:tc>
        <w:tc>
          <w:tcPr>
            <w:tcW w:w="544" w:type="pct"/>
            <w:vAlign w:val="center"/>
          </w:tcPr>
          <w:p w:rsidR="000C5659" w:rsidRDefault="000E33C4">
            <w:pPr>
              <w:snapToGrid w:val="0"/>
              <w:rPr>
                <w:szCs w:val="18"/>
              </w:rPr>
            </w:pPr>
            <w:r>
              <w:rPr>
                <w:szCs w:val="18"/>
              </w:rPr>
              <w:t>制造业</w:t>
            </w:r>
          </w:p>
        </w:tc>
        <w:tc>
          <w:tcPr>
            <w:tcW w:w="467" w:type="pct"/>
            <w:vAlign w:val="center"/>
          </w:tcPr>
          <w:p w:rsidR="000C5659" w:rsidRDefault="000E33C4">
            <w:pPr>
              <w:snapToGrid w:val="0"/>
              <w:jc w:val="right"/>
              <w:rPr>
                <w:szCs w:val="18"/>
              </w:rPr>
            </w:pPr>
            <w:r>
              <w:rPr>
                <w:szCs w:val="18"/>
              </w:rPr>
              <w:t>100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szCs w:val="18"/>
              </w:rPr>
              <w:t>同一控制下企业合并</w:t>
            </w:r>
          </w:p>
        </w:tc>
      </w:tr>
      <w:tr w:rsidR="000C5659" w:rsidTr="0006345B">
        <w:tc>
          <w:tcPr>
            <w:tcW w:w="1072" w:type="pct"/>
            <w:vAlign w:val="center"/>
          </w:tcPr>
          <w:p w:rsidR="000C5659" w:rsidRDefault="000E33C4">
            <w:pPr>
              <w:snapToGrid w:val="0"/>
              <w:rPr>
                <w:szCs w:val="18"/>
              </w:rPr>
            </w:pPr>
            <w:r>
              <w:rPr>
                <w:szCs w:val="18"/>
              </w:rPr>
              <w:t>江苏明星牙刷有限公司</w:t>
            </w:r>
          </w:p>
        </w:tc>
        <w:tc>
          <w:tcPr>
            <w:tcW w:w="465" w:type="pct"/>
            <w:vAlign w:val="center"/>
          </w:tcPr>
          <w:p w:rsidR="000C5659" w:rsidRDefault="000E33C4">
            <w:pPr>
              <w:snapToGrid w:val="0"/>
              <w:rPr>
                <w:szCs w:val="18"/>
              </w:rPr>
            </w:pPr>
            <w:r>
              <w:rPr>
                <w:szCs w:val="18"/>
              </w:rPr>
              <w:t>江苏省扬州市</w:t>
            </w:r>
          </w:p>
        </w:tc>
        <w:tc>
          <w:tcPr>
            <w:tcW w:w="698" w:type="pct"/>
            <w:vAlign w:val="center"/>
          </w:tcPr>
          <w:p w:rsidR="000C5659" w:rsidRDefault="000E33C4" w:rsidP="0006345B">
            <w:pPr>
              <w:jc w:val="right"/>
              <w:textAlignment w:val="center"/>
            </w:pPr>
            <w:r>
              <w:rPr>
                <w:rFonts w:hint="eastAsia"/>
                <w:color w:val="000000"/>
                <w:lang w:bidi="ar"/>
              </w:rPr>
              <w:t>20,000.00</w:t>
            </w:r>
          </w:p>
        </w:tc>
        <w:tc>
          <w:tcPr>
            <w:tcW w:w="777" w:type="pct"/>
            <w:vAlign w:val="center"/>
          </w:tcPr>
          <w:p w:rsidR="000C5659" w:rsidRDefault="000E33C4">
            <w:pPr>
              <w:snapToGrid w:val="0"/>
              <w:rPr>
                <w:szCs w:val="18"/>
              </w:rPr>
            </w:pPr>
            <w:r>
              <w:rPr>
                <w:szCs w:val="18"/>
              </w:rPr>
              <w:t>江苏省扬州市</w:t>
            </w:r>
          </w:p>
        </w:tc>
        <w:tc>
          <w:tcPr>
            <w:tcW w:w="544" w:type="pct"/>
            <w:vAlign w:val="center"/>
          </w:tcPr>
          <w:p w:rsidR="000C5659" w:rsidRDefault="000E33C4">
            <w:pPr>
              <w:snapToGrid w:val="0"/>
              <w:rPr>
                <w:szCs w:val="18"/>
              </w:rPr>
            </w:pPr>
            <w:r>
              <w:rPr>
                <w:szCs w:val="18"/>
              </w:rPr>
              <w:t>制造业</w:t>
            </w:r>
          </w:p>
        </w:tc>
        <w:tc>
          <w:tcPr>
            <w:tcW w:w="467" w:type="pct"/>
            <w:vAlign w:val="center"/>
          </w:tcPr>
          <w:p w:rsidR="000C5659" w:rsidRDefault="000E33C4">
            <w:pPr>
              <w:snapToGrid w:val="0"/>
              <w:jc w:val="right"/>
              <w:rPr>
                <w:szCs w:val="18"/>
              </w:rPr>
            </w:pPr>
            <w:r>
              <w:rPr>
                <w:szCs w:val="18"/>
              </w:rPr>
              <w:t>100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szCs w:val="18"/>
              </w:rPr>
              <w:t>新设成立</w:t>
            </w:r>
          </w:p>
        </w:tc>
      </w:tr>
      <w:tr w:rsidR="000C5659" w:rsidTr="0006345B">
        <w:tc>
          <w:tcPr>
            <w:tcW w:w="1072" w:type="pct"/>
            <w:vAlign w:val="center"/>
          </w:tcPr>
          <w:p w:rsidR="000C5659" w:rsidRDefault="000E33C4">
            <w:pPr>
              <w:snapToGrid w:val="0"/>
              <w:rPr>
                <w:szCs w:val="18"/>
              </w:rPr>
            </w:pPr>
            <w:r>
              <w:rPr>
                <w:szCs w:val="18"/>
              </w:rPr>
              <w:t>倍加洁国际（香港）有限公司</w:t>
            </w:r>
          </w:p>
        </w:tc>
        <w:tc>
          <w:tcPr>
            <w:tcW w:w="465" w:type="pct"/>
            <w:vAlign w:val="center"/>
          </w:tcPr>
          <w:p w:rsidR="000C5659" w:rsidRDefault="000E33C4">
            <w:pPr>
              <w:snapToGrid w:val="0"/>
              <w:rPr>
                <w:szCs w:val="18"/>
              </w:rPr>
            </w:pPr>
            <w:r>
              <w:rPr>
                <w:szCs w:val="18"/>
              </w:rPr>
              <w:t>香港</w:t>
            </w:r>
          </w:p>
        </w:tc>
        <w:tc>
          <w:tcPr>
            <w:tcW w:w="698" w:type="pct"/>
            <w:vAlign w:val="center"/>
          </w:tcPr>
          <w:p w:rsidR="000C5659" w:rsidRDefault="000E33C4" w:rsidP="0006345B">
            <w:pPr>
              <w:jc w:val="right"/>
              <w:textAlignment w:val="center"/>
            </w:pPr>
            <w:r>
              <w:rPr>
                <w:rFonts w:hint="eastAsia"/>
                <w:lang w:bidi="ar"/>
              </w:rPr>
              <w:t>25.22</w:t>
            </w:r>
          </w:p>
        </w:tc>
        <w:tc>
          <w:tcPr>
            <w:tcW w:w="777" w:type="pct"/>
            <w:vAlign w:val="center"/>
          </w:tcPr>
          <w:p w:rsidR="000C5659" w:rsidRDefault="000E33C4">
            <w:pPr>
              <w:snapToGrid w:val="0"/>
              <w:rPr>
                <w:szCs w:val="18"/>
              </w:rPr>
            </w:pPr>
            <w:r>
              <w:rPr>
                <w:szCs w:val="18"/>
              </w:rPr>
              <w:t>香港</w:t>
            </w:r>
          </w:p>
        </w:tc>
        <w:tc>
          <w:tcPr>
            <w:tcW w:w="544" w:type="pct"/>
            <w:vAlign w:val="center"/>
          </w:tcPr>
          <w:p w:rsidR="000C5659" w:rsidRDefault="000E33C4">
            <w:pPr>
              <w:snapToGrid w:val="0"/>
              <w:rPr>
                <w:szCs w:val="18"/>
              </w:rPr>
            </w:pPr>
            <w:r>
              <w:rPr>
                <w:szCs w:val="18"/>
              </w:rPr>
              <w:t>商品贸易</w:t>
            </w:r>
          </w:p>
        </w:tc>
        <w:tc>
          <w:tcPr>
            <w:tcW w:w="467" w:type="pct"/>
            <w:vAlign w:val="center"/>
          </w:tcPr>
          <w:p w:rsidR="000C5659" w:rsidRDefault="000E33C4">
            <w:pPr>
              <w:snapToGrid w:val="0"/>
              <w:jc w:val="right"/>
              <w:rPr>
                <w:szCs w:val="18"/>
              </w:rPr>
            </w:pPr>
            <w:r>
              <w:rPr>
                <w:szCs w:val="18"/>
              </w:rPr>
              <w:t>100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szCs w:val="18"/>
              </w:rPr>
              <w:t>新设成立</w:t>
            </w:r>
          </w:p>
        </w:tc>
      </w:tr>
      <w:tr w:rsidR="000C5659" w:rsidTr="0006345B">
        <w:tc>
          <w:tcPr>
            <w:tcW w:w="1072" w:type="pct"/>
            <w:vAlign w:val="center"/>
          </w:tcPr>
          <w:p w:rsidR="000C5659" w:rsidRDefault="000E33C4">
            <w:pPr>
              <w:snapToGrid w:val="0"/>
              <w:rPr>
                <w:szCs w:val="18"/>
              </w:rPr>
            </w:pPr>
            <w:r>
              <w:rPr>
                <w:szCs w:val="18"/>
              </w:rPr>
              <w:t>上海益生电子商务有限公司</w:t>
            </w:r>
          </w:p>
        </w:tc>
        <w:tc>
          <w:tcPr>
            <w:tcW w:w="465" w:type="pct"/>
            <w:vAlign w:val="center"/>
          </w:tcPr>
          <w:p w:rsidR="000C5659" w:rsidRDefault="000E33C4">
            <w:pPr>
              <w:snapToGrid w:val="0"/>
              <w:rPr>
                <w:szCs w:val="18"/>
              </w:rPr>
            </w:pPr>
            <w:r>
              <w:rPr>
                <w:szCs w:val="18"/>
              </w:rPr>
              <w:t>上海</w:t>
            </w:r>
            <w:r>
              <w:rPr>
                <w:rFonts w:hint="eastAsia"/>
                <w:szCs w:val="18"/>
              </w:rPr>
              <w:t>市</w:t>
            </w:r>
          </w:p>
        </w:tc>
        <w:tc>
          <w:tcPr>
            <w:tcW w:w="698" w:type="pct"/>
            <w:vAlign w:val="center"/>
          </w:tcPr>
          <w:p w:rsidR="000C5659" w:rsidRDefault="000E33C4" w:rsidP="0006345B">
            <w:pPr>
              <w:jc w:val="right"/>
              <w:textAlignment w:val="center"/>
            </w:pPr>
            <w:r>
              <w:rPr>
                <w:rFonts w:hint="eastAsia"/>
                <w:color w:val="000000"/>
                <w:lang w:bidi="ar"/>
              </w:rPr>
              <w:t>600.00</w:t>
            </w:r>
          </w:p>
        </w:tc>
        <w:tc>
          <w:tcPr>
            <w:tcW w:w="777" w:type="pct"/>
            <w:vAlign w:val="center"/>
          </w:tcPr>
          <w:p w:rsidR="000C5659" w:rsidRDefault="000E33C4">
            <w:pPr>
              <w:snapToGrid w:val="0"/>
              <w:rPr>
                <w:szCs w:val="18"/>
              </w:rPr>
            </w:pPr>
            <w:r>
              <w:rPr>
                <w:szCs w:val="18"/>
              </w:rPr>
              <w:t>上海</w:t>
            </w:r>
            <w:r>
              <w:rPr>
                <w:rFonts w:hint="eastAsia"/>
                <w:szCs w:val="18"/>
              </w:rPr>
              <w:t>市</w:t>
            </w:r>
          </w:p>
        </w:tc>
        <w:tc>
          <w:tcPr>
            <w:tcW w:w="544" w:type="pct"/>
            <w:vAlign w:val="center"/>
          </w:tcPr>
          <w:p w:rsidR="000C5659" w:rsidRDefault="000E33C4">
            <w:pPr>
              <w:snapToGrid w:val="0"/>
              <w:rPr>
                <w:szCs w:val="18"/>
              </w:rPr>
            </w:pPr>
            <w:r>
              <w:rPr>
                <w:szCs w:val="18"/>
              </w:rPr>
              <w:t>服务</w:t>
            </w:r>
          </w:p>
        </w:tc>
        <w:tc>
          <w:tcPr>
            <w:tcW w:w="467" w:type="pct"/>
            <w:vAlign w:val="center"/>
          </w:tcPr>
          <w:p w:rsidR="000C5659" w:rsidRDefault="000C5659">
            <w:pPr>
              <w:snapToGrid w:val="0"/>
              <w:jc w:val="right"/>
              <w:rPr>
                <w:szCs w:val="18"/>
              </w:rPr>
            </w:pPr>
          </w:p>
        </w:tc>
        <w:tc>
          <w:tcPr>
            <w:tcW w:w="525" w:type="pct"/>
            <w:vAlign w:val="center"/>
          </w:tcPr>
          <w:p w:rsidR="000C5659" w:rsidRDefault="000E33C4">
            <w:pPr>
              <w:snapToGrid w:val="0"/>
              <w:jc w:val="right"/>
              <w:rPr>
                <w:szCs w:val="18"/>
              </w:rPr>
            </w:pPr>
            <w:r>
              <w:rPr>
                <w:szCs w:val="18"/>
              </w:rPr>
              <w:t>100</w:t>
            </w:r>
          </w:p>
        </w:tc>
        <w:tc>
          <w:tcPr>
            <w:tcW w:w="450" w:type="pct"/>
            <w:vAlign w:val="center"/>
          </w:tcPr>
          <w:p w:rsidR="000C5659" w:rsidRDefault="000E33C4">
            <w:pPr>
              <w:snapToGrid w:val="0"/>
              <w:jc w:val="center"/>
              <w:rPr>
                <w:szCs w:val="18"/>
              </w:rPr>
            </w:pPr>
            <w:r>
              <w:rPr>
                <w:szCs w:val="18"/>
              </w:rPr>
              <w:t>新设成立</w:t>
            </w:r>
          </w:p>
        </w:tc>
      </w:tr>
      <w:tr w:rsidR="000C5659" w:rsidTr="0006345B">
        <w:tc>
          <w:tcPr>
            <w:tcW w:w="1072" w:type="pct"/>
            <w:vAlign w:val="center"/>
          </w:tcPr>
          <w:p w:rsidR="000C5659" w:rsidRDefault="000E33C4">
            <w:pPr>
              <w:snapToGrid w:val="0"/>
              <w:rPr>
                <w:szCs w:val="18"/>
              </w:rPr>
            </w:pPr>
            <w:r>
              <w:rPr>
                <w:szCs w:val="18"/>
              </w:rPr>
              <w:t>杭州益倍电子商务有限公司</w:t>
            </w:r>
          </w:p>
        </w:tc>
        <w:tc>
          <w:tcPr>
            <w:tcW w:w="465" w:type="pct"/>
            <w:vAlign w:val="center"/>
          </w:tcPr>
          <w:p w:rsidR="000C5659" w:rsidRDefault="000E33C4">
            <w:pPr>
              <w:snapToGrid w:val="0"/>
              <w:rPr>
                <w:szCs w:val="18"/>
              </w:rPr>
            </w:pPr>
            <w:r>
              <w:rPr>
                <w:szCs w:val="18"/>
              </w:rPr>
              <w:t>浙江省杭州市</w:t>
            </w:r>
          </w:p>
        </w:tc>
        <w:tc>
          <w:tcPr>
            <w:tcW w:w="698" w:type="pct"/>
            <w:vAlign w:val="center"/>
          </w:tcPr>
          <w:p w:rsidR="000C5659" w:rsidRDefault="000E33C4" w:rsidP="0006345B">
            <w:pPr>
              <w:jc w:val="right"/>
              <w:textAlignment w:val="center"/>
            </w:pPr>
            <w:r>
              <w:rPr>
                <w:rFonts w:hint="eastAsia"/>
                <w:color w:val="000000"/>
                <w:lang w:bidi="ar"/>
              </w:rPr>
              <w:t>600.00</w:t>
            </w:r>
          </w:p>
        </w:tc>
        <w:tc>
          <w:tcPr>
            <w:tcW w:w="777" w:type="pct"/>
            <w:vAlign w:val="center"/>
          </w:tcPr>
          <w:p w:rsidR="000C5659" w:rsidRDefault="000E33C4">
            <w:pPr>
              <w:snapToGrid w:val="0"/>
              <w:rPr>
                <w:szCs w:val="18"/>
              </w:rPr>
            </w:pPr>
            <w:r>
              <w:rPr>
                <w:szCs w:val="18"/>
              </w:rPr>
              <w:t>浙江省杭州市</w:t>
            </w:r>
          </w:p>
        </w:tc>
        <w:tc>
          <w:tcPr>
            <w:tcW w:w="544" w:type="pct"/>
            <w:vAlign w:val="center"/>
          </w:tcPr>
          <w:p w:rsidR="000C5659" w:rsidRDefault="000E33C4">
            <w:pPr>
              <w:snapToGrid w:val="0"/>
              <w:rPr>
                <w:szCs w:val="18"/>
              </w:rPr>
            </w:pPr>
            <w:r>
              <w:rPr>
                <w:szCs w:val="18"/>
              </w:rPr>
              <w:t>服务</w:t>
            </w:r>
          </w:p>
        </w:tc>
        <w:tc>
          <w:tcPr>
            <w:tcW w:w="467" w:type="pct"/>
            <w:vAlign w:val="center"/>
          </w:tcPr>
          <w:p w:rsidR="000C5659" w:rsidRDefault="000C5659">
            <w:pPr>
              <w:snapToGrid w:val="0"/>
              <w:jc w:val="right"/>
              <w:rPr>
                <w:szCs w:val="18"/>
              </w:rPr>
            </w:pPr>
          </w:p>
        </w:tc>
        <w:tc>
          <w:tcPr>
            <w:tcW w:w="525" w:type="pct"/>
            <w:vAlign w:val="center"/>
          </w:tcPr>
          <w:p w:rsidR="000C5659" w:rsidRDefault="000E33C4">
            <w:pPr>
              <w:snapToGrid w:val="0"/>
              <w:jc w:val="right"/>
              <w:rPr>
                <w:szCs w:val="18"/>
              </w:rPr>
            </w:pPr>
            <w:r>
              <w:rPr>
                <w:szCs w:val="18"/>
              </w:rPr>
              <w:t>100</w:t>
            </w:r>
          </w:p>
        </w:tc>
        <w:tc>
          <w:tcPr>
            <w:tcW w:w="450" w:type="pct"/>
            <w:vAlign w:val="center"/>
          </w:tcPr>
          <w:p w:rsidR="000C5659" w:rsidRDefault="000E33C4">
            <w:pPr>
              <w:snapToGrid w:val="0"/>
              <w:jc w:val="center"/>
              <w:rPr>
                <w:szCs w:val="18"/>
              </w:rPr>
            </w:pPr>
            <w:r>
              <w:rPr>
                <w:szCs w:val="18"/>
              </w:rPr>
              <w:t>新设成立</w:t>
            </w:r>
          </w:p>
        </w:tc>
      </w:tr>
      <w:tr w:rsidR="000C5659" w:rsidTr="0006345B">
        <w:tc>
          <w:tcPr>
            <w:tcW w:w="1072" w:type="pct"/>
            <w:vAlign w:val="center"/>
          </w:tcPr>
          <w:p w:rsidR="000C5659" w:rsidRDefault="000E33C4">
            <w:pPr>
              <w:snapToGrid w:val="0"/>
              <w:rPr>
                <w:szCs w:val="18"/>
              </w:rPr>
            </w:pPr>
            <w:r>
              <w:rPr>
                <w:szCs w:val="18"/>
              </w:rPr>
              <w:t>珠海云舒壹号企业管理合伙企业（有限合伙）</w:t>
            </w:r>
          </w:p>
        </w:tc>
        <w:tc>
          <w:tcPr>
            <w:tcW w:w="465" w:type="pct"/>
            <w:vAlign w:val="center"/>
          </w:tcPr>
          <w:p w:rsidR="000C5659" w:rsidRDefault="000E33C4">
            <w:pPr>
              <w:snapToGrid w:val="0"/>
              <w:rPr>
                <w:szCs w:val="18"/>
              </w:rPr>
            </w:pPr>
            <w:r>
              <w:rPr>
                <w:szCs w:val="18"/>
              </w:rPr>
              <w:t>广东省珠海市</w:t>
            </w:r>
          </w:p>
        </w:tc>
        <w:tc>
          <w:tcPr>
            <w:tcW w:w="698" w:type="pct"/>
            <w:vAlign w:val="center"/>
          </w:tcPr>
          <w:p w:rsidR="000C5659" w:rsidRDefault="000E33C4" w:rsidP="0006345B">
            <w:pPr>
              <w:jc w:val="right"/>
              <w:textAlignment w:val="center"/>
              <w:rPr>
                <w:color w:val="000000"/>
              </w:rPr>
            </w:pPr>
            <w:r>
              <w:rPr>
                <w:rFonts w:hint="eastAsia"/>
                <w:color w:val="000000"/>
                <w:lang w:bidi="ar"/>
              </w:rPr>
              <w:t>5,600.00</w:t>
            </w:r>
          </w:p>
        </w:tc>
        <w:tc>
          <w:tcPr>
            <w:tcW w:w="777" w:type="pct"/>
            <w:vAlign w:val="center"/>
          </w:tcPr>
          <w:p w:rsidR="000C5659" w:rsidRDefault="000E33C4">
            <w:pPr>
              <w:snapToGrid w:val="0"/>
              <w:rPr>
                <w:szCs w:val="18"/>
              </w:rPr>
            </w:pPr>
            <w:r>
              <w:rPr>
                <w:szCs w:val="18"/>
              </w:rPr>
              <w:t>广东省珠海市</w:t>
            </w:r>
          </w:p>
        </w:tc>
        <w:tc>
          <w:tcPr>
            <w:tcW w:w="544" w:type="pct"/>
            <w:vAlign w:val="center"/>
          </w:tcPr>
          <w:p w:rsidR="000C5659" w:rsidRDefault="000E33C4">
            <w:pPr>
              <w:snapToGrid w:val="0"/>
              <w:rPr>
                <w:szCs w:val="18"/>
              </w:rPr>
            </w:pPr>
            <w:r>
              <w:rPr>
                <w:szCs w:val="18"/>
              </w:rPr>
              <w:t>股权基金</w:t>
            </w:r>
          </w:p>
        </w:tc>
        <w:tc>
          <w:tcPr>
            <w:tcW w:w="467" w:type="pct"/>
            <w:vAlign w:val="center"/>
          </w:tcPr>
          <w:p w:rsidR="000C5659" w:rsidRDefault="000C5659">
            <w:pPr>
              <w:snapToGrid w:val="0"/>
              <w:jc w:val="right"/>
              <w:rPr>
                <w:szCs w:val="18"/>
              </w:rPr>
            </w:pPr>
          </w:p>
        </w:tc>
        <w:tc>
          <w:tcPr>
            <w:tcW w:w="525" w:type="pct"/>
            <w:vAlign w:val="center"/>
          </w:tcPr>
          <w:p w:rsidR="000C5659" w:rsidRDefault="000E33C4">
            <w:pPr>
              <w:snapToGrid w:val="0"/>
              <w:jc w:val="right"/>
              <w:rPr>
                <w:szCs w:val="18"/>
              </w:rPr>
            </w:pPr>
            <w:r>
              <w:rPr>
                <w:szCs w:val="18"/>
              </w:rPr>
              <w:t>99.9822</w:t>
            </w:r>
          </w:p>
        </w:tc>
        <w:tc>
          <w:tcPr>
            <w:tcW w:w="450" w:type="pct"/>
            <w:vAlign w:val="center"/>
          </w:tcPr>
          <w:p w:rsidR="000C5659" w:rsidRDefault="000E33C4">
            <w:pPr>
              <w:snapToGrid w:val="0"/>
              <w:jc w:val="center"/>
              <w:rPr>
                <w:szCs w:val="18"/>
              </w:rPr>
            </w:pPr>
            <w:r>
              <w:rPr>
                <w:szCs w:val="18"/>
              </w:rPr>
              <w:t>新设成立</w:t>
            </w:r>
          </w:p>
        </w:tc>
      </w:tr>
      <w:tr w:rsidR="000C5659" w:rsidTr="0006345B">
        <w:tc>
          <w:tcPr>
            <w:tcW w:w="1072" w:type="pct"/>
            <w:vAlign w:val="center"/>
          </w:tcPr>
          <w:p w:rsidR="000C5659" w:rsidRDefault="000E33C4">
            <w:pPr>
              <w:snapToGrid w:val="0"/>
              <w:rPr>
                <w:szCs w:val="18"/>
              </w:rPr>
            </w:pPr>
            <w:r>
              <w:rPr>
                <w:szCs w:val="18"/>
              </w:rPr>
              <w:t>南京沄洁科技有限公司</w:t>
            </w:r>
          </w:p>
        </w:tc>
        <w:tc>
          <w:tcPr>
            <w:tcW w:w="465" w:type="pct"/>
            <w:vAlign w:val="center"/>
          </w:tcPr>
          <w:p w:rsidR="000C5659" w:rsidRDefault="000E33C4">
            <w:pPr>
              <w:snapToGrid w:val="0"/>
              <w:rPr>
                <w:szCs w:val="18"/>
              </w:rPr>
            </w:pPr>
            <w:r>
              <w:rPr>
                <w:szCs w:val="18"/>
              </w:rPr>
              <w:t>江苏省南京市</w:t>
            </w:r>
          </w:p>
        </w:tc>
        <w:tc>
          <w:tcPr>
            <w:tcW w:w="698" w:type="pct"/>
            <w:vAlign w:val="center"/>
          </w:tcPr>
          <w:p w:rsidR="000C5659" w:rsidRDefault="000E33C4" w:rsidP="0006345B">
            <w:pPr>
              <w:jc w:val="right"/>
              <w:textAlignment w:val="center"/>
              <w:rPr>
                <w:color w:val="000000"/>
              </w:rPr>
            </w:pPr>
            <w:r>
              <w:rPr>
                <w:rFonts w:hint="eastAsia"/>
                <w:color w:val="000000"/>
                <w:lang w:bidi="ar"/>
              </w:rPr>
              <w:t>25,000.00</w:t>
            </w:r>
          </w:p>
        </w:tc>
        <w:tc>
          <w:tcPr>
            <w:tcW w:w="777" w:type="pct"/>
            <w:vAlign w:val="center"/>
          </w:tcPr>
          <w:p w:rsidR="000C5659" w:rsidRDefault="000E33C4">
            <w:pPr>
              <w:snapToGrid w:val="0"/>
              <w:rPr>
                <w:szCs w:val="18"/>
              </w:rPr>
            </w:pPr>
            <w:r>
              <w:rPr>
                <w:szCs w:val="18"/>
              </w:rPr>
              <w:t>江苏省南京市</w:t>
            </w:r>
          </w:p>
        </w:tc>
        <w:tc>
          <w:tcPr>
            <w:tcW w:w="544" w:type="pct"/>
            <w:vAlign w:val="center"/>
          </w:tcPr>
          <w:p w:rsidR="000C5659" w:rsidRDefault="000E33C4">
            <w:pPr>
              <w:snapToGrid w:val="0"/>
              <w:rPr>
                <w:szCs w:val="18"/>
              </w:rPr>
            </w:pPr>
            <w:r>
              <w:rPr>
                <w:szCs w:val="18"/>
              </w:rPr>
              <w:t>制造业</w:t>
            </w:r>
          </w:p>
        </w:tc>
        <w:tc>
          <w:tcPr>
            <w:tcW w:w="467" w:type="pct"/>
            <w:vAlign w:val="center"/>
          </w:tcPr>
          <w:p w:rsidR="000C5659" w:rsidRDefault="000E33C4">
            <w:pPr>
              <w:snapToGrid w:val="0"/>
              <w:jc w:val="right"/>
              <w:rPr>
                <w:szCs w:val="18"/>
              </w:rPr>
            </w:pPr>
            <w:r>
              <w:rPr>
                <w:szCs w:val="18"/>
              </w:rPr>
              <w:t>100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szCs w:val="18"/>
              </w:rPr>
              <w:t>新设成立</w:t>
            </w:r>
          </w:p>
        </w:tc>
      </w:tr>
      <w:tr w:rsidR="000C5659" w:rsidTr="0006345B">
        <w:tc>
          <w:tcPr>
            <w:tcW w:w="1072" w:type="pct"/>
            <w:vAlign w:val="center"/>
          </w:tcPr>
          <w:p w:rsidR="000C5659" w:rsidRDefault="000E33C4">
            <w:pPr>
              <w:snapToGrid w:val="0"/>
              <w:rPr>
                <w:szCs w:val="18"/>
              </w:rPr>
            </w:pPr>
            <w:r>
              <w:rPr>
                <w:szCs w:val="18"/>
              </w:rPr>
              <w:t>珠海云舒贰号企业管理合伙企业（有限合伙）</w:t>
            </w:r>
          </w:p>
        </w:tc>
        <w:tc>
          <w:tcPr>
            <w:tcW w:w="465" w:type="pct"/>
            <w:vAlign w:val="center"/>
          </w:tcPr>
          <w:p w:rsidR="000C5659" w:rsidRDefault="000E33C4">
            <w:pPr>
              <w:snapToGrid w:val="0"/>
              <w:rPr>
                <w:szCs w:val="18"/>
              </w:rPr>
            </w:pPr>
            <w:r>
              <w:rPr>
                <w:szCs w:val="18"/>
              </w:rPr>
              <w:t>广东省珠海市</w:t>
            </w:r>
          </w:p>
        </w:tc>
        <w:tc>
          <w:tcPr>
            <w:tcW w:w="698" w:type="pct"/>
            <w:vAlign w:val="center"/>
          </w:tcPr>
          <w:p w:rsidR="000C5659" w:rsidRDefault="000E33C4" w:rsidP="0006345B">
            <w:pPr>
              <w:jc w:val="right"/>
              <w:textAlignment w:val="center"/>
              <w:rPr>
                <w:color w:val="000000"/>
              </w:rPr>
            </w:pPr>
            <w:r>
              <w:rPr>
                <w:rFonts w:hint="eastAsia"/>
                <w:color w:val="000000"/>
                <w:lang w:bidi="ar"/>
              </w:rPr>
              <w:t>25,100.00</w:t>
            </w:r>
          </w:p>
        </w:tc>
        <w:tc>
          <w:tcPr>
            <w:tcW w:w="777" w:type="pct"/>
            <w:vAlign w:val="center"/>
          </w:tcPr>
          <w:p w:rsidR="000C5659" w:rsidRDefault="000E33C4">
            <w:pPr>
              <w:snapToGrid w:val="0"/>
              <w:rPr>
                <w:szCs w:val="18"/>
              </w:rPr>
            </w:pPr>
            <w:r>
              <w:rPr>
                <w:szCs w:val="18"/>
              </w:rPr>
              <w:t>广东省珠海市</w:t>
            </w:r>
          </w:p>
        </w:tc>
        <w:tc>
          <w:tcPr>
            <w:tcW w:w="544" w:type="pct"/>
            <w:vAlign w:val="center"/>
          </w:tcPr>
          <w:p w:rsidR="000C5659" w:rsidRDefault="000E33C4">
            <w:pPr>
              <w:snapToGrid w:val="0"/>
              <w:rPr>
                <w:szCs w:val="18"/>
              </w:rPr>
            </w:pPr>
            <w:r>
              <w:rPr>
                <w:szCs w:val="18"/>
              </w:rPr>
              <w:t>股权基金</w:t>
            </w:r>
          </w:p>
        </w:tc>
        <w:tc>
          <w:tcPr>
            <w:tcW w:w="467" w:type="pct"/>
            <w:vAlign w:val="center"/>
          </w:tcPr>
          <w:p w:rsidR="000C5659" w:rsidRDefault="000C5659">
            <w:pPr>
              <w:snapToGrid w:val="0"/>
              <w:jc w:val="right"/>
              <w:rPr>
                <w:szCs w:val="18"/>
              </w:rPr>
            </w:pPr>
          </w:p>
        </w:tc>
        <w:tc>
          <w:tcPr>
            <w:tcW w:w="525" w:type="pct"/>
            <w:vAlign w:val="center"/>
          </w:tcPr>
          <w:p w:rsidR="000C5659" w:rsidRDefault="000E33C4">
            <w:pPr>
              <w:snapToGrid w:val="0"/>
              <w:jc w:val="right"/>
              <w:rPr>
                <w:szCs w:val="18"/>
              </w:rPr>
            </w:pPr>
            <w:r>
              <w:rPr>
                <w:szCs w:val="18"/>
              </w:rPr>
              <w:t>99.99</w:t>
            </w:r>
            <w:r>
              <w:rPr>
                <w:rFonts w:hint="eastAsia"/>
                <w:szCs w:val="18"/>
              </w:rPr>
              <w:t>60</w:t>
            </w:r>
          </w:p>
        </w:tc>
        <w:tc>
          <w:tcPr>
            <w:tcW w:w="450" w:type="pct"/>
            <w:vAlign w:val="center"/>
          </w:tcPr>
          <w:p w:rsidR="000C5659" w:rsidRDefault="000E33C4">
            <w:pPr>
              <w:snapToGrid w:val="0"/>
              <w:jc w:val="center"/>
              <w:rPr>
                <w:szCs w:val="18"/>
              </w:rPr>
            </w:pPr>
            <w:r>
              <w:rPr>
                <w:szCs w:val="18"/>
              </w:rPr>
              <w:t>新设成立</w:t>
            </w:r>
          </w:p>
        </w:tc>
      </w:tr>
      <w:tr w:rsidR="000C5659" w:rsidTr="0006345B">
        <w:tc>
          <w:tcPr>
            <w:tcW w:w="1072" w:type="pct"/>
            <w:vAlign w:val="center"/>
          </w:tcPr>
          <w:p w:rsidR="000C5659" w:rsidRDefault="000E33C4">
            <w:pPr>
              <w:snapToGrid w:val="0"/>
              <w:rPr>
                <w:szCs w:val="18"/>
              </w:rPr>
            </w:pPr>
            <w:r>
              <w:rPr>
                <w:szCs w:val="18"/>
              </w:rPr>
              <w:t>扬州烁阳新能源有限公司</w:t>
            </w:r>
          </w:p>
        </w:tc>
        <w:tc>
          <w:tcPr>
            <w:tcW w:w="465" w:type="pct"/>
            <w:vAlign w:val="center"/>
          </w:tcPr>
          <w:p w:rsidR="000C5659" w:rsidRDefault="000E33C4">
            <w:pPr>
              <w:snapToGrid w:val="0"/>
              <w:rPr>
                <w:szCs w:val="18"/>
              </w:rPr>
            </w:pPr>
            <w:r>
              <w:rPr>
                <w:szCs w:val="18"/>
              </w:rPr>
              <w:t>江苏省扬州市</w:t>
            </w:r>
          </w:p>
        </w:tc>
        <w:tc>
          <w:tcPr>
            <w:tcW w:w="698" w:type="pct"/>
            <w:vAlign w:val="center"/>
          </w:tcPr>
          <w:p w:rsidR="000C5659" w:rsidRDefault="000E33C4" w:rsidP="0006345B">
            <w:pPr>
              <w:jc w:val="right"/>
              <w:textAlignment w:val="center"/>
              <w:rPr>
                <w:color w:val="000000"/>
              </w:rPr>
            </w:pPr>
            <w:r>
              <w:rPr>
                <w:rFonts w:hint="eastAsia"/>
                <w:color w:val="000000"/>
                <w:lang w:bidi="ar"/>
              </w:rPr>
              <w:t>300.00</w:t>
            </w:r>
          </w:p>
        </w:tc>
        <w:tc>
          <w:tcPr>
            <w:tcW w:w="777" w:type="pct"/>
            <w:vAlign w:val="center"/>
          </w:tcPr>
          <w:p w:rsidR="000C5659" w:rsidRDefault="000E33C4">
            <w:pPr>
              <w:snapToGrid w:val="0"/>
              <w:rPr>
                <w:szCs w:val="18"/>
              </w:rPr>
            </w:pPr>
            <w:r>
              <w:rPr>
                <w:szCs w:val="18"/>
              </w:rPr>
              <w:t>江苏省扬州市</w:t>
            </w:r>
          </w:p>
        </w:tc>
        <w:tc>
          <w:tcPr>
            <w:tcW w:w="544" w:type="pct"/>
            <w:vAlign w:val="center"/>
          </w:tcPr>
          <w:p w:rsidR="000C5659" w:rsidRDefault="000E33C4">
            <w:pPr>
              <w:snapToGrid w:val="0"/>
              <w:rPr>
                <w:szCs w:val="18"/>
              </w:rPr>
            </w:pPr>
            <w:r>
              <w:rPr>
                <w:szCs w:val="18"/>
              </w:rPr>
              <w:t>太阳能发电</w:t>
            </w:r>
          </w:p>
        </w:tc>
        <w:tc>
          <w:tcPr>
            <w:tcW w:w="467" w:type="pct"/>
            <w:vAlign w:val="center"/>
          </w:tcPr>
          <w:p w:rsidR="000C5659" w:rsidRDefault="000E33C4">
            <w:pPr>
              <w:snapToGrid w:val="0"/>
              <w:jc w:val="right"/>
              <w:rPr>
                <w:szCs w:val="18"/>
              </w:rPr>
            </w:pPr>
            <w:r>
              <w:rPr>
                <w:szCs w:val="18"/>
              </w:rPr>
              <w:t>100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szCs w:val="18"/>
              </w:rPr>
              <w:t>非同一控制下企业合并</w:t>
            </w:r>
          </w:p>
        </w:tc>
      </w:tr>
      <w:tr w:rsidR="000C5659" w:rsidTr="0006345B">
        <w:tc>
          <w:tcPr>
            <w:tcW w:w="1072" w:type="pct"/>
            <w:vAlign w:val="center"/>
          </w:tcPr>
          <w:p w:rsidR="000C5659" w:rsidRDefault="000E33C4">
            <w:pPr>
              <w:snapToGrid w:val="0"/>
              <w:rPr>
                <w:szCs w:val="18"/>
              </w:rPr>
            </w:pPr>
            <w:r>
              <w:rPr>
                <w:rFonts w:hint="eastAsia"/>
                <w:szCs w:val="18"/>
              </w:rPr>
              <w:lastRenderedPageBreak/>
              <w:t>扬州明星牙刷口腔护理有限公司</w:t>
            </w:r>
          </w:p>
        </w:tc>
        <w:tc>
          <w:tcPr>
            <w:tcW w:w="465" w:type="pct"/>
            <w:vAlign w:val="center"/>
          </w:tcPr>
          <w:p w:rsidR="000C5659" w:rsidRDefault="000E33C4">
            <w:pPr>
              <w:snapToGrid w:val="0"/>
              <w:rPr>
                <w:szCs w:val="18"/>
              </w:rPr>
            </w:pPr>
            <w:r>
              <w:rPr>
                <w:szCs w:val="18"/>
              </w:rPr>
              <w:t>江苏省扬州市</w:t>
            </w:r>
          </w:p>
        </w:tc>
        <w:tc>
          <w:tcPr>
            <w:tcW w:w="698" w:type="pct"/>
            <w:vAlign w:val="center"/>
          </w:tcPr>
          <w:p w:rsidR="000C5659" w:rsidRDefault="000E33C4" w:rsidP="0006345B">
            <w:pPr>
              <w:jc w:val="right"/>
              <w:textAlignment w:val="center"/>
              <w:rPr>
                <w:color w:val="000000"/>
              </w:rPr>
            </w:pPr>
            <w:r>
              <w:rPr>
                <w:rFonts w:hint="eastAsia"/>
                <w:color w:val="000000"/>
                <w:lang w:bidi="ar"/>
              </w:rPr>
              <w:t>50.00</w:t>
            </w:r>
          </w:p>
        </w:tc>
        <w:tc>
          <w:tcPr>
            <w:tcW w:w="777" w:type="pct"/>
            <w:vAlign w:val="center"/>
          </w:tcPr>
          <w:p w:rsidR="000C5659" w:rsidRDefault="000E33C4">
            <w:pPr>
              <w:snapToGrid w:val="0"/>
              <w:rPr>
                <w:szCs w:val="18"/>
              </w:rPr>
            </w:pPr>
            <w:r>
              <w:rPr>
                <w:szCs w:val="18"/>
              </w:rPr>
              <w:t>江苏省扬州市</w:t>
            </w:r>
          </w:p>
        </w:tc>
        <w:tc>
          <w:tcPr>
            <w:tcW w:w="544" w:type="pct"/>
            <w:vAlign w:val="center"/>
          </w:tcPr>
          <w:p w:rsidR="000C5659" w:rsidRDefault="000E33C4">
            <w:pPr>
              <w:snapToGrid w:val="0"/>
              <w:rPr>
                <w:szCs w:val="18"/>
              </w:rPr>
            </w:pPr>
            <w:r>
              <w:rPr>
                <w:szCs w:val="18"/>
              </w:rPr>
              <w:t>制造业</w:t>
            </w:r>
          </w:p>
        </w:tc>
        <w:tc>
          <w:tcPr>
            <w:tcW w:w="467" w:type="pct"/>
            <w:vAlign w:val="center"/>
          </w:tcPr>
          <w:p w:rsidR="000C5659" w:rsidRDefault="000E33C4">
            <w:pPr>
              <w:snapToGrid w:val="0"/>
              <w:jc w:val="right"/>
              <w:rPr>
                <w:szCs w:val="18"/>
              </w:rPr>
            </w:pPr>
            <w:r>
              <w:rPr>
                <w:rFonts w:hint="eastAsia"/>
                <w:szCs w:val="18"/>
              </w:rPr>
              <w:t>1</w:t>
            </w:r>
            <w:r>
              <w:rPr>
                <w:szCs w:val="18"/>
              </w:rPr>
              <w:t>00</w:t>
            </w:r>
          </w:p>
        </w:tc>
        <w:tc>
          <w:tcPr>
            <w:tcW w:w="525" w:type="pct"/>
            <w:vAlign w:val="center"/>
          </w:tcPr>
          <w:p w:rsidR="000C5659" w:rsidRDefault="000C5659">
            <w:pPr>
              <w:snapToGrid w:val="0"/>
              <w:jc w:val="right"/>
              <w:rPr>
                <w:szCs w:val="18"/>
              </w:rPr>
            </w:pPr>
          </w:p>
        </w:tc>
        <w:tc>
          <w:tcPr>
            <w:tcW w:w="450" w:type="pct"/>
            <w:vAlign w:val="center"/>
          </w:tcPr>
          <w:p w:rsidR="000C5659" w:rsidRDefault="000E33C4">
            <w:pPr>
              <w:snapToGrid w:val="0"/>
              <w:jc w:val="center"/>
              <w:rPr>
                <w:szCs w:val="18"/>
              </w:rPr>
            </w:pPr>
            <w:r>
              <w:rPr>
                <w:rFonts w:hint="eastAsia"/>
                <w:szCs w:val="18"/>
              </w:rPr>
              <w:t>新设成立</w:t>
            </w:r>
          </w:p>
        </w:tc>
      </w:tr>
      <w:tr w:rsidR="000C5659" w:rsidTr="0006345B">
        <w:tc>
          <w:tcPr>
            <w:tcW w:w="1072" w:type="pct"/>
          </w:tcPr>
          <w:p w:rsidR="000C5659" w:rsidRDefault="000E33C4">
            <w:pPr>
              <w:pStyle w:val="Style325"/>
            </w:pPr>
            <w:r>
              <w:t>杭州益倍电子商务有限公司</w:t>
            </w:r>
          </w:p>
        </w:tc>
        <w:tc>
          <w:tcPr>
            <w:tcW w:w="465" w:type="pct"/>
          </w:tcPr>
          <w:p w:rsidR="000C5659" w:rsidRDefault="000E33C4">
            <w:pPr>
              <w:pStyle w:val="Style325"/>
            </w:pPr>
            <w:r>
              <w:t>浙江省杭州市</w:t>
            </w:r>
          </w:p>
        </w:tc>
        <w:tc>
          <w:tcPr>
            <w:tcW w:w="698" w:type="pct"/>
            <w:vAlign w:val="center"/>
          </w:tcPr>
          <w:p w:rsidR="000C5659" w:rsidRDefault="000E33C4" w:rsidP="0006345B">
            <w:pPr>
              <w:jc w:val="right"/>
            </w:pPr>
            <w:r>
              <w:t>600.00</w:t>
            </w:r>
          </w:p>
        </w:tc>
        <w:tc>
          <w:tcPr>
            <w:tcW w:w="777" w:type="pct"/>
          </w:tcPr>
          <w:p w:rsidR="000C5659" w:rsidRDefault="000E33C4">
            <w:pPr>
              <w:pStyle w:val="Style325"/>
            </w:pPr>
            <w:r>
              <w:t>浙江省杭州市</w:t>
            </w:r>
          </w:p>
        </w:tc>
        <w:tc>
          <w:tcPr>
            <w:tcW w:w="544" w:type="pct"/>
          </w:tcPr>
          <w:p w:rsidR="000C5659" w:rsidRDefault="000E33C4">
            <w:pPr>
              <w:pStyle w:val="Style325"/>
            </w:pPr>
            <w:r>
              <w:t>服务</w:t>
            </w:r>
          </w:p>
        </w:tc>
        <w:tc>
          <w:tcPr>
            <w:tcW w:w="467" w:type="pct"/>
          </w:tcPr>
          <w:p w:rsidR="000C5659" w:rsidRDefault="000C5659">
            <w:pPr>
              <w:jc w:val="right"/>
            </w:pPr>
          </w:p>
        </w:tc>
        <w:tc>
          <w:tcPr>
            <w:tcW w:w="525" w:type="pct"/>
          </w:tcPr>
          <w:p w:rsidR="000C5659" w:rsidRDefault="000E33C4">
            <w:pPr>
              <w:jc w:val="right"/>
            </w:pPr>
            <w:r>
              <w:t>100</w:t>
            </w:r>
          </w:p>
        </w:tc>
        <w:tc>
          <w:tcPr>
            <w:tcW w:w="450" w:type="pct"/>
          </w:tcPr>
          <w:p w:rsidR="000C5659" w:rsidRDefault="000E33C4">
            <w:pPr>
              <w:pStyle w:val="Style325"/>
            </w:pPr>
            <w:r>
              <w:t>新设成立</w:t>
            </w:r>
          </w:p>
        </w:tc>
      </w:tr>
      <w:tr w:rsidR="000C5659" w:rsidTr="0006345B">
        <w:tc>
          <w:tcPr>
            <w:tcW w:w="1072" w:type="pct"/>
          </w:tcPr>
          <w:p w:rsidR="000C5659" w:rsidRDefault="00DD5FFB">
            <w:pPr>
              <w:pStyle w:val="Style325"/>
            </w:pPr>
            <w:fldSimple w:instr=" DOCVARIABLE  基本信息_企业名称  \* MERGEFORMAT ">
              <w:r w:rsidR="000E33C4">
                <w:rPr>
                  <w:rFonts w:hint="eastAsia"/>
                </w:rPr>
                <w:t>善恩康生物科技（苏州）有限公司</w:t>
              </w:r>
            </w:fldSimple>
          </w:p>
        </w:tc>
        <w:tc>
          <w:tcPr>
            <w:tcW w:w="465" w:type="pct"/>
          </w:tcPr>
          <w:p w:rsidR="000C5659" w:rsidRDefault="000E33C4">
            <w:pPr>
              <w:pStyle w:val="Style325"/>
            </w:pPr>
            <w:r>
              <w:rPr>
                <w:rFonts w:hint="eastAsia"/>
              </w:rPr>
              <w:t>江苏省苏州市</w:t>
            </w:r>
          </w:p>
        </w:tc>
        <w:tc>
          <w:tcPr>
            <w:tcW w:w="698" w:type="pct"/>
            <w:vAlign w:val="center"/>
          </w:tcPr>
          <w:p w:rsidR="000C5659" w:rsidRDefault="000E33C4" w:rsidP="0006345B">
            <w:pPr>
              <w:jc w:val="right"/>
            </w:pPr>
            <w:r>
              <w:t>8,729.28</w:t>
            </w:r>
          </w:p>
        </w:tc>
        <w:tc>
          <w:tcPr>
            <w:tcW w:w="777" w:type="pct"/>
          </w:tcPr>
          <w:p w:rsidR="000C5659" w:rsidRDefault="000E33C4">
            <w:pPr>
              <w:pStyle w:val="Style325"/>
            </w:pPr>
            <w:r>
              <w:rPr>
                <w:rFonts w:hint="eastAsia"/>
              </w:rPr>
              <w:t>江苏省苏州市</w:t>
            </w:r>
          </w:p>
        </w:tc>
        <w:tc>
          <w:tcPr>
            <w:tcW w:w="544" w:type="pct"/>
            <w:shd w:val="clear" w:color="auto" w:fill="auto"/>
          </w:tcPr>
          <w:p w:rsidR="000C5659" w:rsidRDefault="000E33C4">
            <w:pPr>
              <w:pStyle w:val="Style325"/>
            </w:pPr>
            <w:r>
              <w:rPr>
                <w:rFonts w:hint="eastAsia"/>
              </w:rPr>
              <w:t>制造业</w:t>
            </w:r>
          </w:p>
        </w:tc>
        <w:tc>
          <w:tcPr>
            <w:tcW w:w="467" w:type="pct"/>
            <w:vAlign w:val="center"/>
          </w:tcPr>
          <w:p w:rsidR="000C5659" w:rsidRDefault="000E33C4" w:rsidP="0006345B">
            <w:pPr>
              <w:jc w:val="right"/>
            </w:pPr>
            <w:r>
              <w:rPr>
                <w:rFonts w:hint="eastAsia"/>
              </w:rPr>
              <w:t>57.14</w:t>
            </w:r>
          </w:p>
        </w:tc>
        <w:tc>
          <w:tcPr>
            <w:tcW w:w="525" w:type="pct"/>
          </w:tcPr>
          <w:p w:rsidR="000C5659" w:rsidRDefault="000C5659">
            <w:pPr>
              <w:jc w:val="right"/>
            </w:pPr>
          </w:p>
        </w:tc>
        <w:tc>
          <w:tcPr>
            <w:tcW w:w="450" w:type="pct"/>
          </w:tcPr>
          <w:p w:rsidR="000C5659" w:rsidRDefault="000E33C4">
            <w:pPr>
              <w:pStyle w:val="Style325"/>
            </w:pPr>
            <w:r>
              <w:rPr>
                <w:rFonts w:hint="eastAsia"/>
              </w:rPr>
              <w:t>非同一控制下企业合并</w:t>
            </w:r>
          </w:p>
        </w:tc>
      </w:tr>
      <w:tr w:rsidR="000C5659" w:rsidTr="0006345B">
        <w:tc>
          <w:tcPr>
            <w:tcW w:w="1072" w:type="pct"/>
          </w:tcPr>
          <w:p w:rsidR="000C5659" w:rsidRDefault="000E33C4">
            <w:pPr>
              <w:pStyle w:val="Style325"/>
            </w:pPr>
            <w:r>
              <w:rPr>
                <w:rFonts w:hint="eastAsia"/>
              </w:rPr>
              <w:t>善恩康生物科技（上海）有限公司</w:t>
            </w:r>
          </w:p>
        </w:tc>
        <w:tc>
          <w:tcPr>
            <w:tcW w:w="465" w:type="pct"/>
          </w:tcPr>
          <w:p w:rsidR="000C5659" w:rsidRDefault="000E33C4">
            <w:pPr>
              <w:pStyle w:val="Style325"/>
            </w:pPr>
            <w:r>
              <w:rPr>
                <w:rFonts w:hint="eastAsia"/>
              </w:rPr>
              <w:t>上海市</w:t>
            </w:r>
          </w:p>
        </w:tc>
        <w:tc>
          <w:tcPr>
            <w:tcW w:w="698" w:type="pct"/>
            <w:vAlign w:val="center"/>
          </w:tcPr>
          <w:p w:rsidR="000C5659" w:rsidRDefault="000E33C4" w:rsidP="0006345B">
            <w:pPr>
              <w:jc w:val="right"/>
            </w:pPr>
            <w:r>
              <w:t>1,000</w:t>
            </w:r>
            <w:r>
              <w:rPr>
                <w:rFonts w:hint="eastAsia"/>
              </w:rPr>
              <w:t>.</w:t>
            </w:r>
            <w:r>
              <w:t>00</w:t>
            </w:r>
          </w:p>
        </w:tc>
        <w:tc>
          <w:tcPr>
            <w:tcW w:w="777" w:type="pct"/>
            <w:vAlign w:val="center"/>
          </w:tcPr>
          <w:p w:rsidR="000C5659" w:rsidRDefault="000E33C4">
            <w:pPr>
              <w:pStyle w:val="Style325"/>
            </w:pPr>
            <w:r>
              <w:rPr>
                <w:szCs w:val="18"/>
              </w:rPr>
              <w:t>上海市</w:t>
            </w:r>
          </w:p>
        </w:tc>
        <w:tc>
          <w:tcPr>
            <w:tcW w:w="544" w:type="pct"/>
            <w:vAlign w:val="center"/>
          </w:tcPr>
          <w:p w:rsidR="000C5659" w:rsidRDefault="000E33C4">
            <w:pPr>
              <w:pStyle w:val="Style325"/>
            </w:pPr>
            <w:r>
              <w:rPr>
                <w:rFonts w:hint="eastAsia"/>
              </w:rPr>
              <w:t>贸易</w:t>
            </w:r>
          </w:p>
        </w:tc>
        <w:tc>
          <w:tcPr>
            <w:tcW w:w="467" w:type="pct"/>
            <w:vAlign w:val="center"/>
          </w:tcPr>
          <w:p w:rsidR="000C5659" w:rsidRDefault="000C5659">
            <w:pPr>
              <w:jc w:val="right"/>
            </w:pPr>
          </w:p>
        </w:tc>
        <w:tc>
          <w:tcPr>
            <w:tcW w:w="525" w:type="pct"/>
            <w:vAlign w:val="center"/>
          </w:tcPr>
          <w:p w:rsidR="000C5659" w:rsidRDefault="000117A3">
            <w:pPr>
              <w:jc w:val="right"/>
            </w:pPr>
            <w:r>
              <w:t>57.14</w:t>
            </w:r>
          </w:p>
        </w:tc>
        <w:tc>
          <w:tcPr>
            <w:tcW w:w="450" w:type="pct"/>
            <w:vAlign w:val="center"/>
          </w:tcPr>
          <w:p w:rsidR="000C5659" w:rsidRDefault="000E33C4">
            <w:pPr>
              <w:rPr>
                <w:rStyle w:val="Style364"/>
                <w:rFonts w:ascii="Times New Roman" w:hAnsi="Times New Roman"/>
              </w:rPr>
            </w:pPr>
            <w:r>
              <w:rPr>
                <w:rFonts w:hint="eastAsia"/>
                <w:szCs w:val="18"/>
              </w:rPr>
              <w:t>非同一控制下企业合并</w:t>
            </w:r>
          </w:p>
        </w:tc>
      </w:tr>
      <w:tr w:rsidR="000C5659" w:rsidTr="0006345B">
        <w:tc>
          <w:tcPr>
            <w:tcW w:w="1072" w:type="pct"/>
          </w:tcPr>
          <w:p w:rsidR="000C5659" w:rsidRDefault="000E33C4">
            <w:pPr>
              <w:pStyle w:val="Style325"/>
            </w:pPr>
            <w:r>
              <w:rPr>
                <w:rFonts w:hint="eastAsia"/>
              </w:rPr>
              <w:t>安徽善和生物科技有限公司</w:t>
            </w:r>
          </w:p>
        </w:tc>
        <w:tc>
          <w:tcPr>
            <w:tcW w:w="465" w:type="pct"/>
          </w:tcPr>
          <w:p w:rsidR="000C5659" w:rsidRDefault="000E33C4">
            <w:pPr>
              <w:pStyle w:val="Style325"/>
            </w:pPr>
            <w:r>
              <w:rPr>
                <w:rFonts w:hint="eastAsia"/>
              </w:rPr>
              <w:t>安徽省宿州市</w:t>
            </w:r>
          </w:p>
        </w:tc>
        <w:tc>
          <w:tcPr>
            <w:tcW w:w="698" w:type="pct"/>
            <w:vAlign w:val="center"/>
          </w:tcPr>
          <w:p w:rsidR="000C5659" w:rsidRDefault="000E33C4" w:rsidP="0006345B">
            <w:pPr>
              <w:jc w:val="right"/>
            </w:pPr>
            <w:r>
              <w:t>5,000.00</w:t>
            </w:r>
          </w:p>
        </w:tc>
        <w:tc>
          <w:tcPr>
            <w:tcW w:w="777" w:type="pct"/>
            <w:vAlign w:val="center"/>
          </w:tcPr>
          <w:p w:rsidR="000C5659" w:rsidRDefault="000E33C4">
            <w:pPr>
              <w:pStyle w:val="Style325"/>
            </w:pPr>
            <w:r>
              <w:rPr>
                <w:rFonts w:hint="eastAsia"/>
                <w:szCs w:val="18"/>
              </w:rPr>
              <w:t>安徽省宿州</w:t>
            </w:r>
            <w:r>
              <w:rPr>
                <w:szCs w:val="18"/>
              </w:rPr>
              <w:t>市</w:t>
            </w:r>
          </w:p>
        </w:tc>
        <w:tc>
          <w:tcPr>
            <w:tcW w:w="544" w:type="pct"/>
            <w:vAlign w:val="center"/>
          </w:tcPr>
          <w:p w:rsidR="000C5659" w:rsidRDefault="000E33C4">
            <w:pPr>
              <w:pStyle w:val="Style325"/>
            </w:pPr>
            <w:r>
              <w:rPr>
                <w:rFonts w:hint="eastAsia"/>
                <w:szCs w:val="18"/>
              </w:rPr>
              <w:t>制造业</w:t>
            </w:r>
          </w:p>
        </w:tc>
        <w:tc>
          <w:tcPr>
            <w:tcW w:w="467" w:type="pct"/>
            <w:vAlign w:val="center"/>
          </w:tcPr>
          <w:p w:rsidR="000C5659" w:rsidRDefault="000C5659">
            <w:pPr>
              <w:jc w:val="right"/>
            </w:pPr>
          </w:p>
        </w:tc>
        <w:tc>
          <w:tcPr>
            <w:tcW w:w="525" w:type="pct"/>
            <w:vAlign w:val="center"/>
          </w:tcPr>
          <w:p w:rsidR="000C5659" w:rsidRDefault="000117A3">
            <w:pPr>
              <w:jc w:val="right"/>
            </w:pPr>
            <w:r>
              <w:t>57.14</w:t>
            </w:r>
          </w:p>
        </w:tc>
        <w:tc>
          <w:tcPr>
            <w:tcW w:w="450" w:type="pct"/>
            <w:vAlign w:val="center"/>
          </w:tcPr>
          <w:p w:rsidR="000C5659" w:rsidRDefault="000E33C4">
            <w:pPr>
              <w:rPr>
                <w:rStyle w:val="Style364"/>
                <w:rFonts w:ascii="Times New Roman" w:hAnsi="Times New Roman"/>
              </w:rPr>
            </w:pPr>
            <w:r>
              <w:rPr>
                <w:rFonts w:hint="eastAsia"/>
                <w:szCs w:val="18"/>
              </w:rPr>
              <w:t>非同一控制下企业合并</w:t>
            </w:r>
          </w:p>
        </w:tc>
      </w:tr>
    </w:tbl>
    <w:p w:rsidR="000C5659" w:rsidRDefault="000C5659">
      <w:pPr>
        <w:pStyle w:val="Style325"/>
      </w:pPr>
    </w:p>
    <w:p w:rsidR="000C5659" w:rsidRDefault="000E33C4">
      <w:pPr>
        <w:rPr>
          <w:rFonts w:cs="Arial"/>
          <w:color w:val="000000" w:themeColor="text1"/>
        </w:rPr>
      </w:pPr>
      <w:r>
        <w:rPr>
          <w:rFonts w:cs="Arial" w:hint="eastAsia"/>
          <w:color w:val="000000" w:themeColor="text1"/>
        </w:rPr>
        <w:t>在子公司的持股比例不同于表决权比例的说明：</w:t>
      </w:r>
    </w:p>
    <w:p w:rsidR="000C5659" w:rsidRDefault="00220B84">
      <w:pPr>
        <w:rPr>
          <w:rFonts w:cs="Arial"/>
          <w:color w:val="000000" w:themeColor="text1"/>
        </w:rPr>
      </w:pPr>
      <w:sdt>
        <w:sdtPr>
          <w:rPr>
            <w:rFonts w:cs="Arial"/>
            <w:color w:val="000000" w:themeColor="text1"/>
          </w:rPr>
          <w:alias w:val="在子公司的持股比例不同于表决权比例的说明"/>
          <w:tag w:val="_GBC_f369e5dd5f6e430ebbede4953d1e5b82"/>
          <w:id w:val="-663778910"/>
          <w:placeholder>
            <w:docPart w:val="GBC22222222222222222222222222222"/>
          </w:placeholder>
        </w:sdtPr>
        <w:sdtEndPr/>
        <w:sdtContent>
          <w:r w:rsidR="000E33C4">
            <w:rPr>
              <w:rFonts w:cs="Arial" w:hint="eastAsia"/>
              <w:color w:val="000000" w:themeColor="text1"/>
            </w:rPr>
            <w:t>无</w:t>
          </w:r>
        </w:sdtContent>
      </w:sdt>
    </w:p>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持有半数或以下表决权但仍控制被投资单位、以及持有半数以上表决权但不控制被投资单位的依据：</w:t>
      </w:r>
    </w:p>
    <w:sdt>
      <w:sdtPr>
        <w:rPr>
          <w:rFonts w:cs="Arial"/>
          <w:color w:val="000000" w:themeColor="text1"/>
        </w:rPr>
        <w:alias w:val="持有半数或以下表决权但仍控制被投资单位、以及持有半数以上表决权但不控制被投资单位的依据"/>
        <w:tag w:val="_GBC_140bd5da597c40feaa9310db1d6dc624"/>
        <w:id w:val="1634977329"/>
        <w:placeholder>
          <w:docPart w:val="GBC22222222222222222222222222222"/>
        </w:placeholder>
      </w:sdtPr>
      <w:sdtEndPr/>
      <w:sdtContent>
        <w:p w:rsidR="000C5659" w:rsidRDefault="000E33C4">
          <w:pPr>
            <w:rPr>
              <w:rFonts w:cs="Arial"/>
              <w:color w:val="000000" w:themeColor="text1"/>
            </w:rPr>
          </w:pPr>
          <w:r>
            <w:rPr>
              <w:rFonts w:cs="Arial" w:hint="eastAsia"/>
              <w:color w:val="000000" w:themeColor="text1"/>
            </w:rPr>
            <w:t>无</w:t>
          </w:r>
        </w:p>
      </w:sdtContent>
    </w:sdt>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对于纳入合并范围的重要的结构化主体，控制的依据：</w:t>
      </w:r>
    </w:p>
    <w:sdt>
      <w:sdtPr>
        <w:rPr>
          <w:rFonts w:cs="Arial" w:hint="eastAsia"/>
          <w:color w:val="000000" w:themeColor="text1"/>
        </w:rPr>
        <w:alias w:val="对于纳入合并范围的重要的结构化主体，控制的依据"/>
        <w:tag w:val="_GBC_2d237439b4094e01b636ce2eb1be2008"/>
        <w:id w:val="-1265994295"/>
        <w:placeholder>
          <w:docPart w:val="GBC22222222222222222222222222222"/>
        </w:placeholder>
      </w:sdtPr>
      <w:sdtEndPr/>
      <w:sdtContent>
        <w:p w:rsidR="000C5659" w:rsidRDefault="000E33C4">
          <w:pPr>
            <w:rPr>
              <w:rFonts w:cs="Arial"/>
              <w:color w:val="000000" w:themeColor="text1"/>
            </w:rPr>
          </w:pPr>
          <w:r>
            <w:rPr>
              <w:rFonts w:cs="Arial" w:hint="eastAsia"/>
              <w:color w:val="000000" w:themeColor="text1"/>
            </w:rPr>
            <w:t>无</w:t>
          </w:r>
        </w:p>
      </w:sdtContent>
    </w:sdt>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确定公司是代理人还是委托人的依据：</w:t>
      </w:r>
    </w:p>
    <w:sdt>
      <w:sdtPr>
        <w:rPr>
          <w:rFonts w:cs="Arial" w:hint="eastAsia"/>
          <w:color w:val="000000" w:themeColor="text1"/>
        </w:rPr>
        <w:alias w:val="确定公司是代理人还是委托人的依据"/>
        <w:tag w:val="_GBC_6e0bd1ebb4c2474da455b4f5a3a59699"/>
        <w:id w:val="-399986750"/>
        <w:placeholder>
          <w:docPart w:val="GBC22222222222222222222222222222"/>
        </w:placeholder>
      </w:sdtPr>
      <w:sdtEndPr/>
      <w:sdtContent>
        <w:p w:rsidR="000C5659" w:rsidRDefault="000E33C4">
          <w:pPr>
            <w:rPr>
              <w:rFonts w:cs="Arial"/>
              <w:color w:val="000000" w:themeColor="text1"/>
            </w:rPr>
          </w:pPr>
          <w:r>
            <w:rPr>
              <w:rFonts w:cs="Arial" w:hint="eastAsia"/>
              <w:color w:val="000000" w:themeColor="text1"/>
            </w:rPr>
            <w:t>无</w:t>
          </w:r>
        </w:p>
      </w:sdtContent>
    </w:sdt>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其他说明：</w:t>
      </w:r>
    </w:p>
    <w:bookmarkEnd w:id="358" w:displacedByCustomXml="next"/>
    <w:sdt>
      <w:sdtPr>
        <w:rPr>
          <w:rFonts w:cs="Arial"/>
          <w:color w:val="000000" w:themeColor="text1"/>
        </w:rPr>
        <w:alias w:val="企业集团的构成的其他需要说明的事项"/>
        <w:tag w:val="_GBC_6b7d2d3a14224f7e90a4df3c02b8e3b3"/>
        <w:id w:val="35793810"/>
        <w:placeholder>
          <w:docPart w:val="GBC22222222222222222222222222222"/>
        </w:placeholder>
      </w:sdtPr>
      <w:sdtEndPr/>
      <w:sdtContent>
        <w:p w:rsidR="000C5659" w:rsidRDefault="000E33C4">
          <w:r>
            <w:rPr>
              <w:rFonts w:cs="Arial" w:hint="eastAsia"/>
              <w:color w:val="000000" w:themeColor="text1"/>
            </w:rPr>
            <w:t>1、</w:t>
          </w:r>
          <w:r>
            <w:rPr>
              <w:rFonts w:hint="eastAsia"/>
            </w:rPr>
            <w:t>安徽善和生物科技有限公司、善恩康生物科技（上海）有限公司为</w:t>
          </w:r>
          <w:fldSimple w:instr=" DOCVARIABLE  基本信息_企业名称  \* MERGEFORMAT ">
            <w:r>
              <w:rPr>
                <w:rFonts w:hint="eastAsia"/>
              </w:rPr>
              <w:t>善恩康生物科技（苏州）有限公司</w:t>
            </w:r>
          </w:fldSimple>
          <w:r>
            <w:rPr>
              <w:rFonts w:hint="eastAsia"/>
            </w:rPr>
            <w:t>全资子公司。</w:t>
          </w:r>
        </w:p>
        <w:p w:rsidR="000C5659" w:rsidRDefault="000E33C4">
          <w:pPr>
            <w:rPr>
              <w:rFonts w:cs="Arial"/>
              <w:color w:val="000000" w:themeColor="text1"/>
            </w:rPr>
          </w:pPr>
          <w:r>
            <w:rPr>
              <w:rFonts w:hint="eastAsia"/>
            </w:rPr>
            <w:t>2、</w:t>
          </w:r>
          <w:r>
            <w:t>根据《股权转让及增资协议》的约定，昆山薪伙相传企业管理中心（有限合伙）、新设员工持股平台拟作为对善恩康的员工股权激励的员工持股平台。在未将持股平台合伙份额转让给受激励员工前，尚未明确归属于激励员工的合伙份额所对应的善恩康相应的股权比例不享有股东分红权和股东收益权，由其他股东按照认缴出资比例享有。扣除上述2个持股平台的注册资本后，倍加洁公司占善恩康公司注册资本57.14%。</w:t>
          </w:r>
        </w:p>
      </w:sdtContent>
    </w:sdt>
    <w:p w:rsidR="000C5659" w:rsidRDefault="000E33C4" w:rsidP="000743DD">
      <w:pPr>
        <w:pStyle w:val="Style329"/>
        <w:numPr>
          <w:ilvl w:val="3"/>
          <w:numId w:val="99"/>
        </w:numPr>
        <w:tabs>
          <w:tab w:val="left" w:pos="644"/>
        </w:tabs>
        <w:rPr>
          <w:rFonts w:ascii="宋体" w:hAnsi="宋体" w:cs="Arial"/>
          <w:color w:val="000000" w:themeColor="text1"/>
          <w:szCs w:val="21"/>
        </w:rPr>
      </w:pPr>
      <w:r>
        <w:rPr>
          <w:rFonts w:ascii="宋体" w:hAnsi="宋体" w:cs="Arial" w:hint="eastAsia"/>
          <w:color w:val="000000" w:themeColor="text1"/>
          <w:szCs w:val="21"/>
        </w:rPr>
        <w:t>重要的非全资子公司</w:t>
      </w:r>
    </w:p>
    <w:sdt>
      <w:sdtPr>
        <w:rPr>
          <w:color w:val="000000" w:themeColor="text1"/>
        </w:rPr>
        <w:alias w:val="是否适用：重要的非全资子公司[双击切换]"/>
        <w:tag w:val="_GBC_b83f349d0d754e2d93b12d2112b4c3ec"/>
        <w:id w:val="-5493061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重要的非全资子公司"/>
          <w:tag w:val="_GBC_e5936e9952394755bacf71d437afcd44"/>
          <w:id w:val="1265879630"/>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重要的非全资子公司"/>
          <w:tag w:val="_GBC_5ffac6aa0e464031b94de604fccc76c7"/>
          <w:id w:val="-200526636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73"/>
        <w:gridCol w:w="1768"/>
        <w:gridCol w:w="1888"/>
        <w:gridCol w:w="1895"/>
        <w:gridCol w:w="1699"/>
      </w:tblGrid>
      <w:tr w:rsidR="000C5659">
        <w:trPr>
          <w:trHeight w:val="241"/>
        </w:trPr>
        <w:sdt>
          <w:sdtPr>
            <w:rPr>
              <w:color w:val="000000" w:themeColor="text1"/>
            </w:rPr>
            <w:tag w:val="_PLD_214f5d23d0ff4cd08577f444026e3bf2"/>
            <w:id w:val="2126655540"/>
          </w:sdtPr>
          <w:sdtEndPr/>
          <w:sdtContent>
            <w:tc>
              <w:tcPr>
                <w:tcW w:w="891" w:type="pct"/>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子公司名称</w:t>
                </w:r>
              </w:p>
            </w:tc>
          </w:sdtContent>
        </w:sdt>
        <w:sdt>
          <w:sdtPr>
            <w:rPr>
              <w:color w:val="000000" w:themeColor="text1"/>
            </w:rPr>
            <w:tag w:val="_PLD_8f337a5f047e4f5eb2e03caf3b5ce2bb"/>
            <w:id w:val="-1833450690"/>
          </w:sdtPr>
          <w:sdtEnd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少数股东持股</w:t>
                </w:r>
              </w:p>
              <w:p w:rsidR="000C5659" w:rsidRDefault="000E33C4">
                <w:pPr>
                  <w:jc w:val="center"/>
                  <w:rPr>
                    <w:rFonts w:cs="Arial"/>
                    <w:color w:val="000000" w:themeColor="text1"/>
                  </w:rPr>
                </w:pPr>
                <w:r>
                  <w:rPr>
                    <w:rFonts w:cs="Arial" w:hint="eastAsia"/>
                    <w:color w:val="000000" w:themeColor="text1"/>
                    <w:lang w:val="en-GB"/>
                  </w:rPr>
                  <w:t>比例</w:t>
                </w:r>
                <w:r>
                  <w:rPr>
                    <w:rFonts w:hint="eastAsia"/>
                    <w:color w:val="000000" w:themeColor="text1"/>
                  </w:rPr>
                  <w:t>（%）</w:t>
                </w:r>
              </w:p>
            </w:tc>
          </w:sdtContent>
        </w:sdt>
        <w:sdt>
          <w:sdtPr>
            <w:rPr>
              <w:color w:val="000000" w:themeColor="text1"/>
            </w:rPr>
            <w:tag w:val="_PLD_70aca7c8f09a4a579e632e06c25a6ab5"/>
            <w:id w:val="-2059928636"/>
          </w:sdtPr>
          <w:sdtEnd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本期归属于少数股东的损益</w:t>
                </w:r>
              </w:p>
            </w:tc>
          </w:sdtContent>
        </w:sdt>
        <w:sdt>
          <w:sdtPr>
            <w:rPr>
              <w:color w:val="000000" w:themeColor="text1"/>
            </w:rPr>
            <w:tag w:val="_PLD_4154a89239e54416bb4c7ab182b0ae5a"/>
            <w:id w:val="75867884"/>
          </w:sdtPr>
          <w:sdtEndPr/>
          <w:sdtContent>
            <w:tc>
              <w:tcPr>
                <w:tcW w:w="1074" w:type="pc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本期向少数股东宣告分派的股利</w:t>
                </w:r>
              </w:p>
            </w:tc>
          </w:sdtContent>
        </w:sdt>
        <w:sdt>
          <w:sdtPr>
            <w:rPr>
              <w:color w:val="000000" w:themeColor="text1"/>
            </w:rPr>
            <w:tag w:val="_PLD_cea34ef7af164cc8816d90890b528f36"/>
            <w:id w:val="418531844"/>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0C5659" w:rsidRDefault="000E33C4">
                <w:pPr>
                  <w:ind w:right="-16"/>
                  <w:jc w:val="center"/>
                  <w:rPr>
                    <w:rFonts w:cs="Arial"/>
                    <w:color w:val="000000" w:themeColor="text1"/>
                  </w:rPr>
                </w:pPr>
                <w:r>
                  <w:rPr>
                    <w:rFonts w:cs="Arial" w:hint="eastAsia"/>
                    <w:color w:val="000000" w:themeColor="text1"/>
                    <w:lang w:val="en-GB"/>
                  </w:rPr>
                  <w:t>期末少数股东权益余额</w:t>
                </w:r>
              </w:p>
            </w:tc>
          </w:sdtContent>
        </w:sdt>
      </w:tr>
      <w:tr w:rsidR="000C5659">
        <w:tc>
          <w:tcPr>
            <w:tcW w:w="891" w:type="pct"/>
            <w:tcBorders>
              <w:top w:val="single" w:sz="6" w:space="0" w:color="auto"/>
              <w:left w:val="single" w:sz="4" w:space="0" w:color="auto"/>
              <w:bottom w:val="single" w:sz="4" w:space="0" w:color="auto"/>
              <w:right w:val="single" w:sz="6" w:space="0" w:color="auto"/>
            </w:tcBorders>
          </w:tcPr>
          <w:p w:rsidR="000C5659" w:rsidRDefault="00DD5FFB">
            <w:pPr>
              <w:pStyle w:val="Style325"/>
            </w:pPr>
            <w:fldSimple w:instr=" DOCVARIABLE  基本信息_企业名称  \* MERGEFORMAT ">
              <w:r w:rsidR="000E33C4">
                <w:rPr>
                  <w:rFonts w:hint="eastAsia"/>
                </w:rPr>
                <w:t>善恩康生物科技（苏州）有限公司</w:t>
              </w:r>
            </w:fldSimple>
          </w:p>
        </w:tc>
        <w:tc>
          <w:tcPr>
            <w:tcW w:w="1002"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pPr>
            <w:r>
              <w:rPr>
                <w:rFonts w:hint="eastAsia"/>
              </w:rPr>
              <w:t>4</w:t>
            </w:r>
            <w:r>
              <w:t>2.86</w:t>
            </w:r>
          </w:p>
        </w:tc>
        <w:tc>
          <w:tcPr>
            <w:tcW w:w="1936" w:type="dxa"/>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rFonts w:hint="eastAsia"/>
                <w:color w:val="000000"/>
                <w:lang w:bidi="ar"/>
              </w:rPr>
              <w:t>-1,209,765.19</w:t>
            </w:r>
          </w:p>
        </w:tc>
        <w:tc>
          <w:tcPr>
            <w:tcW w:w="1944" w:type="dxa"/>
            <w:tcBorders>
              <w:top w:val="single" w:sz="6" w:space="0" w:color="auto"/>
              <w:left w:val="single" w:sz="6" w:space="0" w:color="auto"/>
              <w:bottom w:val="single" w:sz="4" w:space="0" w:color="auto"/>
              <w:right w:val="single" w:sz="6" w:space="0" w:color="auto"/>
            </w:tcBorders>
            <w:vAlign w:val="center"/>
          </w:tcPr>
          <w:p w:rsidR="000C5659" w:rsidRDefault="000C5659">
            <w:pPr>
              <w:jc w:val="right"/>
            </w:pPr>
          </w:p>
        </w:tc>
        <w:tc>
          <w:tcPr>
            <w:tcW w:w="1743" w:type="dxa"/>
            <w:tcBorders>
              <w:top w:val="single" w:sz="6" w:space="0" w:color="auto"/>
              <w:left w:val="single" w:sz="6" w:space="0" w:color="auto"/>
              <w:bottom w:val="single" w:sz="4" w:space="0" w:color="auto"/>
              <w:right w:val="single" w:sz="4" w:space="0" w:color="auto"/>
            </w:tcBorders>
            <w:vAlign w:val="center"/>
          </w:tcPr>
          <w:p w:rsidR="000C5659" w:rsidRDefault="000E33C4">
            <w:pPr>
              <w:jc w:val="right"/>
              <w:textAlignment w:val="center"/>
            </w:pPr>
            <w:r>
              <w:rPr>
                <w:rFonts w:hint="eastAsia"/>
                <w:color w:val="000000"/>
                <w:lang w:bidi="ar"/>
              </w:rPr>
              <w:t>69,349,591.80</w:t>
            </w:r>
          </w:p>
        </w:tc>
      </w:tr>
    </w:tbl>
    <w:p w:rsidR="000C5659" w:rsidRDefault="000E33C4">
      <w:pPr>
        <w:rPr>
          <w:rFonts w:cs="Arial"/>
          <w:color w:val="000000" w:themeColor="text1"/>
        </w:rPr>
      </w:pPr>
      <w:r>
        <w:rPr>
          <w:rFonts w:cs="Arial" w:hint="eastAsia"/>
          <w:color w:val="000000" w:themeColor="text1"/>
        </w:rPr>
        <w:t>子公司少数股东的持股比例不同于表决权比例的说明：</w:t>
      </w:r>
    </w:p>
    <w:sdt>
      <w:sdtPr>
        <w:rPr>
          <w:rFonts w:cs="Arial"/>
          <w:color w:val="000000" w:themeColor="text1"/>
        </w:rPr>
        <w:alias w:val="是否适用：子公司少数股东的持股比例不同于表决权比例的说明[双击切换]"/>
        <w:tag w:val="_GBC_8bf91d6e05c644d1b37f5d88e434cb9e"/>
        <w:id w:val="-843932478"/>
      </w:sdtPr>
      <w:sdtEndPr/>
      <w:sdtContent>
        <w:p w:rsidR="000C5659" w:rsidRDefault="000E33C4">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其他说明：</w:t>
      </w:r>
    </w:p>
    <w:sdt>
      <w:sdtPr>
        <w:rPr>
          <w:rFonts w:cs="Arial"/>
          <w:color w:val="000000" w:themeColor="text1"/>
        </w:rPr>
        <w:alias w:val="是否适用：重要的非全资子公司其他说明[双击切换]"/>
        <w:tag w:val="_GBC_c511ac7f8f1f42bfa9130e28b68d1f19"/>
        <w:id w:val="279077913"/>
      </w:sdtPr>
      <w:sdtEndPr/>
      <w:sdtContent>
        <w:p w:rsidR="000C5659" w:rsidRDefault="000E33C4">
          <w:pPr>
            <w:pStyle w:val="Style325"/>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9"/>
        <w:numPr>
          <w:ilvl w:val="3"/>
          <w:numId w:val="99"/>
        </w:numPr>
        <w:tabs>
          <w:tab w:val="left" w:pos="644"/>
        </w:tabs>
        <w:rPr>
          <w:rFonts w:ascii="宋体" w:hAnsi="宋体" w:cs="Arial"/>
          <w:color w:val="000000" w:themeColor="text1"/>
          <w:szCs w:val="21"/>
        </w:rPr>
      </w:pPr>
      <w:r>
        <w:rPr>
          <w:rFonts w:ascii="宋体" w:hAnsi="宋体" w:cs="Arial" w:hint="eastAsia"/>
          <w:color w:val="000000" w:themeColor="text1"/>
          <w:szCs w:val="21"/>
        </w:rPr>
        <w:t>重要非全资子公司的主要财务信息</w:t>
      </w:r>
    </w:p>
    <w:sdt>
      <w:sdtPr>
        <w:rPr>
          <w:color w:val="000000" w:themeColor="text1"/>
        </w:rPr>
        <w:alias w:val="是否适用：重要非全资子公司的主要财务信息[双击切换]"/>
        <w:tag w:val="_GBC_c10a7c42e39b4ac9a711e2e9d367799e"/>
        <w:id w:val="192669327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p w:rsidR="000C5659" w:rsidRDefault="000C5659">
          <w:pPr>
            <w:rPr>
              <w:color w:val="000000" w:themeColor="text1"/>
            </w:rPr>
          </w:pPr>
        </w:p>
        <w:p w:rsidR="000C5659" w:rsidRDefault="00220B84">
          <w:pPr>
            <w:rPr>
              <w:color w:val="000000" w:themeColor="text1"/>
            </w:rPr>
          </w:pP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重要非全资子公司的主要财务信息"/>
          <w:tag w:val="_GBC_ba918360b15748859fb63cacad1f617d"/>
          <w:id w:val="-302318570"/>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重要非全资子公司的主要财务信息"/>
          <w:tag w:val="_GBC_af5cc4f1e7a74e3d8f9c9fea25fdf05f"/>
          <w:id w:val="98674849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0"/>
        <w:tblW w:w="6185" w:type="pct"/>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0"/>
        <w:gridCol w:w="1702"/>
        <w:gridCol w:w="1702"/>
        <w:gridCol w:w="1702"/>
        <w:gridCol w:w="1698"/>
        <w:gridCol w:w="1558"/>
        <w:gridCol w:w="1698"/>
      </w:tblGrid>
      <w:tr w:rsidR="000C5659" w:rsidTr="009778C2">
        <w:trPr>
          <w:trHeight w:val="241"/>
          <w:jc w:val="center"/>
        </w:trPr>
        <w:sdt>
          <w:sdtPr>
            <w:rPr>
              <w:color w:val="000000" w:themeColor="text1"/>
            </w:rPr>
            <w:tag w:val="_PLD_e65ae60c1beb4e5aa4e9c5250ffb188a"/>
            <w:id w:val="702682456"/>
          </w:sdtPr>
          <w:sdtEndPr/>
          <w:sdtContent>
            <w:tc>
              <w:tcPr>
                <w:tcW w:w="39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E33C4">
                <w:pPr>
                  <w:ind w:right="-16"/>
                  <w:jc w:val="center"/>
                  <w:rPr>
                    <w:rFonts w:cs="Arial"/>
                    <w:color w:val="000000" w:themeColor="text1"/>
                  </w:rPr>
                </w:pPr>
                <w:r>
                  <w:rPr>
                    <w:rFonts w:cs="Arial" w:hint="eastAsia"/>
                    <w:color w:val="000000" w:themeColor="text1"/>
                    <w:lang w:val="en-GB"/>
                  </w:rPr>
                  <w:t>子公司名称</w:t>
                </w:r>
              </w:p>
            </w:tc>
          </w:sdtContent>
        </w:sdt>
        <w:sdt>
          <w:sdtPr>
            <w:rPr>
              <w:color w:val="000000" w:themeColor="text1"/>
            </w:rPr>
            <w:tag w:val="_PLD_878e21e6ce5e466eb427e7200cc9e5bb"/>
            <w:id w:val="684565048"/>
          </w:sdtPr>
          <w:sdtEndPr/>
          <w:sdtContent>
            <w:tc>
              <w:tcPr>
                <w:tcW w:w="4610"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ind w:right="-16"/>
                  <w:jc w:val="center"/>
                  <w:rPr>
                    <w:rFonts w:cs="Arial"/>
                    <w:color w:val="000000" w:themeColor="text1"/>
                  </w:rPr>
                </w:pPr>
                <w:r>
                  <w:rPr>
                    <w:rFonts w:cs="Arial" w:hint="eastAsia"/>
                    <w:color w:val="000000" w:themeColor="text1"/>
                    <w:lang w:val="en-GB"/>
                  </w:rPr>
                  <w:t>期末余额</w:t>
                </w:r>
              </w:p>
            </w:tc>
          </w:sdtContent>
        </w:sdt>
      </w:tr>
      <w:tr w:rsidR="00BB75E8" w:rsidTr="009778C2">
        <w:trPr>
          <w:trHeight w:val="241"/>
          <w:jc w:val="center"/>
        </w:trPr>
        <w:tc>
          <w:tcPr>
            <w:tcW w:w="390" w:type="pct"/>
            <w:vMerge/>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C5659">
            <w:pPr>
              <w:rPr>
                <w:rFonts w:cs="Arial"/>
                <w:color w:val="000000" w:themeColor="text1"/>
              </w:rPr>
            </w:pPr>
          </w:p>
        </w:tc>
        <w:sdt>
          <w:sdtPr>
            <w:rPr>
              <w:color w:val="000000" w:themeColor="text1"/>
            </w:rPr>
            <w:tag w:val="_PLD_0154d63f3f2c482ebe0cf00460d87fbd"/>
            <w:id w:val="-432977017"/>
          </w:sdtPr>
          <w:sdtEndPr/>
          <w:sdtContent>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流动资产</w:t>
                </w:r>
              </w:p>
            </w:tc>
          </w:sdtContent>
        </w:sdt>
        <w:sdt>
          <w:sdtPr>
            <w:rPr>
              <w:color w:val="000000" w:themeColor="text1"/>
            </w:rPr>
            <w:tag w:val="_PLD_0f817c02730447aca042c6a931d447e8"/>
            <w:id w:val="-868521991"/>
          </w:sdtPr>
          <w:sdtEndPr/>
          <w:sdtContent>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ind w:left="-40" w:right="-97"/>
                  <w:jc w:val="center"/>
                  <w:rPr>
                    <w:rFonts w:cs="Arial"/>
                    <w:color w:val="000000" w:themeColor="text1"/>
                  </w:rPr>
                </w:pPr>
                <w:r>
                  <w:rPr>
                    <w:rFonts w:cs="Arial" w:hint="eastAsia"/>
                    <w:color w:val="000000" w:themeColor="text1"/>
                    <w:lang w:val="en-GB"/>
                  </w:rPr>
                  <w:t>非流动资产</w:t>
                </w:r>
              </w:p>
            </w:tc>
          </w:sdtContent>
        </w:sdt>
        <w:sdt>
          <w:sdtPr>
            <w:rPr>
              <w:color w:val="000000" w:themeColor="text1"/>
            </w:rPr>
            <w:tag w:val="_PLD_553e0814e94f491784b88cc5aa7d6adb"/>
            <w:id w:val="86125164"/>
          </w:sdtPr>
          <w:sdtEndPr/>
          <w:sdtContent>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资产合计</w:t>
                </w:r>
              </w:p>
            </w:tc>
          </w:sdtContent>
        </w:sdt>
        <w:sdt>
          <w:sdtPr>
            <w:rPr>
              <w:color w:val="000000" w:themeColor="text1"/>
            </w:rPr>
            <w:tag w:val="_PLD_3db84901ffa544afb174531f0384a82f"/>
            <w:id w:val="-1313949331"/>
          </w:sdtPr>
          <w:sdtEndPr/>
          <w:sdtContent>
            <w:tc>
              <w:tcPr>
                <w:tcW w:w="778"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流动负债</w:t>
                </w:r>
              </w:p>
            </w:tc>
          </w:sdtContent>
        </w:sdt>
        <w:sdt>
          <w:sdtPr>
            <w:rPr>
              <w:color w:val="000000" w:themeColor="text1"/>
            </w:rPr>
            <w:tag w:val="_PLD_50c217cc437b4c3496e1aab622fba053"/>
            <w:id w:val="-167485048"/>
          </w:sdtPr>
          <w:sdtEndPr/>
          <w:sdtContent>
            <w:tc>
              <w:tcPr>
                <w:tcW w:w="714"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ind w:left="-40" w:right="-97"/>
                  <w:jc w:val="center"/>
                  <w:rPr>
                    <w:rFonts w:cs="Arial"/>
                    <w:color w:val="000000" w:themeColor="text1"/>
                  </w:rPr>
                </w:pPr>
                <w:r>
                  <w:rPr>
                    <w:rFonts w:cs="Arial" w:hint="eastAsia"/>
                    <w:color w:val="000000" w:themeColor="text1"/>
                    <w:lang w:val="en-GB"/>
                  </w:rPr>
                  <w:t>非流动负债</w:t>
                </w:r>
              </w:p>
            </w:tc>
          </w:sdtContent>
        </w:sdt>
        <w:sdt>
          <w:sdtPr>
            <w:rPr>
              <w:color w:val="000000" w:themeColor="text1"/>
            </w:rPr>
            <w:tag w:val="_PLD_ccd9a8d3652e4485a763cfb37eb6fa37"/>
            <w:id w:val="-390427500"/>
          </w:sdtPr>
          <w:sdtEndPr/>
          <w:sdtContent>
            <w:tc>
              <w:tcPr>
                <w:tcW w:w="777"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负债合计</w:t>
                </w:r>
              </w:p>
            </w:tc>
          </w:sdtContent>
        </w:sdt>
      </w:tr>
      <w:tr w:rsidR="00BB75E8" w:rsidTr="009778C2">
        <w:trPr>
          <w:jc w:val="center"/>
        </w:trPr>
        <w:tc>
          <w:tcPr>
            <w:tcW w:w="390" w:type="pct"/>
            <w:tcBorders>
              <w:top w:val="single" w:sz="6" w:space="0" w:color="auto"/>
              <w:left w:val="single" w:sz="4" w:space="0" w:color="auto"/>
              <w:bottom w:val="single" w:sz="4" w:space="0" w:color="auto"/>
              <w:right w:val="single" w:sz="6" w:space="0" w:color="auto"/>
            </w:tcBorders>
          </w:tcPr>
          <w:p w:rsidR="000C5659" w:rsidRDefault="00DD5FFB">
            <w:pPr>
              <w:pStyle w:val="Style325"/>
            </w:pPr>
            <w:fldSimple w:instr=" DOCVARIABLE  基本信息_企业名称  \* MERGEFORMAT ">
              <w:r w:rsidR="000E33C4">
                <w:rPr>
                  <w:rFonts w:hint="eastAsia"/>
                </w:rPr>
                <w:t>善恩康生物科技（苏州）有限公司</w:t>
              </w:r>
            </w:fldSimple>
          </w:p>
        </w:tc>
        <w:tc>
          <w:tcPr>
            <w:tcW w:w="780"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color w:val="000000"/>
                <w:lang w:bidi="ar"/>
              </w:rPr>
              <w:t>32,636,816.43</w:t>
            </w:r>
          </w:p>
        </w:tc>
        <w:tc>
          <w:tcPr>
            <w:tcW w:w="780"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color w:val="000000"/>
                <w:lang w:bidi="ar"/>
              </w:rPr>
              <w:t>106,264,511.32</w:t>
            </w:r>
          </w:p>
        </w:tc>
        <w:tc>
          <w:tcPr>
            <w:tcW w:w="780"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color w:val="000000"/>
                <w:lang w:bidi="ar"/>
              </w:rPr>
              <w:t>138,901,327.75</w:t>
            </w:r>
          </w:p>
        </w:tc>
        <w:tc>
          <w:tcPr>
            <w:tcW w:w="778"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color w:val="000000"/>
                <w:lang w:bidi="ar"/>
              </w:rPr>
              <w:t>45,076,533.96</w:t>
            </w:r>
          </w:p>
        </w:tc>
        <w:tc>
          <w:tcPr>
            <w:tcW w:w="714"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color w:val="000000"/>
                <w:lang w:bidi="ar"/>
              </w:rPr>
              <w:t>6,569,489.90</w:t>
            </w:r>
          </w:p>
        </w:tc>
        <w:tc>
          <w:tcPr>
            <w:tcW w:w="777"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color w:val="000000"/>
                <w:lang w:bidi="ar"/>
              </w:rPr>
              <w:t>51,646,023.86</w:t>
            </w:r>
          </w:p>
        </w:tc>
      </w:tr>
    </w:tbl>
    <w:p w:rsidR="000C5659" w:rsidRDefault="000C5659"/>
    <w:p w:rsidR="000C5659" w:rsidRDefault="000C5659">
      <w:pPr>
        <w:rPr>
          <w:rFonts w:cs="Arial"/>
          <w:color w:val="000000" w:themeColor="text1"/>
        </w:rPr>
      </w:pPr>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11"/>
        <w:gridCol w:w="1612"/>
        <w:gridCol w:w="1702"/>
        <w:gridCol w:w="1700"/>
        <w:gridCol w:w="1595"/>
      </w:tblGrid>
      <w:tr w:rsidR="000C5659" w:rsidTr="009778C2">
        <w:trPr>
          <w:trHeight w:val="241"/>
        </w:trPr>
        <w:sdt>
          <w:sdtPr>
            <w:rPr>
              <w:color w:val="000000" w:themeColor="text1"/>
            </w:rPr>
            <w:tag w:val="_PLD_87ab97227e5642b988e110c5a28abb39"/>
            <w:id w:val="1822310232"/>
          </w:sdtPr>
          <w:sdtEndPr/>
          <w:sdtContent>
            <w:tc>
              <w:tcPr>
                <w:tcW w:w="125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E33C4">
                <w:pPr>
                  <w:spacing w:line="276" w:lineRule="auto"/>
                  <w:ind w:right="-16"/>
                  <w:jc w:val="center"/>
                  <w:rPr>
                    <w:rFonts w:cs="Arial"/>
                    <w:color w:val="000000" w:themeColor="text1"/>
                  </w:rPr>
                </w:pPr>
                <w:r>
                  <w:rPr>
                    <w:rFonts w:cs="Arial" w:hint="eastAsia"/>
                    <w:color w:val="000000" w:themeColor="text1"/>
                    <w:lang w:val="en-GB"/>
                  </w:rPr>
                  <w:t>子公司名称</w:t>
                </w:r>
              </w:p>
            </w:tc>
          </w:sdtContent>
        </w:sdt>
        <w:sdt>
          <w:sdtPr>
            <w:rPr>
              <w:color w:val="000000" w:themeColor="text1"/>
            </w:rPr>
            <w:tag w:val="_PLD_85f8737cebf641b2aa266052f4118ba8"/>
            <w:id w:val="2017659359"/>
          </w:sdtPr>
          <w:sdtEndPr/>
          <w:sdtContent>
            <w:tc>
              <w:tcPr>
                <w:tcW w:w="3747"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spacing w:line="276" w:lineRule="auto"/>
                  <w:ind w:right="-16"/>
                  <w:jc w:val="center"/>
                  <w:rPr>
                    <w:rFonts w:cs="Arial"/>
                    <w:color w:val="000000" w:themeColor="text1"/>
                  </w:rPr>
                </w:pPr>
                <w:r>
                  <w:rPr>
                    <w:rFonts w:cs="Arial" w:hint="eastAsia"/>
                    <w:color w:val="000000" w:themeColor="text1"/>
                    <w:lang w:val="en-GB"/>
                  </w:rPr>
                  <w:t>本期发生额</w:t>
                </w:r>
              </w:p>
            </w:tc>
          </w:sdtContent>
        </w:sdt>
      </w:tr>
      <w:tr w:rsidR="000C5659" w:rsidTr="009778C2">
        <w:trPr>
          <w:trHeight w:val="241"/>
        </w:trPr>
        <w:tc>
          <w:tcPr>
            <w:tcW w:w="1253" w:type="pct"/>
            <w:vMerge/>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C5659">
            <w:pPr>
              <w:jc w:val="center"/>
              <w:rPr>
                <w:rFonts w:cs="Arial"/>
                <w:color w:val="000000" w:themeColor="text1"/>
              </w:rPr>
            </w:pPr>
          </w:p>
        </w:tc>
        <w:sdt>
          <w:sdtPr>
            <w:rPr>
              <w:color w:val="000000" w:themeColor="text1"/>
            </w:rPr>
            <w:tag w:val="_PLD_29407a86c6924579a6442f5b24e6decd"/>
            <w:id w:val="1176685771"/>
          </w:sdtPr>
          <w:sdtEndPr/>
          <w:sdtContent>
            <w:tc>
              <w:tcPr>
                <w:tcW w:w="914"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spacing w:line="276" w:lineRule="auto"/>
                  <w:jc w:val="center"/>
                  <w:rPr>
                    <w:rFonts w:cs="Arial"/>
                    <w:color w:val="000000" w:themeColor="text1"/>
                  </w:rPr>
                </w:pPr>
                <w:r>
                  <w:rPr>
                    <w:rFonts w:cs="Arial" w:hint="eastAsia"/>
                    <w:color w:val="000000" w:themeColor="text1"/>
                    <w:lang w:val="en-GB"/>
                  </w:rPr>
                  <w:t>营业收入</w:t>
                </w:r>
              </w:p>
            </w:tc>
          </w:sdtContent>
        </w:sdt>
        <w:sdt>
          <w:sdtPr>
            <w:rPr>
              <w:color w:val="000000" w:themeColor="text1"/>
            </w:rPr>
            <w:tag w:val="_PLD_bc59f1076f2243f8984efa8df921ad2c"/>
            <w:id w:val="-40286476"/>
          </w:sdtPr>
          <w:sdtEndPr/>
          <w:sdtContent>
            <w:tc>
              <w:tcPr>
                <w:tcW w:w="965"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spacing w:line="276" w:lineRule="auto"/>
                  <w:jc w:val="center"/>
                  <w:rPr>
                    <w:rFonts w:cs="Arial"/>
                    <w:color w:val="000000" w:themeColor="text1"/>
                  </w:rPr>
                </w:pPr>
                <w:r>
                  <w:rPr>
                    <w:rFonts w:cs="Arial" w:hint="eastAsia"/>
                    <w:color w:val="000000" w:themeColor="text1"/>
                    <w:lang w:val="en-GB"/>
                  </w:rPr>
                  <w:t>净利润</w:t>
                </w:r>
              </w:p>
            </w:tc>
          </w:sdtContent>
        </w:sdt>
        <w:sdt>
          <w:sdtPr>
            <w:rPr>
              <w:color w:val="000000" w:themeColor="text1"/>
            </w:rPr>
            <w:tag w:val="_PLD_90f87c27e3fb4843892cceb85599a3b1"/>
            <w:id w:val="1277762912"/>
          </w:sdtPr>
          <w:sdtEndPr/>
          <w:sdtContent>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spacing w:line="276" w:lineRule="auto"/>
                  <w:jc w:val="center"/>
                  <w:rPr>
                    <w:rFonts w:cs="Arial"/>
                    <w:color w:val="000000" w:themeColor="text1"/>
                  </w:rPr>
                </w:pPr>
                <w:r>
                  <w:rPr>
                    <w:rFonts w:cs="Arial" w:hint="eastAsia"/>
                    <w:color w:val="000000" w:themeColor="text1"/>
                    <w:lang w:val="en-GB"/>
                  </w:rPr>
                  <w:t>综合收益总额</w:t>
                </w:r>
              </w:p>
            </w:tc>
          </w:sdtContent>
        </w:sdt>
        <w:sdt>
          <w:sdtPr>
            <w:rPr>
              <w:color w:val="000000" w:themeColor="text1"/>
            </w:rPr>
            <w:tag w:val="_PLD_3126fb1798f346de95a39458603c4301"/>
            <w:id w:val="992914888"/>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spacing w:line="276" w:lineRule="auto"/>
                  <w:jc w:val="center"/>
                  <w:rPr>
                    <w:rFonts w:cs="Arial"/>
                    <w:color w:val="000000" w:themeColor="text1"/>
                  </w:rPr>
                </w:pPr>
                <w:r>
                  <w:rPr>
                    <w:rFonts w:cs="Arial" w:hint="eastAsia"/>
                    <w:color w:val="000000" w:themeColor="text1"/>
                    <w:lang w:val="en-GB"/>
                  </w:rPr>
                  <w:t>经营活动现金流量</w:t>
                </w:r>
              </w:p>
            </w:tc>
          </w:sdtContent>
        </w:sdt>
      </w:tr>
      <w:tr w:rsidR="000C5659" w:rsidTr="009778C2">
        <w:tc>
          <w:tcPr>
            <w:tcW w:w="1253" w:type="pct"/>
            <w:tcBorders>
              <w:top w:val="single" w:sz="6" w:space="0" w:color="auto"/>
              <w:left w:val="single" w:sz="4" w:space="0" w:color="auto"/>
              <w:bottom w:val="single" w:sz="4" w:space="0" w:color="auto"/>
              <w:right w:val="single" w:sz="6" w:space="0" w:color="auto"/>
            </w:tcBorders>
          </w:tcPr>
          <w:p w:rsidR="000C5659" w:rsidRDefault="00DD5FFB">
            <w:pPr>
              <w:spacing w:line="276" w:lineRule="auto"/>
            </w:pPr>
            <w:fldSimple w:instr=" DOCVARIABLE  基本信息_企业名称  \* MERGEFORMAT ">
              <w:r w:rsidR="000E33C4">
                <w:rPr>
                  <w:rFonts w:hint="eastAsia"/>
                </w:rPr>
                <w:t>善恩康生物科技（苏州）有限公司</w:t>
              </w:r>
            </w:fldSimple>
          </w:p>
        </w:tc>
        <w:tc>
          <w:tcPr>
            <w:tcW w:w="914"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rFonts w:hint="eastAsia"/>
                <w:color w:val="000000"/>
                <w:lang w:bidi="ar"/>
              </w:rPr>
              <w:t>15,180,508.97</w:t>
            </w:r>
          </w:p>
        </w:tc>
        <w:tc>
          <w:tcPr>
            <w:tcW w:w="965"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rFonts w:hint="eastAsia"/>
                <w:color w:val="000000"/>
                <w:lang w:bidi="ar"/>
              </w:rPr>
              <w:t>-2,975,554.43</w:t>
            </w:r>
          </w:p>
        </w:tc>
        <w:tc>
          <w:tcPr>
            <w:tcW w:w="964"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rFonts w:hint="eastAsia"/>
                <w:color w:val="000000"/>
                <w:lang w:bidi="ar"/>
              </w:rPr>
              <w:t>-2,975,554.43</w:t>
            </w:r>
          </w:p>
        </w:tc>
        <w:tc>
          <w:tcPr>
            <w:tcW w:w="905"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textAlignment w:val="center"/>
            </w:pPr>
            <w:r>
              <w:rPr>
                <w:rFonts w:hint="eastAsia"/>
                <w:color w:val="000000"/>
                <w:lang w:bidi="ar"/>
              </w:rPr>
              <w:t>3,210,176.12</w:t>
            </w:r>
          </w:p>
        </w:tc>
      </w:tr>
    </w:tbl>
    <w:p w:rsidR="000C5659" w:rsidRDefault="000C5659"/>
    <w:p w:rsidR="000C5659" w:rsidRDefault="000E33C4">
      <w:pPr>
        <w:rPr>
          <w:rFonts w:cs="Arial"/>
          <w:color w:val="000000" w:themeColor="text1"/>
        </w:rPr>
      </w:pPr>
      <w:r>
        <w:rPr>
          <w:rFonts w:cs="Arial" w:hint="eastAsia"/>
          <w:color w:val="000000" w:themeColor="text1"/>
        </w:rPr>
        <w:t>其他说明：</w:t>
      </w:r>
    </w:p>
    <w:sdt>
      <w:sdtPr>
        <w:rPr>
          <w:rFonts w:cs="Arial"/>
          <w:color w:val="000000" w:themeColor="text1"/>
        </w:rPr>
        <w:alias w:val="重要非全资子公司的主要财务信息的其他说明"/>
        <w:tag w:val="_GBC_c6413d961dad488aae6fcf0fda2bf33a"/>
        <w:id w:val="-1981614211"/>
      </w:sdtPr>
      <w:sdtEndPr/>
      <w:sdtContent>
        <w:p w:rsidR="000C5659" w:rsidRDefault="000E33C4">
          <w:pPr>
            <w:pStyle w:val="Style325"/>
          </w:pPr>
          <w:r>
            <w:rPr>
              <w:rFonts w:cs="Arial" w:hint="eastAsia"/>
              <w:color w:val="000000" w:themeColor="text1"/>
            </w:rPr>
            <w:t>无</w:t>
          </w:r>
        </w:p>
      </w:sdtContent>
    </w:sdt>
    <w:p w:rsidR="000C5659" w:rsidRDefault="000C5659">
      <w:pPr>
        <w:rPr>
          <w:rFonts w:cs="Arial"/>
          <w:color w:val="000000" w:themeColor="text1"/>
        </w:rPr>
      </w:pPr>
    </w:p>
    <w:p w:rsidR="000C5659" w:rsidRDefault="000E33C4" w:rsidP="000743DD">
      <w:pPr>
        <w:pStyle w:val="Style329"/>
        <w:numPr>
          <w:ilvl w:val="3"/>
          <w:numId w:val="99"/>
        </w:numPr>
        <w:tabs>
          <w:tab w:val="left" w:pos="644"/>
        </w:tabs>
        <w:rPr>
          <w:rFonts w:ascii="宋体" w:hAnsi="宋体" w:cs="Arial"/>
          <w:color w:val="000000" w:themeColor="text1"/>
          <w:szCs w:val="21"/>
        </w:rPr>
      </w:pPr>
      <w:r>
        <w:rPr>
          <w:rFonts w:ascii="宋体" w:hAnsi="宋体" w:cs="Arial" w:hint="eastAsia"/>
          <w:color w:val="000000" w:themeColor="text1"/>
          <w:szCs w:val="21"/>
        </w:rPr>
        <w:t>使用企业集团资产和清偿企业集团债务的重大限制：</w:t>
      </w:r>
    </w:p>
    <w:sdt>
      <w:sdtPr>
        <w:rPr>
          <w:color w:val="000000" w:themeColor="text1"/>
        </w:rPr>
        <w:alias w:val="是否适用：使用企业集团资产和清偿企业集团债务的重大限制[双击切换]"/>
        <w:tag w:val="_GBC_d4aaeca51c634ffea892b86812441771"/>
        <w:id w:val="-757126963"/>
        <w:placeholder>
          <w:docPart w:val="GBC22222222222222222222222222222"/>
        </w:placeholder>
      </w:sdtPr>
      <w:sdtEndPr/>
      <w:sdtContent>
        <w:p w:rsidR="000C5659" w:rsidRDefault="000E33C4">
          <w:pPr>
            <w:rPr>
              <w:rFonts w:cs="Arial"/>
              <w:b/>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9"/>
        <w:numPr>
          <w:ilvl w:val="3"/>
          <w:numId w:val="99"/>
        </w:numPr>
        <w:tabs>
          <w:tab w:val="left" w:pos="644"/>
        </w:tabs>
        <w:rPr>
          <w:rFonts w:ascii="宋体" w:hAnsi="宋体" w:cs="Arial"/>
          <w:color w:val="000000" w:themeColor="text1"/>
          <w:szCs w:val="21"/>
        </w:rPr>
      </w:pPr>
      <w:r>
        <w:rPr>
          <w:rFonts w:ascii="宋体" w:hAnsi="宋体" w:cs="Arial" w:hint="eastAsia"/>
          <w:color w:val="000000" w:themeColor="text1"/>
          <w:szCs w:val="21"/>
        </w:rPr>
        <w:t>向纳入合并财务报表范围的结构化主体提供的财务支持或其他支持：</w:t>
      </w:r>
    </w:p>
    <w:sdt>
      <w:sdtPr>
        <w:rPr>
          <w:color w:val="000000" w:themeColor="text1"/>
        </w:rPr>
        <w:alias w:val="是否适用：向纳入合并财务报表范围的结构化主体提供的财务支持或其他支持[双击切换]"/>
        <w:tag w:val="_GBC_3ee0b326ed544ace8060843f29d4cd3a"/>
        <w:id w:val="2103217913"/>
        <w:placeholder>
          <w:docPart w:val="GBC22222222222222222222222222222"/>
        </w:placeholder>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b/>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在子公司中的权益其他说明[双击切换]"/>
        <w:tag w:val="_GBC_e4c33fb40d7a42bc88681a9facbf5ba5"/>
        <w:id w:val="92446208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328"/>
        <w:numPr>
          <w:ilvl w:val="2"/>
          <w:numId w:val="98"/>
        </w:numPr>
        <w:rPr>
          <w:rFonts w:ascii="宋体" w:hAnsi="宋体" w:cs="Arial"/>
          <w:color w:val="000000" w:themeColor="text1"/>
          <w:szCs w:val="21"/>
        </w:rPr>
      </w:pPr>
      <w:r>
        <w:rPr>
          <w:rFonts w:ascii="宋体" w:hAnsi="宋体" w:cs="Arial" w:hint="eastAsia"/>
          <w:color w:val="000000" w:themeColor="text1"/>
          <w:szCs w:val="21"/>
        </w:rPr>
        <w:t>在子公司的所有者权益份额发生变化且仍控制子公司的交易</w:t>
      </w:r>
    </w:p>
    <w:sdt>
      <w:sdtPr>
        <w:rPr>
          <w:color w:val="000000" w:themeColor="text1"/>
        </w:rPr>
        <w:alias w:val="是否适用：在子公司的所有者权益份额发生变化且仍控制子公司的交易[双击切换]"/>
        <w:tag w:val="_GBC_51b903d8f50944dc91e91048eba723cd"/>
        <w:id w:val="-962496151"/>
        <w:placeholder>
          <w:docPart w:val="GBC22222222222222222222222222222"/>
        </w:placeholder>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9778C2" w:rsidRDefault="009778C2">
      <w:pPr>
        <w:rPr>
          <w:color w:val="000000" w:themeColor="text1"/>
        </w:rPr>
      </w:pPr>
    </w:p>
    <w:p w:rsidR="009778C2" w:rsidRDefault="009778C2">
      <w:pPr>
        <w:rPr>
          <w:color w:val="000000" w:themeColor="text1"/>
        </w:rPr>
        <w:sectPr w:rsidR="009778C2">
          <w:pgSz w:w="11906" w:h="16838"/>
          <w:pgMar w:top="1525" w:right="1276" w:bottom="1440" w:left="1797" w:header="856" w:footer="992" w:gutter="0"/>
          <w:cols w:space="425"/>
          <w:docGrid w:linePitch="312"/>
        </w:sectPr>
      </w:pPr>
    </w:p>
    <w:p w:rsidR="000C5659" w:rsidRDefault="000E33C4" w:rsidP="000743DD">
      <w:pPr>
        <w:pStyle w:val="Style328"/>
        <w:numPr>
          <w:ilvl w:val="2"/>
          <w:numId w:val="98"/>
        </w:numPr>
        <w:rPr>
          <w:rFonts w:ascii="宋体" w:hAnsi="宋体" w:cs="Arial"/>
          <w:color w:val="000000" w:themeColor="text1"/>
          <w:szCs w:val="21"/>
        </w:rPr>
      </w:pPr>
      <w:r>
        <w:rPr>
          <w:rFonts w:ascii="宋体" w:hAnsi="宋体" w:cs="Arial" w:hint="eastAsia"/>
          <w:color w:val="000000" w:themeColor="text1"/>
          <w:szCs w:val="21"/>
        </w:rPr>
        <w:lastRenderedPageBreak/>
        <w:t>在合营企业或联营企业中的权益</w:t>
      </w:r>
    </w:p>
    <w:sdt>
      <w:sdtPr>
        <w:rPr>
          <w:color w:val="000000" w:themeColor="text1"/>
        </w:rPr>
        <w:alias w:val="是否适用：在合营企业或联营企业中的权益[双击切换]"/>
        <w:tag w:val="_GBC_31c0fe2068fd4a898e4269df4925aa76"/>
        <w:id w:val="-4251800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rsidP="000743DD">
      <w:pPr>
        <w:pStyle w:val="Style329"/>
        <w:numPr>
          <w:ilvl w:val="3"/>
          <w:numId w:val="100"/>
        </w:numPr>
        <w:tabs>
          <w:tab w:val="left" w:pos="630"/>
        </w:tabs>
        <w:rPr>
          <w:rFonts w:ascii="宋体" w:hAnsi="宋体"/>
          <w:color w:val="000000" w:themeColor="text1"/>
        </w:rPr>
      </w:pPr>
      <w:r>
        <w:rPr>
          <w:rFonts w:ascii="宋体" w:hAnsi="宋体" w:hint="eastAsia"/>
          <w:color w:val="000000" w:themeColor="text1"/>
        </w:rPr>
        <w:t>重要的合营企业或联营企业</w:t>
      </w:r>
    </w:p>
    <w:sdt>
      <w:sdtPr>
        <w:rPr>
          <w:color w:val="000000" w:themeColor="text1"/>
        </w:rPr>
        <w:alias w:val="是否适用：重要的合营企业或联营企业[双击切换]"/>
        <w:tag w:val="_GBC_9973f58b324442d5879a5d16db0cd410"/>
        <w:id w:val="-57097886"/>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重要的合营企业或联营企业"/>
          <w:tag w:val="_GBC_fc95ad35f9984b0c84fb2b12ebeb41db"/>
          <w:id w:val="1033073581"/>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重要的合营企业或联营企业"/>
          <w:tag w:val="_GBC_95704750d12047c58739551fa2558d6f"/>
          <w:id w:val="37512174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71"/>
        <w:gridCol w:w="2057"/>
        <w:gridCol w:w="1941"/>
        <w:gridCol w:w="2005"/>
        <w:gridCol w:w="1705"/>
        <w:gridCol w:w="1694"/>
        <w:gridCol w:w="2590"/>
      </w:tblGrid>
      <w:tr w:rsidR="000C5659">
        <w:trPr>
          <w:trHeight w:val="451"/>
        </w:trPr>
        <w:sdt>
          <w:sdtPr>
            <w:rPr>
              <w:color w:val="000000" w:themeColor="text1"/>
            </w:rPr>
            <w:tag w:val="_PLD_bb6c91c88e754a5da79068d0b040e152"/>
            <w:id w:val="-2353344"/>
          </w:sdtPr>
          <w:sdtEndPr/>
          <w:sdtContent>
            <w:tc>
              <w:tcPr>
                <w:tcW w:w="6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合营企业或联营企业名称</w:t>
                </w:r>
              </w:p>
            </w:tc>
          </w:sdtContent>
        </w:sdt>
        <w:sdt>
          <w:sdtPr>
            <w:rPr>
              <w:color w:val="000000" w:themeColor="text1"/>
            </w:rPr>
            <w:tag w:val="_PLD_4c91d89257574ee1a96260d900b3fdde"/>
            <w:id w:val="1004855143"/>
          </w:sdtPr>
          <w:sdtEndPr/>
          <w:sdtContent>
            <w:tc>
              <w:tcPr>
                <w:tcW w:w="74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主要经营地</w:t>
                </w:r>
              </w:p>
            </w:tc>
          </w:sdtContent>
        </w:sdt>
        <w:sdt>
          <w:sdtPr>
            <w:rPr>
              <w:color w:val="000000" w:themeColor="text1"/>
            </w:rPr>
            <w:tag w:val="_PLD_4a3c73442b1947fdae2c0b554e7271a4"/>
            <w:id w:val="-759142223"/>
          </w:sdtPr>
          <w:sdtEndPr/>
          <w:sdtContent>
            <w:tc>
              <w:tcPr>
                <w:tcW w:w="7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注册地</w:t>
                </w:r>
              </w:p>
            </w:tc>
          </w:sdtContent>
        </w:sdt>
        <w:sdt>
          <w:sdtPr>
            <w:rPr>
              <w:color w:val="000000" w:themeColor="text1"/>
            </w:rPr>
            <w:tag w:val="_PLD_07a3d19678c44b0db85c15fb74bf76d2"/>
            <w:id w:val="-1801071522"/>
          </w:sdtPr>
          <w:sdtEndPr/>
          <w:sdtContent>
            <w:tc>
              <w:tcPr>
                <w:tcW w:w="72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业务性质</w:t>
                </w:r>
              </w:p>
            </w:tc>
          </w:sdtContent>
        </w:sdt>
        <w:sdt>
          <w:sdtPr>
            <w:rPr>
              <w:color w:val="000000" w:themeColor="text1"/>
            </w:rPr>
            <w:tag w:val="_PLD_cb67afe7283245a29754ca96c69b89fc"/>
            <w:id w:val="1882362219"/>
          </w:sdtPr>
          <w:sdtEndPr/>
          <w:sdtContent>
            <w:tc>
              <w:tcPr>
                <w:tcW w:w="1226"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持股比例</w:t>
                </w:r>
                <w:r>
                  <w:rPr>
                    <w:rFonts w:cs="Arial"/>
                    <w:color w:val="000000" w:themeColor="text1"/>
                  </w:rPr>
                  <w:t>(%)</w:t>
                </w:r>
              </w:p>
            </w:tc>
          </w:sdtContent>
        </w:sdt>
        <w:sdt>
          <w:sdtPr>
            <w:rPr>
              <w:color w:val="000000" w:themeColor="text1"/>
            </w:rPr>
            <w:tag w:val="_PLD_0fddec4e9b2a4b3aa0f9a08859cf498e"/>
            <w:id w:val="471341253"/>
          </w:sdtPr>
          <w:sdtEndPr/>
          <w:sdtContent>
            <w:tc>
              <w:tcPr>
                <w:tcW w:w="934"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对合营企业或联营企业投资的会计处理方法</w:t>
                </w:r>
              </w:p>
            </w:tc>
          </w:sdtContent>
        </w:sdt>
      </w:tr>
      <w:tr w:rsidR="000C5659">
        <w:trPr>
          <w:trHeight w:val="278"/>
        </w:trPr>
        <w:tc>
          <w:tcPr>
            <w:tcW w:w="6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C5659">
            <w:pPr>
              <w:rPr>
                <w:rFonts w:cs="Arial"/>
                <w:color w:val="000000" w:themeColor="text1"/>
              </w:rPr>
            </w:pPr>
          </w:p>
        </w:tc>
        <w:tc>
          <w:tcPr>
            <w:tcW w:w="742" w:type="pct"/>
            <w:vMerge/>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C5659">
            <w:pPr>
              <w:rPr>
                <w:rFonts w:cs="Arial"/>
                <w:color w:val="000000" w:themeColor="text1"/>
              </w:rPr>
            </w:pPr>
          </w:p>
        </w:tc>
        <w:tc>
          <w:tcPr>
            <w:tcW w:w="7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C5659">
            <w:pPr>
              <w:rPr>
                <w:rFonts w:cs="Arial"/>
                <w:color w:val="000000" w:themeColor="text1"/>
              </w:rPr>
            </w:pPr>
          </w:p>
        </w:tc>
        <w:tc>
          <w:tcPr>
            <w:tcW w:w="723" w:type="pct"/>
            <w:vMerge/>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C5659">
            <w:pPr>
              <w:rPr>
                <w:rFonts w:cs="Arial"/>
                <w:color w:val="000000" w:themeColor="text1"/>
              </w:rPr>
            </w:pPr>
          </w:p>
        </w:tc>
        <w:sdt>
          <w:sdtPr>
            <w:rPr>
              <w:color w:val="000000" w:themeColor="text1"/>
            </w:rPr>
            <w:tag w:val="_PLD_42f14f52720a4c87819c9bd5211ded18"/>
            <w:id w:val="-1651668002"/>
          </w:sdtPr>
          <w:sdtEndPr/>
          <w:sdtContent>
            <w:tc>
              <w:tcPr>
                <w:tcW w:w="615" w:type="pc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直接</w:t>
                </w:r>
              </w:p>
            </w:tc>
          </w:sdtContent>
        </w:sdt>
        <w:sdt>
          <w:sdtPr>
            <w:rPr>
              <w:color w:val="000000" w:themeColor="text1"/>
            </w:rPr>
            <w:tag w:val="_PLD_e87318e11f6c4411aa17083e3a10cd90"/>
            <w:id w:val="792797081"/>
          </w:sdtPr>
          <w:sdtEndPr/>
          <w:sdtContent>
            <w:tc>
              <w:tcPr>
                <w:tcW w:w="611" w:type="pct"/>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间接</w:t>
                </w:r>
              </w:p>
            </w:tc>
          </w:sdtContent>
        </w:sdt>
        <w:tc>
          <w:tcPr>
            <w:tcW w:w="934" w:type="pct"/>
            <w:vMerge/>
            <w:tcBorders>
              <w:top w:val="single" w:sz="4" w:space="0" w:color="auto"/>
              <w:left w:val="single" w:sz="6" w:space="0" w:color="auto"/>
              <w:bottom w:val="single" w:sz="6" w:space="0" w:color="auto"/>
              <w:right w:val="single" w:sz="4" w:space="0" w:color="auto"/>
            </w:tcBorders>
            <w:vAlign w:val="center"/>
          </w:tcPr>
          <w:p w:rsidR="000C5659" w:rsidRDefault="000C5659">
            <w:pPr>
              <w:rPr>
                <w:rFonts w:cs="Arial"/>
                <w:color w:val="000000" w:themeColor="text1"/>
              </w:rPr>
            </w:pPr>
          </w:p>
        </w:tc>
      </w:tr>
      <w:tr w:rsidR="000C5659">
        <w:tc>
          <w:tcPr>
            <w:tcW w:w="675" w:type="pct"/>
            <w:tcBorders>
              <w:top w:val="single" w:sz="6" w:space="0" w:color="auto"/>
              <w:left w:val="single" w:sz="4" w:space="0" w:color="auto"/>
              <w:bottom w:val="single" w:sz="4" w:space="0" w:color="auto"/>
              <w:right w:val="single" w:sz="6" w:space="0" w:color="auto"/>
            </w:tcBorders>
            <w:vAlign w:val="center"/>
          </w:tcPr>
          <w:p w:rsidR="000C5659" w:rsidRDefault="000E33C4">
            <w:pPr>
              <w:snapToGrid w:val="0"/>
              <w:rPr>
                <w:szCs w:val="18"/>
              </w:rPr>
            </w:pPr>
            <w:r>
              <w:rPr>
                <w:szCs w:val="18"/>
              </w:rPr>
              <w:t>江苏扬州农村商业银行股份有限公司</w:t>
            </w:r>
          </w:p>
        </w:tc>
        <w:tc>
          <w:tcPr>
            <w:tcW w:w="742"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rPr>
                <w:szCs w:val="18"/>
              </w:rPr>
            </w:pPr>
            <w:r>
              <w:rPr>
                <w:rFonts w:hint="eastAsia"/>
                <w:szCs w:val="18"/>
              </w:rPr>
              <w:t>江苏省扬州市</w:t>
            </w:r>
          </w:p>
        </w:tc>
        <w:tc>
          <w:tcPr>
            <w:tcW w:w="700"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rPr>
                <w:szCs w:val="18"/>
              </w:rPr>
            </w:pPr>
            <w:r>
              <w:rPr>
                <w:rFonts w:hint="eastAsia"/>
                <w:szCs w:val="18"/>
              </w:rPr>
              <w:t>江苏省扬州市</w:t>
            </w:r>
          </w:p>
        </w:tc>
        <w:tc>
          <w:tcPr>
            <w:tcW w:w="723"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rPr>
                <w:szCs w:val="18"/>
              </w:rPr>
            </w:pPr>
            <w:r>
              <w:rPr>
                <w:szCs w:val="18"/>
              </w:rPr>
              <w:t>金融</w:t>
            </w:r>
            <w:r>
              <w:rPr>
                <w:rFonts w:hint="eastAsia"/>
                <w:szCs w:val="18"/>
              </w:rPr>
              <w:t>业</w:t>
            </w:r>
          </w:p>
        </w:tc>
        <w:tc>
          <w:tcPr>
            <w:tcW w:w="615"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jc w:val="right"/>
              <w:rPr>
                <w:szCs w:val="18"/>
              </w:rPr>
            </w:pPr>
            <w:r>
              <w:rPr>
                <w:szCs w:val="18"/>
              </w:rPr>
              <w:t>2.98</w:t>
            </w:r>
          </w:p>
        </w:tc>
        <w:tc>
          <w:tcPr>
            <w:tcW w:w="611" w:type="pct"/>
            <w:tcBorders>
              <w:top w:val="single" w:sz="6" w:space="0" w:color="auto"/>
              <w:left w:val="single" w:sz="6" w:space="0" w:color="auto"/>
              <w:bottom w:val="single" w:sz="4" w:space="0" w:color="auto"/>
              <w:right w:val="single" w:sz="6" w:space="0" w:color="auto"/>
            </w:tcBorders>
            <w:vAlign w:val="center"/>
          </w:tcPr>
          <w:p w:rsidR="000C5659" w:rsidRDefault="000C5659">
            <w:pPr>
              <w:snapToGrid w:val="0"/>
              <w:jc w:val="right"/>
              <w:rPr>
                <w:szCs w:val="18"/>
              </w:rPr>
            </w:pPr>
          </w:p>
        </w:tc>
        <w:tc>
          <w:tcPr>
            <w:tcW w:w="934" w:type="pct"/>
            <w:tcBorders>
              <w:top w:val="single" w:sz="6" w:space="0" w:color="auto"/>
              <w:left w:val="single" w:sz="6" w:space="0" w:color="auto"/>
              <w:bottom w:val="single" w:sz="4" w:space="0" w:color="auto"/>
              <w:right w:val="single" w:sz="4" w:space="0" w:color="auto"/>
            </w:tcBorders>
            <w:vAlign w:val="center"/>
          </w:tcPr>
          <w:p w:rsidR="000C5659" w:rsidRDefault="000E33C4">
            <w:pPr>
              <w:snapToGrid w:val="0"/>
              <w:jc w:val="center"/>
              <w:rPr>
                <w:szCs w:val="18"/>
              </w:rPr>
            </w:pPr>
            <w:r>
              <w:rPr>
                <w:szCs w:val="18"/>
              </w:rPr>
              <w:t>权益法</w:t>
            </w:r>
          </w:p>
        </w:tc>
      </w:tr>
      <w:tr w:rsidR="000C5659">
        <w:tc>
          <w:tcPr>
            <w:tcW w:w="675" w:type="pct"/>
            <w:tcBorders>
              <w:top w:val="single" w:sz="6" w:space="0" w:color="auto"/>
              <w:left w:val="single" w:sz="4" w:space="0" w:color="auto"/>
              <w:bottom w:val="single" w:sz="4" w:space="0" w:color="auto"/>
              <w:right w:val="single" w:sz="6" w:space="0" w:color="auto"/>
            </w:tcBorders>
            <w:vAlign w:val="center"/>
          </w:tcPr>
          <w:p w:rsidR="000C5659" w:rsidRDefault="000E33C4">
            <w:pPr>
              <w:snapToGrid w:val="0"/>
              <w:rPr>
                <w:szCs w:val="18"/>
              </w:rPr>
            </w:pPr>
            <w:r>
              <w:rPr>
                <w:szCs w:val="18"/>
              </w:rPr>
              <w:t>薇美姿实业（广东）股份有限公司</w:t>
            </w:r>
          </w:p>
        </w:tc>
        <w:tc>
          <w:tcPr>
            <w:tcW w:w="742"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rPr>
                <w:szCs w:val="18"/>
              </w:rPr>
            </w:pPr>
            <w:r>
              <w:rPr>
                <w:szCs w:val="18"/>
              </w:rPr>
              <w:t>广东省广州市</w:t>
            </w:r>
          </w:p>
        </w:tc>
        <w:tc>
          <w:tcPr>
            <w:tcW w:w="700"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rPr>
                <w:szCs w:val="18"/>
              </w:rPr>
            </w:pPr>
            <w:r>
              <w:rPr>
                <w:szCs w:val="18"/>
              </w:rPr>
              <w:t>广东省广州市</w:t>
            </w:r>
          </w:p>
        </w:tc>
        <w:tc>
          <w:tcPr>
            <w:tcW w:w="723"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rPr>
                <w:szCs w:val="18"/>
              </w:rPr>
            </w:pPr>
            <w:r>
              <w:rPr>
                <w:szCs w:val="18"/>
              </w:rPr>
              <w:t>制造业</w:t>
            </w:r>
          </w:p>
        </w:tc>
        <w:tc>
          <w:tcPr>
            <w:tcW w:w="615" w:type="pct"/>
            <w:tcBorders>
              <w:top w:val="single" w:sz="6" w:space="0" w:color="auto"/>
              <w:left w:val="single" w:sz="6" w:space="0" w:color="auto"/>
              <w:bottom w:val="single" w:sz="4" w:space="0" w:color="auto"/>
              <w:right w:val="single" w:sz="6" w:space="0" w:color="auto"/>
            </w:tcBorders>
            <w:vAlign w:val="center"/>
          </w:tcPr>
          <w:p w:rsidR="000C5659" w:rsidRDefault="000E33C4">
            <w:pPr>
              <w:snapToGrid w:val="0"/>
              <w:jc w:val="right"/>
              <w:rPr>
                <w:szCs w:val="18"/>
              </w:rPr>
            </w:pPr>
            <w:r>
              <w:rPr>
                <w:szCs w:val="18"/>
              </w:rPr>
              <w:t>32.27</w:t>
            </w:r>
          </w:p>
        </w:tc>
        <w:tc>
          <w:tcPr>
            <w:tcW w:w="611" w:type="pct"/>
            <w:tcBorders>
              <w:top w:val="single" w:sz="6" w:space="0" w:color="auto"/>
              <w:left w:val="single" w:sz="6" w:space="0" w:color="auto"/>
              <w:bottom w:val="single" w:sz="4" w:space="0" w:color="auto"/>
              <w:right w:val="single" w:sz="6" w:space="0" w:color="auto"/>
            </w:tcBorders>
            <w:vAlign w:val="center"/>
          </w:tcPr>
          <w:p w:rsidR="000C5659" w:rsidRDefault="000C5659">
            <w:pPr>
              <w:snapToGrid w:val="0"/>
              <w:jc w:val="right"/>
              <w:rPr>
                <w:szCs w:val="18"/>
              </w:rPr>
            </w:pPr>
          </w:p>
        </w:tc>
        <w:tc>
          <w:tcPr>
            <w:tcW w:w="934" w:type="pct"/>
            <w:tcBorders>
              <w:top w:val="single" w:sz="6" w:space="0" w:color="auto"/>
              <w:left w:val="single" w:sz="6" w:space="0" w:color="auto"/>
              <w:bottom w:val="single" w:sz="4" w:space="0" w:color="auto"/>
              <w:right w:val="single" w:sz="4" w:space="0" w:color="auto"/>
            </w:tcBorders>
            <w:vAlign w:val="center"/>
          </w:tcPr>
          <w:p w:rsidR="000C5659" w:rsidRDefault="000E33C4">
            <w:pPr>
              <w:snapToGrid w:val="0"/>
              <w:jc w:val="center"/>
              <w:rPr>
                <w:szCs w:val="18"/>
              </w:rPr>
            </w:pPr>
            <w:r>
              <w:rPr>
                <w:szCs w:val="18"/>
              </w:rPr>
              <w:t>权益法</w:t>
            </w:r>
          </w:p>
        </w:tc>
      </w:tr>
    </w:tbl>
    <w:p w:rsidR="000C5659" w:rsidRDefault="000E33C4">
      <w:pPr>
        <w:rPr>
          <w:rFonts w:cs="Arial"/>
          <w:color w:val="000000" w:themeColor="text1"/>
        </w:rPr>
      </w:pPr>
      <w:r>
        <w:rPr>
          <w:rFonts w:cs="Arial" w:hint="eastAsia"/>
          <w:color w:val="000000" w:themeColor="text1"/>
        </w:rPr>
        <w:t>在合营企业或联营企业的持股比例不同于表决权比例的说明：</w:t>
      </w:r>
    </w:p>
    <w:p w:rsidR="000C5659" w:rsidRDefault="00220B84">
      <w:pPr>
        <w:rPr>
          <w:rFonts w:cs="Arial"/>
          <w:color w:val="000000" w:themeColor="text1"/>
        </w:rPr>
      </w:pPr>
      <w:sdt>
        <w:sdtPr>
          <w:rPr>
            <w:rFonts w:cs="Arial"/>
            <w:color w:val="000000" w:themeColor="text1"/>
          </w:rPr>
          <w:alias w:val="在合营企业或联营企业的持股比例不同于表决权比例的说明"/>
          <w:tag w:val="_GBC_b18385c11aff4424b360bd0cb4f81376"/>
          <w:id w:val="-1994094129"/>
        </w:sdtPr>
        <w:sdtEndPr/>
        <w:sdtContent>
          <w:r w:rsidR="000E33C4">
            <w:rPr>
              <w:rFonts w:cs="Arial" w:hint="eastAsia"/>
              <w:color w:val="000000" w:themeColor="text1"/>
            </w:rPr>
            <w:t>无</w:t>
          </w:r>
        </w:sdtContent>
      </w:sdt>
    </w:p>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持有</w:t>
      </w:r>
      <w:r>
        <w:rPr>
          <w:rFonts w:cs="Arial"/>
          <w:color w:val="000000" w:themeColor="text1"/>
        </w:rPr>
        <w:t>20%以下表决权但具有重大影响，或者持有20%或以上表决权但不具有重大影响的依据：</w:t>
      </w:r>
    </w:p>
    <w:sdt>
      <w:sdtPr>
        <w:rPr>
          <w:rFonts w:cs="Arial"/>
          <w:bCs/>
          <w:color w:val="000000" w:themeColor="text1"/>
          <w:kern w:val="0"/>
        </w:rPr>
        <w:alias w:val="持有20%以下表决权但具有重大影响，或者持有20%或以上表决权但不具有重大影响的依据"/>
        <w:tag w:val="_GBC_08a71a8c491f4c758da0748f7570fb28"/>
        <w:id w:val="1537920767"/>
      </w:sdtPr>
      <w:sdtEndPr/>
      <w:sdtContent>
        <w:sdt>
          <w:sdtPr>
            <w:rPr>
              <w:rFonts w:cs="Arial"/>
              <w:kern w:val="0"/>
              <w:szCs w:val="24"/>
            </w:rPr>
            <w:alias w:val="持有20%以下表决权但具有重大影响，或者持有20%或以上表决权但不具有重大影响的依据"/>
            <w:tag w:val="_GBC_08a71a8c491f4c758da0748f7570fb28"/>
            <w:id w:val="390002900"/>
          </w:sdtPr>
          <w:sdtEndPr>
            <w:rPr>
              <w:rFonts w:ascii="Times New Roman" w:hAnsi="Times New Roman"/>
              <w:kern w:val="2"/>
              <w:szCs w:val="21"/>
            </w:rPr>
          </w:sdtEndPr>
          <w:sdtContent>
            <w:p w:rsidR="000C5659" w:rsidRDefault="000E33C4">
              <w:pPr>
                <w:pStyle w:val="Style429"/>
                <w:rPr>
                  <w:rFonts w:cs="Arial"/>
                  <w:color w:val="auto"/>
                  <w:kern w:val="0"/>
                  <w:szCs w:val="24"/>
                </w:rPr>
              </w:pPr>
              <w:r>
                <w:rPr>
                  <w:rFonts w:hint="eastAsia"/>
                </w:rPr>
                <w:t>持有江苏扬州农村商业银行股份有限公司</w:t>
              </w:r>
              <w:r>
                <w:t>20%</w:t>
              </w:r>
              <w:r>
                <w:rPr>
                  <w:rFonts w:hint="eastAsia"/>
                </w:rPr>
                <w:t>以下表决权但具有重大影响的，依据为公司在被投资单位董事会派有一名董事，并享有相应的实质性的参与决策权，公司可以通过该代表参与被投资单位经营政策的指定，达到对被投资单位施加重大影响的程度。</w:t>
              </w:r>
            </w:p>
          </w:sdtContent>
        </w:sdt>
        <w:p w:rsidR="000C5659" w:rsidRDefault="00220B84">
          <w:pPr>
            <w:rPr>
              <w:rFonts w:cs="Arial"/>
              <w:color w:val="000000" w:themeColor="text1"/>
            </w:rPr>
          </w:pPr>
        </w:p>
      </w:sdtContent>
    </w:sdt>
    <w:p w:rsidR="000C5659" w:rsidRDefault="000E33C4" w:rsidP="000743DD">
      <w:pPr>
        <w:pStyle w:val="Style329"/>
        <w:numPr>
          <w:ilvl w:val="3"/>
          <w:numId w:val="100"/>
        </w:numPr>
        <w:tabs>
          <w:tab w:val="left" w:pos="630"/>
        </w:tabs>
        <w:rPr>
          <w:rFonts w:ascii="宋体" w:hAnsi="宋体" w:cs="Arial"/>
          <w:color w:val="000000" w:themeColor="text1"/>
          <w:szCs w:val="21"/>
        </w:rPr>
      </w:pPr>
      <w:r>
        <w:rPr>
          <w:rFonts w:ascii="宋体" w:hAnsi="宋体" w:cs="Arial" w:hint="eastAsia"/>
          <w:color w:val="000000" w:themeColor="text1"/>
          <w:szCs w:val="21"/>
        </w:rPr>
        <w:t>重要合营企业的主要财务信息</w:t>
      </w:r>
    </w:p>
    <w:p w:rsidR="000C5659" w:rsidRDefault="00220B84">
      <w:pPr>
        <w:rPr>
          <w:b/>
          <w:bCs/>
          <w:color w:val="000000" w:themeColor="text1"/>
        </w:rPr>
      </w:pPr>
      <w:sdt>
        <w:sdtPr>
          <w:rPr>
            <w:rFonts w:hint="eastAsia"/>
            <w:b/>
            <w:color w:val="000000" w:themeColor="text1"/>
          </w:rPr>
          <w:alias w:val="是否适用：重要合营企业的主要财务信息[双击切换]"/>
          <w:tag w:val="_GBC_6241cde567c342139ae6186afeea9fb4"/>
          <w:id w:val="2127349076"/>
        </w:sdtPr>
        <w:sdtEndPr>
          <w:rPr>
            <w:bCs/>
          </w:r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E33C4" w:rsidP="000743DD">
      <w:pPr>
        <w:pStyle w:val="Style329"/>
        <w:numPr>
          <w:ilvl w:val="3"/>
          <w:numId w:val="100"/>
        </w:numPr>
        <w:tabs>
          <w:tab w:val="left" w:pos="630"/>
        </w:tabs>
        <w:rPr>
          <w:rFonts w:ascii="宋体" w:hAnsi="宋体" w:cs="Arial"/>
          <w:color w:val="000000" w:themeColor="text1"/>
          <w:szCs w:val="21"/>
        </w:rPr>
      </w:pPr>
      <w:r>
        <w:rPr>
          <w:rFonts w:ascii="宋体" w:hAnsi="宋体" w:cs="Arial" w:hint="eastAsia"/>
          <w:color w:val="000000" w:themeColor="text1"/>
          <w:szCs w:val="21"/>
        </w:rPr>
        <w:t>重要联营企业的主要财务信息</w:t>
      </w:r>
    </w:p>
    <w:p w:rsidR="000C5659" w:rsidRDefault="00220B84">
      <w:pPr>
        <w:rPr>
          <w:color w:val="000000" w:themeColor="text1"/>
        </w:rPr>
      </w:pPr>
      <w:sdt>
        <w:sdtPr>
          <w:rPr>
            <w:rFonts w:hint="eastAsia"/>
            <w:b/>
            <w:color w:val="000000" w:themeColor="text1"/>
          </w:rPr>
          <w:alias w:val="是否适用：重要联营企业的主要财务信息[双击切换]"/>
          <w:tag w:val="_GBC_e304b69adb6f449495c3916754024763"/>
          <w:id w:val="-752437226"/>
          <w:lock w:val="contentLocked"/>
        </w:sdtPr>
        <w:sdtEndPr>
          <w:rPr>
            <w:b w:val="0"/>
          </w:r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重要联营企业的主要财务信息"/>
          <w:tag w:val="_GBC_0306b30be35040cd86d2b964142011d4"/>
          <w:id w:val="-1897651370"/>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重要联营企业的主要财务信息"/>
          <w:tag w:val="_GBC_a2e655bae21746219bfd958c6f5b8be9"/>
          <w:id w:val="-3650656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96"/>
        <w:gridCol w:w="2157"/>
        <w:gridCol w:w="1951"/>
        <w:gridCol w:w="1963"/>
        <w:gridCol w:w="2173"/>
        <w:gridCol w:w="1957"/>
        <w:gridCol w:w="1963"/>
      </w:tblGrid>
      <w:tr w:rsidR="000C5659" w:rsidTr="009778C2">
        <w:trPr>
          <w:trHeight w:val="120"/>
        </w:trPr>
        <w:tc>
          <w:tcPr>
            <w:tcW w:w="612" w:type="pct"/>
            <w:vMerge w:val="restart"/>
            <w:tcBorders>
              <w:top w:val="single" w:sz="4" w:space="0" w:color="auto"/>
              <w:left w:val="single" w:sz="4" w:space="0" w:color="auto"/>
              <w:bottom w:val="single" w:sz="6" w:space="0" w:color="auto"/>
              <w:right w:val="single" w:sz="6" w:space="0" w:color="auto"/>
            </w:tcBorders>
            <w:shd w:val="clear" w:color="auto" w:fill="auto"/>
          </w:tcPr>
          <w:p w:rsidR="000C5659" w:rsidRDefault="000C5659">
            <w:pPr>
              <w:jc w:val="center"/>
              <w:rPr>
                <w:rFonts w:cs="Arial"/>
                <w:color w:val="000000" w:themeColor="text1"/>
              </w:rPr>
            </w:pPr>
          </w:p>
        </w:tc>
        <w:sdt>
          <w:sdtPr>
            <w:rPr>
              <w:rFonts w:cs="Arial" w:hint="eastAsia"/>
              <w:color w:val="000000" w:themeColor="text1"/>
              <w:lang w:val="en-GB"/>
            </w:rPr>
            <w:alias w:val="重要联营企业的主要财务信息-发生期间"/>
            <w:tag w:val="_GBC_3985273c74d84e5d9e0004348ff54fc3"/>
            <w:id w:val="-1739702815"/>
          </w:sdtPr>
          <w:sdtEndPr/>
          <w:sdtContent>
            <w:tc>
              <w:tcPr>
                <w:tcW w:w="2190" w:type="pct"/>
                <w:gridSpan w:val="3"/>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rPr>
                </w:pPr>
                <w:r>
                  <w:rPr>
                    <w:rFonts w:cs="Arial" w:hint="eastAsia"/>
                    <w:color w:val="000000" w:themeColor="text1"/>
                    <w:lang w:val="en-GB"/>
                  </w:rPr>
                  <w:t>期末余额</w:t>
                </w:r>
                <w:r>
                  <w:rPr>
                    <w:rFonts w:cs="Arial"/>
                    <w:color w:val="000000" w:themeColor="text1"/>
                  </w:rPr>
                  <w:t xml:space="preserve">/ </w:t>
                </w:r>
                <w:r>
                  <w:rPr>
                    <w:rFonts w:cs="Arial" w:hint="eastAsia"/>
                    <w:color w:val="000000" w:themeColor="text1"/>
                    <w:lang w:val="en-GB"/>
                  </w:rPr>
                  <w:t>本期发生额</w:t>
                </w:r>
              </w:p>
            </w:tc>
          </w:sdtContent>
        </w:sdt>
        <w:sdt>
          <w:sdtPr>
            <w:rPr>
              <w:rFonts w:cs="Arial" w:hint="eastAsia"/>
              <w:color w:val="000000" w:themeColor="text1"/>
              <w:lang w:val="en-GB"/>
            </w:rPr>
            <w:alias w:val="重要联营企业的主要财务信息-发生期间"/>
            <w:tag w:val="_GBC_c59f213bf9cc43468db35ae8e45286d0"/>
            <w:id w:val="1159888975"/>
          </w:sdtPr>
          <w:sdtEndPr/>
          <w:sdtContent>
            <w:tc>
              <w:tcPr>
                <w:tcW w:w="2198" w:type="pct"/>
                <w:gridSpan w:val="3"/>
                <w:tcBorders>
                  <w:top w:val="single" w:sz="4"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rFonts w:cs="Arial"/>
                    <w:color w:val="000000" w:themeColor="text1"/>
                    <w:lang w:val="en-GB"/>
                  </w:rPr>
                </w:pPr>
                <w:r>
                  <w:rPr>
                    <w:rFonts w:cs="Arial" w:hint="eastAsia"/>
                    <w:color w:val="000000" w:themeColor="text1"/>
                    <w:lang w:val="en-GB"/>
                  </w:rPr>
                  <w:t>期初余额</w:t>
                </w:r>
                <w:r>
                  <w:rPr>
                    <w:rFonts w:cs="Arial"/>
                    <w:color w:val="000000" w:themeColor="text1"/>
                  </w:rPr>
                  <w:t xml:space="preserve">/ </w:t>
                </w:r>
                <w:r>
                  <w:rPr>
                    <w:rFonts w:cs="Arial" w:hint="eastAsia"/>
                    <w:color w:val="000000" w:themeColor="text1"/>
                    <w:lang w:val="en-GB"/>
                  </w:rPr>
                  <w:t>上期发生额</w:t>
                </w:r>
              </w:p>
            </w:tc>
          </w:sdtContent>
        </w:sdt>
      </w:tr>
      <w:tr w:rsidR="000C5659" w:rsidTr="009778C2">
        <w:trPr>
          <w:trHeight w:val="120"/>
        </w:trPr>
        <w:tc>
          <w:tcPr>
            <w:tcW w:w="612" w:type="pct"/>
            <w:vMerge/>
            <w:tcBorders>
              <w:top w:val="single" w:sz="4" w:space="0" w:color="auto"/>
              <w:left w:val="single" w:sz="4" w:space="0" w:color="auto"/>
              <w:bottom w:val="single" w:sz="6" w:space="0" w:color="auto"/>
              <w:right w:val="single" w:sz="6" w:space="0" w:color="auto"/>
            </w:tcBorders>
            <w:shd w:val="clear" w:color="auto" w:fill="auto"/>
            <w:vAlign w:val="center"/>
          </w:tcPr>
          <w:p w:rsidR="000C5659" w:rsidRDefault="000C5659">
            <w:pPr>
              <w:rPr>
                <w:rFonts w:cs="Arial"/>
                <w:color w:val="000000" w:themeColor="text1"/>
              </w:rPr>
            </w:pPr>
          </w:p>
        </w:tc>
        <w:tc>
          <w:tcPr>
            <w:tcW w:w="778" w:type="pct"/>
            <w:tcBorders>
              <w:top w:val="single" w:sz="6" w:space="0" w:color="auto"/>
              <w:left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rPr>
              <w:t>江苏扬州农村商业银行股份有限公司</w:t>
            </w:r>
          </w:p>
        </w:tc>
        <w:tc>
          <w:tcPr>
            <w:tcW w:w="704" w:type="pct"/>
            <w:tcBorders>
              <w:top w:val="single" w:sz="6" w:space="0" w:color="auto"/>
              <w:left w:val="single" w:sz="6" w:space="0" w:color="auto"/>
              <w:right w:val="single" w:sz="6" w:space="0" w:color="auto"/>
            </w:tcBorders>
            <w:shd w:val="clear" w:color="auto" w:fill="auto"/>
            <w:vAlign w:val="center"/>
          </w:tcPr>
          <w:p w:rsidR="000C5659" w:rsidRDefault="000E33C4">
            <w:pPr>
              <w:jc w:val="center"/>
            </w:pPr>
            <w:r>
              <w:rPr>
                <w:rFonts w:hint="eastAsia"/>
                <w:color w:val="000000"/>
              </w:rPr>
              <w:t>薇美姿实业（广东）股份有限公司（注1）</w:t>
            </w:r>
          </w:p>
        </w:tc>
        <w:tc>
          <w:tcPr>
            <w:tcW w:w="708" w:type="pct"/>
            <w:tcBorders>
              <w:top w:val="single" w:sz="6" w:space="0" w:color="auto"/>
              <w:left w:val="single" w:sz="6" w:space="0" w:color="auto"/>
              <w:right w:val="single" w:sz="6" w:space="0" w:color="auto"/>
            </w:tcBorders>
            <w:shd w:val="clear" w:color="auto" w:fill="auto"/>
            <w:vAlign w:val="center"/>
          </w:tcPr>
          <w:p w:rsidR="000C5659" w:rsidRDefault="000E33C4">
            <w:pPr>
              <w:jc w:val="center"/>
            </w:pPr>
            <w:r>
              <w:rPr>
                <w:rFonts w:hint="eastAsia"/>
                <w:color w:val="000000"/>
              </w:rPr>
              <w:t>薇美姿实业（广东）股份有限公司（注2）</w:t>
            </w:r>
          </w:p>
        </w:tc>
        <w:tc>
          <w:tcPr>
            <w:tcW w:w="784"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rPr>
                <w:color w:val="000000" w:themeColor="text1"/>
              </w:rPr>
            </w:pPr>
            <w:r>
              <w:rPr>
                <w:rFonts w:hint="eastAsia"/>
                <w:color w:val="000000"/>
              </w:rPr>
              <w:t>江苏扬州农村商业银行股份有限公司</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pPr>
            <w:r>
              <w:rPr>
                <w:rFonts w:hint="eastAsia"/>
                <w:color w:val="000000"/>
              </w:rPr>
              <w:t>薇美姿实业（广东）股份有限公司（注1）</w:t>
            </w:r>
          </w:p>
        </w:tc>
        <w:tc>
          <w:tcPr>
            <w:tcW w:w="708" w:type="pct"/>
            <w:tcBorders>
              <w:top w:val="single" w:sz="6" w:space="0" w:color="auto"/>
              <w:left w:val="single" w:sz="6" w:space="0" w:color="auto"/>
              <w:bottom w:val="single" w:sz="6" w:space="0" w:color="auto"/>
              <w:right w:val="single" w:sz="6" w:space="0" w:color="auto"/>
            </w:tcBorders>
            <w:shd w:val="clear" w:color="auto" w:fill="auto"/>
            <w:vAlign w:val="center"/>
          </w:tcPr>
          <w:p w:rsidR="000C5659" w:rsidRDefault="000E33C4">
            <w:pPr>
              <w:jc w:val="center"/>
            </w:pPr>
            <w:r>
              <w:rPr>
                <w:rFonts w:hint="eastAsia"/>
                <w:color w:val="000000"/>
              </w:rPr>
              <w:t>薇美姿实业（广东）股份有限公司（注2）</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lastRenderedPageBreak/>
              <w:t>流动资产</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3,455,535,934.49</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1,223,990,852.80</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1,237,069,832.00</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3,714,313,202.89</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1,282,332,776.40</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1,308,490,734.80</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非流动资产</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59,122,724,223.20</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630,614,138.30</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624,114,554.96</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52,080,304,066.49</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644,476,097.76</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638,478,192.27</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资产合计</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62,578,260,157.69</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1,854,604,991.10</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1,861,184,386.96</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55,794,617,269.38</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1,926,808,874.16</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1,946,968,927.07</w:t>
            </w:r>
          </w:p>
        </w:tc>
      </w:tr>
      <w:tr w:rsidR="000C5659" w:rsidTr="009778C2">
        <w:tc>
          <w:tcPr>
            <w:tcW w:w="5000" w:type="pct"/>
            <w:gridSpan w:val="7"/>
            <w:tcBorders>
              <w:top w:val="single" w:sz="6" w:space="0" w:color="auto"/>
              <w:left w:val="single" w:sz="4" w:space="0" w:color="auto"/>
              <w:bottom w:val="single" w:sz="6" w:space="0" w:color="auto"/>
              <w:right w:val="single" w:sz="6" w:space="0" w:color="auto"/>
            </w:tcBorders>
            <w:shd w:val="clear" w:color="auto" w:fill="auto"/>
            <w:vAlign w:val="center"/>
          </w:tcPr>
          <w:p w:rsidR="000C5659" w:rsidRDefault="000C5659" w:rsidP="009778C2">
            <w:pPr>
              <w:jc w:val="right"/>
              <w:rPr>
                <w:color w:val="000000" w:themeColor="text1"/>
              </w:rPr>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流动负债</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57,753,976,704.42</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677,532,703.28</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677,532,703.28</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51,865,108,441.80</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700,649,199.78</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700,649,199.78</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非流动负债</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1,027,319,874.05</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147,702,686.56</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149,347,535.52</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361,000,455.84</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134,625,483.87</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139,665,497.09</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负债合计</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58,781,296,578.47</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825,235,389.84</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826,880,238.80</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52,226,108,897.64</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835,274,683.65</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840,314,696.87</w:t>
            </w:r>
          </w:p>
        </w:tc>
      </w:tr>
      <w:tr w:rsidR="000C5659">
        <w:tc>
          <w:tcPr>
            <w:tcW w:w="5000" w:type="pct"/>
            <w:gridSpan w:val="7"/>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C5659">
            <w:pPr>
              <w:jc w:val="right"/>
              <w:rPr>
                <w:color w:val="000000" w:themeColor="text1"/>
              </w:rPr>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少数股东权益</w:t>
            </w:r>
          </w:p>
        </w:tc>
        <w:tc>
          <w:tcPr>
            <w:tcW w:w="778" w:type="pct"/>
            <w:tcBorders>
              <w:left w:val="single" w:sz="6" w:space="0" w:color="auto"/>
              <w:right w:val="single" w:sz="6" w:space="0" w:color="auto"/>
            </w:tcBorders>
            <w:shd w:val="clear" w:color="auto" w:fill="auto"/>
          </w:tcPr>
          <w:p w:rsidR="000C5659" w:rsidRDefault="000C5659">
            <w:pPr>
              <w:jc w:val="right"/>
            </w:pPr>
          </w:p>
        </w:tc>
        <w:tc>
          <w:tcPr>
            <w:tcW w:w="704" w:type="pct"/>
            <w:tcBorders>
              <w:left w:val="single" w:sz="6" w:space="0" w:color="auto"/>
              <w:right w:val="single" w:sz="6" w:space="0" w:color="auto"/>
            </w:tcBorders>
            <w:shd w:val="clear" w:color="auto" w:fill="auto"/>
          </w:tcPr>
          <w:p w:rsidR="000C5659" w:rsidRDefault="000C5659">
            <w:pPr>
              <w:jc w:val="right"/>
            </w:pPr>
          </w:p>
        </w:tc>
        <w:tc>
          <w:tcPr>
            <w:tcW w:w="708" w:type="pct"/>
            <w:tcBorders>
              <w:left w:val="single" w:sz="6" w:space="0" w:color="auto"/>
              <w:right w:val="single" w:sz="6" w:space="0" w:color="auto"/>
            </w:tcBorders>
            <w:shd w:val="clear" w:color="auto" w:fill="auto"/>
          </w:tcPr>
          <w:p w:rsidR="000C5659" w:rsidRDefault="000C5659">
            <w:pPr>
              <w:jc w:val="right"/>
            </w:pPr>
          </w:p>
        </w:tc>
        <w:tc>
          <w:tcPr>
            <w:tcW w:w="784" w:type="pct"/>
            <w:tcBorders>
              <w:top w:val="single" w:sz="6" w:space="0" w:color="auto"/>
              <w:left w:val="single" w:sz="6" w:space="0" w:color="auto"/>
              <w:bottom w:val="single" w:sz="6" w:space="0" w:color="auto"/>
              <w:right w:val="single" w:sz="6" w:space="0" w:color="auto"/>
            </w:tcBorders>
          </w:tcPr>
          <w:p w:rsidR="000C5659" w:rsidRDefault="000C5659">
            <w:pPr>
              <w:jc w:val="right"/>
            </w:pPr>
          </w:p>
        </w:tc>
        <w:tc>
          <w:tcPr>
            <w:tcW w:w="706" w:type="pct"/>
            <w:tcBorders>
              <w:top w:val="single" w:sz="6" w:space="0" w:color="auto"/>
              <w:left w:val="single" w:sz="6" w:space="0" w:color="auto"/>
              <w:bottom w:val="single" w:sz="6" w:space="0" w:color="auto"/>
              <w:right w:val="single" w:sz="6" w:space="0" w:color="auto"/>
            </w:tcBorders>
          </w:tcPr>
          <w:p w:rsidR="000C5659" w:rsidRDefault="000C5659">
            <w:pPr>
              <w:jc w:val="right"/>
            </w:pPr>
          </w:p>
        </w:tc>
        <w:tc>
          <w:tcPr>
            <w:tcW w:w="708" w:type="pct"/>
            <w:tcBorders>
              <w:top w:val="single" w:sz="6" w:space="0" w:color="auto"/>
              <w:left w:val="single" w:sz="6" w:space="0" w:color="auto"/>
              <w:bottom w:val="single" w:sz="6" w:space="0" w:color="auto"/>
              <w:right w:val="single" w:sz="6" w:space="0" w:color="auto"/>
            </w:tcBorders>
          </w:tcPr>
          <w:p w:rsidR="000C5659" w:rsidRDefault="000C5659">
            <w:pPr>
              <w:jc w:val="right"/>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归属于母公司股东权益</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3,796,963,579.22</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1,029,369,601.26</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1,034,304,148.16</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3,568,508,371.74</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1,091,534,190.51</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1,106,654,230.20</w:t>
            </w:r>
          </w:p>
        </w:tc>
      </w:tr>
      <w:tr w:rsidR="000C5659" w:rsidTr="009778C2">
        <w:tc>
          <w:tcPr>
            <w:tcW w:w="5000" w:type="pct"/>
            <w:gridSpan w:val="7"/>
            <w:tcBorders>
              <w:top w:val="single" w:sz="6" w:space="0" w:color="auto"/>
              <w:left w:val="single" w:sz="4" w:space="0" w:color="auto"/>
              <w:bottom w:val="single" w:sz="6" w:space="0" w:color="auto"/>
              <w:right w:val="single" w:sz="6" w:space="0" w:color="auto"/>
            </w:tcBorders>
            <w:shd w:val="clear" w:color="auto" w:fill="auto"/>
            <w:vAlign w:val="center"/>
          </w:tcPr>
          <w:p w:rsidR="000C5659" w:rsidRDefault="000C5659" w:rsidP="009778C2">
            <w:pPr>
              <w:jc w:val="right"/>
              <w:rPr>
                <w:color w:val="000000" w:themeColor="text1"/>
              </w:rPr>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按持股比例计算的净资产份额</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113,089,939.56</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169,813,259.89</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163,160,753.64</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106,281,648.42</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180,067,120.81</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174,569,171.54</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调整事项</w:t>
            </w:r>
          </w:p>
        </w:tc>
        <w:tc>
          <w:tcPr>
            <w:tcW w:w="77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4"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商誉</w:t>
            </w:r>
          </w:p>
        </w:tc>
        <w:tc>
          <w:tcPr>
            <w:tcW w:w="77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242,744,306.19</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230,454,561.56</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242,744,306.19</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230,454,561.56</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内部交易未实现利润</w:t>
            </w:r>
          </w:p>
        </w:tc>
        <w:tc>
          <w:tcPr>
            <w:tcW w:w="77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-42,788.56</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-40,903.67</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color w:val="000000" w:themeColor="text1"/>
              </w:rPr>
              <w:t>--</w:t>
            </w:r>
            <w:r>
              <w:rPr>
                <w:rFonts w:cs="Arial" w:hint="eastAsia"/>
                <w:color w:val="000000" w:themeColor="text1"/>
                <w:lang w:val="en-GB"/>
              </w:rPr>
              <w:t>其他</w:t>
            </w:r>
          </w:p>
        </w:tc>
        <w:tc>
          <w:tcPr>
            <w:tcW w:w="77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4"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对联营企业权益投资的账面价值</w:t>
            </w:r>
          </w:p>
        </w:tc>
        <w:tc>
          <w:tcPr>
            <w:tcW w:w="77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113,089,939.56</w:t>
            </w:r>
          </w:p>
        </w:tc>
        <w:tc>
          <w:tcPr>
            <w:tcW w:w="704"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412,514,777.52</w:t>
            </w:r>
          </w:p>
        </w:tc>
        <w:tc>
          <w:tcPr>
            <w:tcW w:w="708" w:type="pct"/>
            <w:tcBorders>
              <w:left w:val="single" w:sz="6" w:space="0" w:color="auto"/>
              <w:right w:val="single" w:sz="6" w:space="0" w:color="auto"/>
            </w:tcBorders>
            <w:shd w:val="clear" w:color="auto" w:fill="auto"/>
            <w:vAlign w:val="center"/>
          </w:tcPr>
          <w:p w:rsidR="000C5659" w:rsidRDefault="000E33C4" w:rsidP="009778C2">
            <w:pPr>
              <w:jc w:val="right"/>
            </w:pPr>
            <w:r>
              <w:rPr>
                <w:rFonts w:hint="eastAsia"/>
                <w:color w:val="000000"/>
              </w:rPr>
              <w:t>393,574,411.53</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106,281,648.42</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422,811,427.00</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rsidP="009778C2">
            <w:pPr>
              <w:jc w:val="right"/>
            </w:pPr>
            <w:r>
              <w:rPr>
                <w:rFonts w:hint="eastAsia"/>
                <w:color w:val="000000"/>
              </w:rPr>
              <w:t>405,023,733.10</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存在公开报价的联营企业权益投资的公允价值</w:t>
            </w:r>
          </w:p>
        </w:tc>
        <w:tc>
          <w:tcPr>
            <w:tcW w:w="77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4"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08" w:type="pct"/>
            <w:tcBorders>
              <w:left w:val="single" w:sz="6" w:space="0" w:color="auto"/>
              <w:right w:val="single" w:sz="6" w:space="0" w:color="auto"/>
            </w:tcBorders>
            <w:shd w:val="clear" w:color="auto" w:fill="auto"/>
            <w:vAlign w:val="center"/>
          </w:tcPr>
          <w:p w:rsidR="000C5659" w:rsidRDefault="000C5659" w:rsidP="009778C2">
            <w:pPr>
              <w:jc w:val="right"/>
            </w:pP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C5659" w:rsidP="009778C2">
            <w:pPr>
              <w:jc w:val="right"/>
            </w:pPr>
          </w:p>
        </w:tc>
      </w:tr>
      <w:tr w:rsidR="000C5659">
        <w:tc>
          <w:tcPr>
            <w:tcW w:w="5000" w:type="pct"/>
            <w:gridSpan w:val="7"/>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C5659">
            <w:pPr>
              <w:jc w:val="right"/>
              <w:rPr>
                <w:color w:val="000000" w:themeColor="text1"/>
              </w:rPr>
            </w:pP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营业收入</w:t>
            </w:r>
          </w:p>
        </w:tc>
        <w:tc>
          <w:tcPr>
            <w:tcW w:w="77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1,260,592,866.20 </w:t>
            </w:r>
          </w:p>
        </w:tc>
        <w:tc>
          <w:tcPr>
            <w:tcW w:w="704"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929,958,108.77</w:t>
            </w:r>
          </w:p>
        </w:tc>
        <w:tc>
          <w:tcPr>
            <w:tcW w:w="70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929,958,108.77</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1,184,456,781.79</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净利润</w:t>
            </w:r>
          </w:p>
        </w:tc>
        <w:tc>
          <w:tcPr>
            <w:tcW w:w="77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223,342,992.71</w:t>
            </w:r>
          </w:p>
        </w:tc>
        <w:tc>
          <w:tcPr>
            <w:tcW w:w="704"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-62,157,043.04 </w:t>
            </w:r>
          </w:p>
        </w:tc>
        <w:tc>
          <w:tcPr>
            <w:tcW w:w="708" w:type="pct"/>
            <w:tcBorders>
              <w:left w:val="single" w:sz="6" w:space="0" w:color="auto"/>
              <w:right w:val="single" w:sz="6" w:space="0" w:color="auto"/>
            </w:tcBorders>
            <w:shd w:val="clear" w:color="auto" w:fill="auto"/>
            <w:vAlign w:val="center"/>
          </w:tcPr>
          <w:p w:rsidR="000C5659" w:rsidRDefault="000E33C4">
            <w:pPr>
              <w:jc w:val="right"/>
            </w:pPr>
            <w:r>
              <w:rPr>
                <w:color w:val="000000"/>
              </w:rPr>
              <w:t>-72,342,535.83</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247,693,951.82</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lang w:val="en-GB"/>
              </w:rPr>
            </w:pPr>
            <w:r>
              <w:rPr>
                <w:rFonts w:cs="Arial" w:hint="eastAsia"/>
                <w:color w:val="000000" w:themeColor="text1"/>
                <w:lang w:val="en-GB"/>
              </w:rPr>
              <w:t>终止经营的净利润</w:t>
            </w:r>
          </w:p>
        </w:tc>
        <w:tc>
          <w:tcPr>
            <w:tcW w:w="77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04"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0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其他综合收益</w:t>
            </w:r>
          </w:p>
        </w:tc>
        <w:tc>
          <w:tcPr>
            <w:tcW w:w="77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30,573,814.77</w:t>
            </w:r>
          </w:p>
        </w:tc>
        <w:tc>
          <w:tcPr>
            <w:tcW w:w="704"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0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52,412,369.54</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r>
      <w:tr w:rsidR="000C5659" w:rsidTr="009778C2">
        <w:tc>
          <w:tcPr>
            <w:tcW w:w="612" w:type="pct"/>
            <w:tcBorders>
              <w:top w:val="single" w:sz="6" w:space="0" w:color="auto"/>
              <w:left w:val="single" w:sz="4" w:space="0" w:color="auto"/>
              <w:bottom w:val="single" w:sz="6"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lastRenderedPageBreak/>
              <w:t>综合收益总额</w:t>
            </w:r>
          </w:p>
        </w:tc>
        <w:tc>
          <w:tcPr>
            <w:tcW w:w="77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253,916,807.48</w:t>
            </w:r>
          </w:p>
        </w:tc>
        <w:tc>
          <w:tcPr>
            <w:tcW w:w="704"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08" w:type="pct"/>
            <w:tcBorders>
              <w:left w:val="single" w:sz="6"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84"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300,106,321.36</w:t>
            </w:r>
          </w:p>
        </w:tc>
        <w:tc>
          <w:tcPr>
            <w:tcW w:w="706"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c>
          <w:tcPr>
            <w:tcW w:w="708"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color w:val="000000"/>
              </w:rPr>
              <w:t xml:space="preserve">　</w:t>
            </w:r>
          </w:p>
        </w:tc>
      </w:tr>
      <w:tr w:rsidR="000C5659">
        <w:tc>
          <w:tcPr>
            <w:tcW w:w="5000" w:type="pct"/>
            <w:gridSpan w:val="7"/>
            <w:tcBorders>
              <w:top w:val="single" w:sz="6" w:space="0" w:color="auto"/>
              <w:left w:val="single" w:sz="4" w:space="0" w:color="auto"/>
              <w:bottom w:val="single" w:sz="4" w:space="0" w:color="auto"/>
              <w:right w:val="single" w:sz="6" w:space="0" w:color="auto"/>
            </w:tcBorders>
            <w:shd w:val="clear" w:color="auto" w:fill="auto"/>
            <w:vAlign w:val="bottom"/>
          </w:tcPr>
          <w:p w:rsidR="000C5659" w:rsidRDefault="000C5659">
            <w:pPr>
              <w:jc w:val="right"/>
              <w:rPr>
                <w:color w:val="000000" w:themeColor="text1"/>
              </w:rPr>
            </w:pPr>
          </w:p>
        </w:tc>
      </w:tr>
      <w:tr w:rsidR="000C5659" w:rsidTr="009778C2">
        <w:tc>
          <w:tcPr>
            <w:tcW w:w="612" w:type="pct"/>
            <w:tcBorders>
              <w:top w:val="single" w:sz="6" w:space="0" w:color="auto"/>
              <w:left w:val="single" w:sz="4" w:space="0" w:color="auto"/>
              <w:bottom w:val="single" w:sz="4" w:space="0" w:color="auto"/>
              <w:right w:val="single" w:sz="6" w:space="0" w:color="auto"/>
            </w:tcBorders>
            <w:shd w:val="clear" w:color="auto" w:fill="auto"/>
            <w:vAlign w:val="bottom"/>
          </w:tcPr>
          <w:p w:rsidR="000C5659" w:rsidRDefault="000E33C4">
            <w:pPr>
              <w:rPr>
                <w:rFonts w:cs="Arial"/>
                <w:color w:val="000000" w:themeColor="text1"/>
              </w:rPr>
            </w:pPr>
            <w:r>
              <w:rPr>
                <w:rFonts w:cs="Arial" w:hint="eastAsia"/>
                <w:color w:val="000000" w:themeColor="text1"/>
                <w:lang w:val="en-GB"/>
              </w:rPr>
              <w:t>本年度收到的来自联营企业的股利</w:t>
            </w:r>
          </w:p>
        </w:tc>
        <w:tc>
          <w:tcPr>
            <w:tcW w:w="778" w:type="pct"/>
            <w:tcBorders>
              <w:left w:val="single" w:sz="6" w:space="0" w:color="auto"/>
              <w:bottom w:val="single" w:sz="4" w:space="0" w:color="auto"/>
              <w:right w:val="single" w:sz="6" w:space="0" w:color="auto"/>
            </w:tcBorders>
            <w:shd w:val="clear" w:color="auto" w:fill="auto"/>
            <w:vAlign w:val="center"/>
          </w:tcPr>
          <w:p w:rsidR="000C5659" w:rsidRDefault="000E33C4">
            <w:pPr>
              <w:jc w:val="right"/>
            </w:pPr>
            <w:r>
              <w:rPr>
                <w:rFonts w:hint="eastAsia"/>
                <w:color w:val="000000"/>
              </w:rPr>
              <w:t>758,791.98</w:t>
            </w:r>
          </w:p>
        </w:tc>
        <w:tc>
          <w:tcPr>
            <w:tcW w:w="704" w:type="pct"/>
            <w:tcBorders>
              <w:left w:val="single" w:sz="6" w:space="0" w:color="auto"/>
              <w:bottom w:val="single" w:sz="4"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08" w:type="pct"/>
            <w:tcBorders>
              <w:left w:val="single" w:sz="6" w:space="0" w:color="auto"/>
              <w:bottom w:val="single" w:sz="4" w:space="0" w:color="auto"/>
              <w:right w:val="single" w:sz="6" w:space="0" w:color="auto"/>
            </w:tcBorders>
            <w:shd w:val="clear" w:color="auto" w:fill="auto"/>
            <w:vAlign w:val="center"/>
          </w:tcPr>
          <w:p w:rsidR="000C5659" w:rsidRDefault="000E33C4">
            <w:pPr>
              <w:jc w:val="right"/>
            </w:pPr>
            <w:r>
              <w:rPr>
                <w:rFonts w:hint="eastAsia"/>
                <w:color w:val="000000"/>
              </w:rPr>
              <w:t xml:space="preserve">　</w:t>
            </w:r>
          </w:p>
        </w:tc>
        <w:tc>
          <w:tcPr>
            <w:tcW w:w="784" w:type="pct"/>
            <w:tcBorders>
              <w:top w:val="single" w:sz="6" w:space="0" w:color="auto"/>
              <w:left w:val="single" w:sz="6" w:space="0" w:color="auto"/>
              <w:bottom w:val="single" w:sz="4" w:space="0" w:color="auto"/>
              <w:right w:val="single" w:sz="6" w:space="0" w:color="auto"/>
            </w:tcBorders>
            <w:vAlign w:val="center"/>
          </w:tcPr>
          <w:p w:rsidR="000C5659" w:rsidRDefault="000E33C4">
            <w:pPr>
              <w:jc w:val="right"/>
            </w:pPr>
            <w:r>
              <w:rPr>
                <w:rFonts w:hint="eastAsia"/>
                <w:color w:val="000000"/>
              </w:rPr>
              <w:t>1,105,036.87</w:t>
            </w:r>
          </w:p>
        </w:tc>
        <w:tc>
          <w:tcPr>
            <w:tcW w:w="706" w:type="pct"/>
            <w:tcBorders>
              <w:top w:val="single" w:sz="6" w:space="0" w:color="auto"/>
              <w:left w:val="single" w:sz="6" w:space="0" w:color="auto"/>
              <w:bottom w:val="single" w:sz="4" w:space="0" w:color="auto"/>
              <w:right w:val="single" w:sz="6" w:space="0" w:color="auto"/>
            </w:tcBorders>
          </w:tcPr>
          <w:p w:rsidR="000C5659" w:rsidRDefault="000C5659">
            <w:pPr>
              <w:jc w:val="right"/>
            </w:pPr>
          </w:p>
        </w:tc>
        <w:tc>
          <w:tcPr>
            <w:tcW w:w="708" w:type="pct"/>
            <w:tcBorders>
              <w:top w:val="single" w:sz="6" w:space="0" w:color="auto"/>
              <w:left w:val="single" w:sz="6" w:space="0" w:color="auto"/>
              <w:bottom w:val="single" w:sz="4" w:space="0" w:color="auto"/>
              <w:right w:val="single" w:sz="6" w:space="0" w:color="auto"/>
            </w:tcBorders>
          </w:tcPr>
          <w:p w:rsidR="000C5659" w:rsidRDefault="000C5659">
            <w:pPr>
              <w:jc w:val="right"/>
            </w:pPr>
          </w:p>
        </w:tc>
      </w:tr>
    </w:tbl>
    <w:p w:rsidR="000C5659" w:rsidRDefault="000C5659">
      <w:pPr>
        <w:rPr>
          <w:rFonts w:cs="Arial"/>
          <w:color w:val="000000" w:themeColor="text1"/>
        </w:rPr>
      </w:pPr>
    </w:p>
    <w:p w:rsidR="000C5659" w:rsidRDefault="000E33C4">
      <w:pPr>
        <w:rPr>
          <w:rFonts w:cs="Arial"/>
          <w:color w:val="000000" w:themeColor="text1"/>
        </w:rPr>
      </w:pPr>
      <w:r>
        <w:rPr>
          <w:rFonts w:cs="Arial" w:hint="eastAsia"/>
          <w:color w:val="000000" w:themeColor="text1"/>
        </w:rPr>
        <w:t>其他说明</w:t>
      </w:r>
    </w:p>
    <w:sdt>
      <w:sdtPr>
        <w:rPr>
          <w:rFonts w:cs="Arial" w:hint="eastAsia"/>
        </w:rPr>
        <w:alias w:val="重要联营企业的主要财务信息其他说明的方法"/>
        <w:tag w:val="_GBC_49602fee37fb4c848eee594868d16caa"/>
        <w:id w:val="-530033547"/>
      </w:sdtPr>
      <w:sdtEndPr/>
      <w:sdtContent>
        <w:p w:rsidR="000C5659" w:rsidRDefault="000E33C4">
          <w:pPr>
            <w:rPr>
              <w:rFonts w:cs="Arial"/>
            </w:rPr>
          </w:pPr>
          <w:r>
            <w:rPr>
              <w:rFonts w:cs="Arial" w:hint="eastAsia"/>
            </w:rPr>
            <w:t>注1:2023年10月31日，公司收购薇美姿实业（广东）股份有限公司16.4967%股权交割完毕，并派驻董事，对其具有重大影响，采用权益法核算。列示的资产负债表、利润表为按照购买日可辨认净资产公允价值持续计算至2</w:t>
          </w:r>
          <w:r>
            <w:rPr>
              <w:rFonts w:cs="Arial"/>
            </w:rPr>
            <w:t>024</w:t>
          </w:r>
          <w:r>
            <w:rPr>
              <w:rFonts w:cs="Arial" w:hint="eastAsia"/>
            </w:rPr>
            <w:t>年6月的资产负债表、利润表。</w:t>
          </w:r>
        </w:p>
        <w:p w:rsidR="000C5659" w:rsidRDefault="000E33C4">
          <w:pPr>
            <w:rPr>
              <w:rFonts w:cs="Arial"/>
            </w:rPr>
          </w:pPr>
          <w:r>
            <w:rPr>
              <w:rFonts w:cs="Arial" w:hint="eastAsia"/>
            </w:rPr>
            <w:t>注2:2023年12月20日，珠海云舒壹号企业管理合伙企业（有限合伙）和珠海云舒贰号企业管理合伙企业（有限合伙）分别变更了普通合伙人，由公司子公司扬州明星牙刷口腔护理有限公司作为普通合伙人，并在中国证券投资基金业协会完成清算登记，两个基金由投资性主体转变为非投资性主体。原普通合伙人珠海佑柏私募基金管理有限公司派出到薇美姿实业（广东）股份有限公司的董事变更为由公司派出。公司对薇美姿实业（广东）股份有限公司持有目的由财务投资变更为产业投资。</w:t>
          </w:r>
        </w:p>
        <w:p w:rsidR="000C5659" w:rsidRDefault="000E33C4">
          <w:pPr>
            <w:rPr>
              <w:rFonts w:cs="Arial"/>
            </w:rPr>
          </w:pPr>
          <w:r>
            <w:rPr>
              <w:rFonts w:cs="Arial" w:hint="eastAsia"/>
            </w:rPr>
            <w:t>故公司通过珠海云舒壹号企业管理合伙企业（有限合伙）和珠海云舒贰号企业管理合伙企业（有限合伙）持有的薇美姿实业（广东）股份有限公司15.7745%股权由金融工具核算转换成长期股权投资核算并按照权益法后续计量。列示的资产负债表、利润表为按照购买日可辨认净资产公允价值持续计算至2</w:t>
          </w:r>
          <w:r>
            <w:rPr>
              <w:rFonts w:cs="Arial"/>
            </w:rPr>
            <w:t>024</w:t>
          </w:r>
          <w:r>
            <w:rPr>
              <w:rFonts w:cs="Arial" w:hint="eastAsia"/>
            </w:rPr>
            <w:t>年6月的资产负债表、利润表。</w:t>
          </w:r>
        </w:p>
      </w:sdtContent>
    </w:sdt>
    <w:p w:rsidR="000C5659" w:rsidRDefault="000C5659">
      <w:pPr>
        <w:rPr>
          <w:rFonts w:cs="Arial"/>
          <w:color w:val="000000" w:themeColor="text1"/>
        </w:rPr>
      </w:pPr>
    </w:p>
    <w:p w:rsidR="000C5659" w:rsidRDefault="000E33C4" w:rsidP="000743DD">
      <w:pPr>
        <w:pStyle w:val="Style329"/>
        <w:numPr>
          <w:ilvl w:val="3"/>
          <w:numId w:val="100"/>
        </w:numPr>
        <w:tabs>
          <w:tab w:val="left" w:pos="630"/>
        </w:tabs>
        <w:rPr>
          <w:rFonts w:ascii="宋体" w:hAnsi="宋体" w:cs="Arial"/>
          <w:color w:val="000000" w:themeColor="text1"/>
          <w:szCs w:val="21"/>
        </w:rPr>
      </w:pPr>
      <w:r>
        <w:rPr>
          <w:rFonts w:ascii="宋体" w:hAnsi="宋体" w:cs="Arial" w:hint="eastAsia"/>
          <w:color w:val="000000" w:themeColor="text1"/>
          <w:szCs w:val="21"/>
        </w:rPr>
        <w:t>不重要的合营企业和联营企业的汇总财务信息</w:t>
      </w:r>
    </w:p>
    <w:sdt>
      <w:sdtPr>
        <w:rPr>
          <w:color w:val="000000" w:themeColor="text1"/>
        </w:rPr>
        <w:alias w:val="是否适用：不重要的合营企业和联营企业的汇总财务信息[双击切换]"/>
        <w:tag w:val="_GBC_eb809f81680b42f794ba04df499e52dc"/>
        <w:id w:val="514734780"/>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C5659">
      <w:pPr>
        <w:rPr>
          <w:rFonts w:cs="Arial"/>
          <w:color w:val="000000" w:themeColor="text1"/>
        </w:rPr>
      </w:pPr>
    </w:p>
    <w:p w:rsidR="000C5659" w:rsidRDefault="000E33C4" w:rsidP="000743DD">
      <w:pPr>
        <w:pStyle w:val="Style329"/>
        <w:numPr>
          <w:ilvl w:val="3"/>
          <w:numId w:val="100"/>
        </w:numPr>
        <w:tabs>
          <w:tab w:val="left" w:pos="630"/>
        </w:tabs>
        <w:rPr>
          <w:rFonts w:ascii="宋体" w:hAnsi="宋体" w:cs="Arial"/>
          <w:color w:val="000000" w:themeColor="text1"/>
          <w:szCs w:val="21"/>
        </w:rPr>
      </w:pPr>
      <w:r>
        <w:rPr>
          <w:rFonts w:ascii="宋体" w:hAnsi="宋体" w:cs="Arial" w:hint="eastAsia"/>
          <w:color w:val="000000" w:themeColor="text1"/>
          <w:szCs w:val="21"/>
        </w:rPr>
        <w:t>合营企业或联营企业向本公司转移资金的能力存在重大限制的说明</w:t>
      </w:r>
    </w:p>
    <w:sdt>
      <w:sdtPr>
        <w:rPr>
          <w:color w:val="000000" w:themeColor="text1"/>
        </w:rPr>
        <w:alias w:val="是否适用：合营企业或联营企业向本公司转移资金的能力存在重大限制的说明[双击切换]"/>
        <w:tag w:val="_GBC_73dfba3df3e24fc2a5b5ede5fa8d6f09"/>
        <w:id w:val="-1737150005"/>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9"/>
        <w:numPr>
          <w:ilvl w:val="3"/>
          <w:numId w:val="100"/>
        </w:numPr>
        <w:tabs>
          <w:tab w:val="left" w:pos="630"/>
        </w:tabs>
        <w:rPr>
          <w:rFonts w:ascii="宋体" w:hAnsi="宋体" w:cs="Arial"/>
          <w:color w:val="000000" w:themeColor="text1"/>
          <w:szCs w:val="21"/>
        </w:rPr>
      </w:pPr>
      <w:r>
        <w:rPr>
          <w:rFonts w:ascii="宋体" w:hAnsi="宋体" w:cs="Arial" w:hint="eastAsia"/>
          <w:color w:val="000000" w:themeColor="text1"/>
          <w:szCs w:val="21"/>
        </w:rPr>
        <w:t>合营企业或联营企业发生的超额亏损</w:t>
      </w:r>
    </w:p>
    <w:sdt>
      <w:sdtPr>
        <w:rPr>
          <w:color w:val="000000" w:themeColor="text1"/>
        </w:rPr>
        <w:alias w:val="是否适用：合营企业或联营企业发生的超额亏损[双击切换]"/>
        <w:tag w:val="_GBC_c30af0beca864d788c2fe12f47f13428"/>
        <w:id w:val="-1856030664"/>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9"/>
        <w:numPr>
          <w:ilvl w:val="3"/>
          <w:numId w:val="100"/>
        </w:numPr>
        <w:tabs>
          <w:tab w:val="left" w:pos="630"/>
        </w:tabs>
        <w:rPr>
          <w:rFonts w:ascii="宋体" w:hAnsi="宋体" w:cs="Arial"/>
          <w:color w:val="000000" w:themeColor="text1"/>
          <w:szCs w:val="21"/>
        </w:rPr>
      </w:pPr>
      <w:r>
        <w:rPr>
          <w:rFonts w:ascii="宋体" w:hAnsi="宋体" w:cs="Arial" w:hint="eastAsia"/>
          <w:color w:val="000000" w:themeColor="text1"/>
          <w:szCs w:val="21"/>
        </w:rPr>
        <w:t>与合营企业投资相关的未确认承诺</w:t>
      </w:r>
    </w:p>
    <w:sdt>
      <w:sdtPr>
        <w:rPr>
          <w:color w:val="000000" w:themeColor="text1"/>
        </w:rPr>
        <w:alias w:val="是否适用：与合营企业投资相关的未确认承诺[双击切换]"/>
        <w:tag w:val="_GBC_9d014d8b476148b59476808a5cda81d8"/>
        <w:id w:val="-52317720"/>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9"/>
        <w:numPr>
          <w:ilvl w:val="3"/>
          <w:numId w:val="100"/>
        </w:numPr>
        <w:tabs>
          <w:tab w:val="left" w:pos="630"/>
        </w:tabs>
        <w:rPr>
          <w:rFonts w:ascii="宋体" w:hAnsi="宋体" w:cs="Arial"/>
          <w:color w:val="000000" w:themeColor="text1"/>
          <w:szCs w:val="21"/>
        </w:rPr>
      </w:pPr>
      <w:r>
        <w:rPr>
          <w:rFonts w:ascii="宋体" w:hAnsi="宋体" w:cs="Arial" w:hint="eastAsia"/>
          <w:color w:val="000000" w:themeColor="text1"/>
          <w:szCs w:val="21"/>
        </w:rPr>
        <w:t>与合营企业或联营企业投资相关的或有负债</w:t>
      </w:r>
    </w:p>
    <w:sdt>
      <w:sdtPr>
        <w:rPr>
          <w:color w:val="000000" w:themeColor="text1"/>
        </w:rPr>
        <w:alias w:val="是否适用：与合营企业或联营企业投资相关的或有负债[双击切换]"/>
        <w:tag w:val="_GBC_caba618be81b4cb1acf89073549a456a"/>
        <w:id w:val="-2087147087"/>
      </w:sdtPr>
      <w:sdtEndPr/>
      <w:sdtContent>
        <w:p w:rsidR="000C5659" w:rsidRDefault="000E33C4">
          <w:pPr>
            <w:pStyle w:val="Style325"/>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8"/>
        <w:numPr>
          <w:ilvl w:val="2"/>
          <w:numId w:val="98"/>
        </w:numPr>
        <w:rPr>
          <w:rFonts w:ascii="宋体" w:hAnsi="宋体" w:cs="Arial"/>
          <w:color w:val="000000" w:themeColor="text1"/>
          <w:szCs w:val="21"/>
        </w:rPr>
      </w:pPr>
      <w:r>
        <w:rPr>
          <w:rFonts w:ascii="宋体" w:hAnsi="宋体" w:cs="Arial" w:hint="eastAsia"/>
          <w:color w:val="000000" w:themeColor="text1"/>
          <w:szCs w:val="21"/>
        </w:rPr>
        <w:t>重要的共同经营</w:t>
      </w:r>
    </w:p>
    <w:sdt>
      <w:sdtPr>
        <w:rPr>
          <w:color w:val="000000" w:themeColor="text1"/>
        </w:rPr>
        <w:alias w:val="是否适用：重要的共同经营[双击切换]"/>
        <w:tag w:val="_GBC_7911b1c8195d4c20b2800b1c5ac94a93"/>
        <w:id w:val="1057445001"/>
        <w:placeholder>
          <w:docPart w:val="GBC22222222222222222222222222222"/>
        </w:placeholder>
      </w:sdtPr>
      <w:sdtEndPr/>
      <w:sdtContent>
        <w:p w:rsidR="000C5659" w:rsidRDefault="000E33C4">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8"/>
        <w:numPr>
          <w:ilvl w:val="2"/>
          <w:numId w:val="98"/>
        </w:numPr>
        <w:rPr>
          <w:rFonts w:ascii="宋体" w:hAnsi="宋体" w:cs="Arial"/>
          <w:color w:val="000000" w:themeColor="text1"/>
          <w:szCs w:val="21"/>
        </w:rPr>
      </w:pPr>
      <w:r>
        <w:rPr>
          <w:rFonts w:ascii="宋体" w:hAnsi="宋体" w:cs="Arial" w:hint="eastAsia"/>
          <w:color w:val="000000" w:themeColor="text1"/>
          <w:szCs w:val="21"/>
        </w:rPr>
        <w:t>在未纳入合并财务报表范围的结构化主体中的权益</w:t>
      </w:r>
    </w:p>
    <w:p w:rsidR="000C5659" w:rsidRDefault="000E33C4">
      <w:pPr>
        <w:rPr>
          <w:rFonts w:cs="Arial"/>
          <w:color w:val="000000" w:themeColor="text1"/>
        </w:rPr>
      </w:pPr>
      <w:r>
        <w:rPr>
          <w:rFonts w:cs="Arial" w:hint="eastAsia"/>
          <w:color w:val="000000" w:themeColor="text1"/>
        </w:rPr>
        <w:t>未纳入合并财务报表范围的结构化主体的相关说明：</w:t>
      </w:r>
    </w:p>
    <w:sdt>
      <w:sdtPr>
        <w:rPr>
          <w:rFonts w:cs="Arial"/>
          <w:color w:val="000000" w:themeColor="text1"/>
        </w:rPr>
        <w:alias w:val="是否适用：未纳入合并财务报表范围的结构化主体的相关说明[双击切换]"/>
        <w:tag w:val="_GBC_48eb6d215e5341c694f98d18f5889902"/>
        <w:id w:val="1534767834"/>
        <w:placeholder>
          <w:docPart w:val="GBC22222222222222222222222222222"/>
        </w:placeholder>
      </w:sdtPr>
      <w:sdtEndPr/>
      <w:sdtContent>
        <w:p w:rsidR="000C5659" w:rsidRDefault="000E33C4">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0C5659" w:rsidRDefault="000C5659">
      <w:pPr>
        <w:rPr>
          <w:rFonts w:cs="Arial"/>
          <w:color w:val="000000" w:themeColor="text1"/>
        </w:rPr>
      </w:pPr>
    </w:p>
    <w:p w:rsidR="000C5659" w:rsidRDefault="000E33C4" w:rsidP="000743DD">
      <w:pPr>
        <w:pStyle w:val="Style328"/>
        <w:numPr>
          <w:ilvl w:val="2"/>
          <w:numId w:val="98"/>
        </w:numPr>
        <w:rPr>
          <w:rFonts w:ascii="宋体" w:hAnsi="宋体" w:cs="Arial"/>
          <w:color w:val="000000" w:themeColor="text1"/>
          <w:szCs w:val="21"/>
        </w:rPr>
      </w:pPr>
      <w:r>
        <w:rPr>
          <w:rFonts w:ascii="宋体" w:hAnsi="宋体" w:cs="Arial" w:hint="eastAsia"/>
          <w:color w:val="000000" w:themeColor="text1"/>
          <w:szCs w:val="21"/>
        </w:rPr>
        <w:t>其他</w:t>
      </w:r>
    </w:p>
    <w:sdt>
      <w:sdtPr>
        <w:rPr>
          <w:color w:val="000000" w:themeColor="text1"/>
        </w:rPr>
        <w:alias w:val="是否适用：在其他主体中的权益其他需要说明的事项[双击切换]"/>
        <w:tag w:val="_GBC_ad8b7a7df0724efaa681a931c91befff"/>
        <w:id w:val="-90105404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9778C2" w:rsidRDefault="009778C2">
      <w:pPr>
        <w:rPr>
          <w:color w:val="000000" w:themeColor="text1"/>
        </w:rPr>
        <w:sectPr w:rsidR="009778C2" w:rsidSect="009778C2">
          <w:pgSz w:w="16838" w:h="11906" w:orient="landscape"/>
          <w:pgMar w:top="1797" w:right="1525" w:bottom="1276" w:left="1440" w:header="856" w:footer="992" w:gutter="0"/>
          <w:cols w:space="425"/>
          <w:docGrid w:linePitch="312"/>
        </w:sectPr>
      </w:pPr>
    </w:p>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bookmarkStart w:id="359" w:name="_Hlk167976217"/>
      <w:r>
        <w:rPr>
          <w:rFonts w:ascii="宋体" w:hAnsi="宋体" w:hint="eastAsia"/>
          <w:color w:val="000000" w:themeColor="text1"/>
        </w:rPr>
        <w:t>政府补助</w:t>
      </w:r>
    </w:p>
    <w:p w:rsidR="000C5659" w:rsidRDefault="000E33C4" w:rsidP="000743DD">
      <w:pPr>
        <w:pStyle w:val="Style163"/>
        <w:numPr>
          <w:ilvl w:val="0"/>
          <w:numId w:val="101"/>
        </w:numPr>
        <w:ind w:left="0" w:firstLine="0"/>
        <w:rPr>
          <w:color w:val="000000" w:themeColor="text1"/>
        </w:rPr>
      </w:pPr>
      <w:r>
        <w:rPr>
          <w:color w:val="000000" w:themeColor="text1"/>
        </w:rPr>
        <w:t>报告期末按应收金额确认的政府补助</w:t>
      </w:r>
    </w:p>
    <w:sdt>
      <w:sdtPr>
        <w:rPr>
          <w:color w:val="000000" w:themeColor="text1"/>
        </w:rPr>
        <w:alias w:val="是否适用：按应收金额确认的政府补助[双击切换]"/>
        <w:tag w:val="_GBC_3d18d31d14384adf9969b37c0463bdb6"/>
        <w:id w:val="-153480816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color w:val="000000" w:themeColor="text1"/>
        </w:rPr>
        <w:t>未能在预计时点收到预计金额的政府补助</w:t>
      </w:r>
      <w:r>
        <w:rPr>
          <w:rFonts w:hint="eastAsia"/>
          <w:color w:val="000000" w:themeColor="text1"/>
        </w:rPr>
        <w:t>的</w:t>
      </w:r>
      <w:r>
        <w:rPr>
          <w:color w:val="000000" w:themeColor="text1"/>
        </w:rPr>
        <w:t>原因</w:t>
      </w:r>
    </w:p>
    <w:sdt>
      <w:sdtPr>
        <w:rPr>
          <w:color w:val="000000" w:themeColor="text1"/>
        </w:rPr>
        <w:alias w:val="是否适用：未能在预计时点收到预计金额的政府补助的原因[双击切换]"/>
        <w:tag w:val="_GBC_e0b0850317ba480b8188bda150ebfb78"/>
        <w:id w:val="-4707842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01"/>
        </w:numPr>
        <w:ind w:left="0" w:firstLine="0"/>
        <w:rPr>
          <w:color w:val="000000" w:themeColor="text1"/>
        </w:rPr>
      </w:pPr>
      <w:r>
        <w:rPr>
          <w:color w:val="000000" w:themeColor="text1"/>
        </w:rPr>
        <w:t>涉及政府补助的负债项目</w:t>
      </w:r>
    </w:p>
    <w:sdt>
      <w:sdtPr>
        <w:rPr>
          <w:color w:val="000000" w:themeColor="text1"/>
        </w:rPr>
        <w:alias w:val="是否适用：涉及政府补助的负债项目[双击切换]"/>
        <w:tag w:val="_GBC_5b8cf655c53545cab80f75be728637c0"/>
        <w:id w:val="-148393365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涉及政府补助的负债项目"/>
          <w:tag w:val="_GBC_3f46f2e72def428785501464e8373dc7"/>
          <w:id w:val="80543909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涉及政府补助的负债项目"/>
          <w:tag w:val="_GBC_2061879c791b40ceb951bedd0f7334b3"/>
          <w:id w:val="658423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476"/>
        <w:gridCol w:w="921"/>
        <w:gridCol w:w="922"/>
        <w:gridCol w:w="1266"/>
        <w:gridCol w:w="922"/>
        <w:gridCol w:w="1476"/>
        <w:gridCol w:w="913"/>
      </w:tblGrid>
      <w:tr w:rsidR="000C5659">
        <w:sdt>
          <w:sdtPr>
            <w:rPr>
              <w:rFonts w:hint="eastAsia"/>
              <w:color w:val="000000" w:themeColor="text1"/>
            </w:rPr>
            <w:tag w:val="_PLD_69dbfe6de199442ba67fa4c2623ba343"/>
            <w:id w:val="240759207"/>
          </w:sdtPr>
          <w:sdtEndPr/>
          <w:sdtContent>
            <w:tc>
              <w:tcPr>
                <w:tcW w:w="537" w:type="pct"/>
                <w:shd w:val="clear" w:color="auto" w:fill="auto"/>
                <w:vAlign w:val="center"/>
              </w:tcPr>
              <w:p w:rsidR="000C5659" w:rsidRDefault="000E33C4">
                <w:pPr>
                  <w:jc w:val="center"/>
                  <w:rPr>
                    <w:color w:val="000000" w:themeColor="text1"/>
                  </w:rPr>
                </w:pPr>
                <w:r>
                  <w:rPr>
                    <w:rFonts w:hint="eastAsia"/>
                    <w:color w:val="000000" w:themeColor="text1"/>
                  </w:rPr>
                  <w:t>财务报表项目</w:t>
                </w:r>
              </w:p>
            </w:tc>
          </w:sdtContent>
        </w:sdt>
        <w:sdt>
          <w:sdtPr>
            <w:rPr>
              <w:rFonts w:hint="eastAsia"/>
              <w:color w:val="000000" w:themeColor="text1"/>
            </w:rPr>
            <w:tag w:val="_PLD_ed889bd262164e639c21bff48ded3a53"/>
            <w:id w:val="-1494488837"/>
          </w:sdtPr>
          <w:sdtEndPr/>
          <w:sdtContent>
            <w:tc>
              <w:tcPr>
                <w:tcW w:w="816" w:type="pct"/>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sdt>
          <w:sdtPr>
            <w:rPr>
              <w:color w:val="000000" w:themeColor="text1"/>
            </w:rPr>
            <w:tag w:val="_PLD_7052fd9610c24b8baab6d4bc81cd150d"/>
            <w:id w:val="1616940286"/>
          </w:sdtPr>
          <w:sdtEndPr/>
          <w:sdtContent>
            <w:tc>
              <w:tcPr>
                <w:tcW w:w="534" w:type="pct"/>
                <w:shd w:val="clear" w:color="auto" w:fill="auto"/>
                <w:vAlign w:val="center"/>
              </w:tcPr>
              <w:p w:rsidR="000C5659" w:rsidRDefault="000E33C4">
                <w:pPr>
                  <w:jc w:val="center"/>
                  <w:rPr>
                    <w:color w:val="000000" w:themeColor="text1"/>
                  </w:rPr>
                </w:pPr>
                <w:r>
                  <w:rPr>
                    <w:color w:val="000000" w:themeColor="text1"/>
                  </w:rPr>
                  <w:t>本期新增补助金额</w:t>
                </w:r>
              </w:p>
            </w:tc>
          </w:sdtContent>
        </w:sdt>
        <w:sdt>
          <w:sdtPr>
            <w:rPr>
              <w:color w:val="000000" w:themeColor="text1"/>
            </w:rPr>
            <w:tag w:val="_PLD_52c2e402043d4e31a35cf36007217038"/>
            <w:id w:val="1314606032"/>
          </w:sdtPr>
          <w:sdtEndPr/>
          <w:sdtContent>
            <w:tc>
              <w:tcPr>
                <w:tcW w:w="534" w:type="pct"/>
                <w:shd w:val="clear" w:color="auto" w:fill="auto"/>
                <w:vAlign w:val="center"/>
              </w:tcPr>
              <w:p w:rsidR="000C5659" w:rsidRDefault="000E33C4">
                <w:pPr>
                  <w:jc w:val="center"/>
                  <w:rPr>
                    <w:color w:val="000000" w:themeColor="text1"/>
                  </w:rPr>
                </w:pPr>
                <w:r>
                  <w:rPr>
                    <w:color w:val="000000" w:themeColor="text1"/>
                  </w:rPr>
                  <w:t>本期计入营业外收入金额</w:t>
                </w:r>
              </w:p>
            </w:tc>
          </w:sdtContent>
        </w:sdt>
        <w:sdt>
          <w:sdtPr>
            <w:rPr>
              <w:color w:val="000000" w:themeColor="text1"/>
            </w:rPr>
            <w:tag w:val="_PLD_54cb3f3d4b4b49b9913df5c05007eb61"/>
            <w:id w:val="-1145514013"/>
          </w:sdtPr>
          <w:sdtEndPr/>
          <w:sdtContent>
            <w:tc>
              <w:tcPr>
                <w:tcW w:w="700" w:type="pct"/>
                <w:vAlign w:val="center"/>
              </w:tcPr>
              <w:p w:rsidR="000C5659" w:rsidRDefault="000E33C4">
                <w:pPr>
                  <w:jc w:val="center"/>
                  <w:rPr>
                    <w:color w:val="000000" w:themeColor="text1"/>
                  </w:rPr>
                </w:pPr>
                <w:r>
                  <w:rPr>
                    <w:color w:val="000000" w:themeColor="text1"/>
                  </w:rPr>
                  <w:t>本期转入其他收益</w:t>
                </w:r>
              </w:p>
            </w:tc>
          </w:sdtContent>
        </w:sdt>
        <w:sdt>
          <w:sdtPr>
            <w:rPr>
              <w:rFonts w:hint="eastAsia"/>
              <w:color w:val="000000" w:themeColor="text1"/>
            </w:rPr>
            <w:tag w:val="_PLD_f8464a8361c140659dec395b64a565c0"/>
            <w:id w:val="-1704239710"/>
          </w:sdtPr>
          <w:sdtEndPr/>
          <w:sdtContent>
            <w:tc>
              <w:tcPr>
                <w:tcW w:w="534" w:type="pct"/>
                <w:vAlign w:val="center"/>
              </w:tcPr>
              <w:p w:rsidR="000C5659" w:rsidRDefault="000E33C4">
                <w:pPr>
                  <w:jc w:val="center"/>
                  <w:rPr>
                    <w:color w:val="000000" w:themeColor="text1"/>
                  </w:rPr>
                </w:pPr>
                <w:r>
                  <w:rPr>
                    <w:rFonts w:hint="eastAsia"/>
                    <w:color w:val="000000" w:themeColor="text1"/>
                  </w:rPr>
                  <w:t>本期其他变动</w:t>
                </w:r>
              </w:p>
            </w:tc>
          </w:sdtContent>
        </w:sdt>
        <w:sdt>
          <w:sdtPr>
            <w:rPr>
              <w:rFonts w:hint="eastAsia"/>
              <w:color w:val="000000" w:themeColor="text1"/>
            </w:rPr>
            <w:tag w:val="_PLD_abc368d2d0c7418dbd78f4f89cd037d5"/>
            <w:id w:val="1542329173"/>
          </w:sdtPr>
          <w:sdtEndPr/>
          <w:sdtContent>
            <w:tc>
              <w:tcPr>
                <w:tcW w:w="816" w:type="pct"/>
                <w:vAlign w:val="center"/>
              </w:tcPr>
              <w:p w:rsidR="000C5659" w:rsidRDefault="000E33C4">
                <w:pPr>
                  <w:jc w:val="center"/>
                  <w:rPr>
                    <w:color w:val="000000" w:themeColor="text1"/>
                  </w:rPr>
                </w:pPr>
                <w:r>
                  <w:rPr>
                    <w:rFonts w:hint="eastAsia"/>
                    <w:color w:val="000000" w:themeColor="text1"/>
                  </w:rPr>
                  <w:t>期末余额</w:t>
                </w:r>
              </w:p>
            </w:tc>
          </w:sdtContent>
        </w:sdt>
        <w:sdt>
          <w:sdtPr>
            <w:rPr>
              <w:rFonts w:hint="eastAsia"/>
              <w:color w:val="000000" w:themeColor="text1"/>
            </w:rPr>
            <w:tag w:val="_PLD_3ff2a65a79344d48808fa5737db3cb39"/>
            <w:id w:val="-369686585"/>
          </w:sdtPr>
          <w:sdtEndPr>
            <w:rPr>
              <w:rFonts w:hint="default"/>
            </w:rPr>
          </w:sdtEndPr>
          <w:sdtContent>
            <w:tc>
              <w:tcPr>
                <w:tcW w:w="530" w:type="pct"/>
                <w:vAlign w:val="center"/>
              </w:tcPr>
              <w:p w:rsidR="000C5659" w:rsidRDefault="000E33C4">
                <w:pPr>
                  <w:jc w:val="center"/>
                  <w:rPr>
                    <w:color w:val="000000" w:themeColor="text1"/>
                  </w:rPr>
                </w:pPr>
                <w:r>
                  <w:rPr>
                    <w:rFonts w:hint="eastAsia"/>
                    <w:color w:val="000000" w:themeColor="text1"/>
                  </w:rPr>
                  <w:t>与资产</w:t>
                </w:r>
                <w:r>
                  <w:rPr>
                    <w:color w:val="000000" w:themeColor="text1"/>
                  </w:rPr>
                  <w:t>/收益相关</w:t>
                </w:r>
              </w:p>
            </w:tc>
          </w:sdtContent>
        </w:sdt>
      </w:tr>
      <w:tr w:rsidR="000C5659">
        <w:tc>
          <w:tcPr>
            <w:tcW w:w="537" w:type="pct"/>
            <w:shd w:val="clear" w:color="auto" w:fill="auto"/>
            <w:vAlign w:val="center"/>
          </w:tcPr>
          <w:p w:rsidR="000C5659" w:rsidRDefault="000E33C4">
            <w:pPr>
              <w:pStyle w:val="Style325"/>
            </w:pPr>
            <w:r>
              <w:rPr>
                <w:rFonts w:hint="eastAsia"/>
                <w:color w:val="000000"/>
              </w:rPr>
              <w:t>递延收益</w:t>
            </w:r>
          </w:p>
        </w:tc>
        <w:tc>
          <w:tcPr>
            <w:tcW w:w="816" w:type="pct"/>
            <w:shd w:val="clear" w:color="auto" w:fill="auto"/>
            <w:vAlign w:val="center"/>
          </w:tcPr>
          <w:p w:rsidR="000C5659" w:rsidRDefault="000E33C4">
            <w:pPr>
              <w:jc w:val="right"/>
            </w:pPr>
            <w:r>
              <w:rPr>
                <w:rFonts w:hint="eastAsia"/>
                <w:color w:val="000000"/>
              </w:rPr>
              <w:t>6,513,666.02</w:t>
            </w:r>
          </w:p>
        </w:tc>
        <w:tc>
          <w:tcPr>
            <w:tcW w:w="534" w:type="pct"/>
            <w:shd w:val="clear" w:color="auto" w:fill="auto"/>
            <w:vAlign w:val="center"/>
          </w:tcPr>
          <w:p w:rsidR="000C5659" w:rsidRDefault="000E33C4">
            <w:pPr>
              <w:jc w:val="right"/>
            </w:pPr>
            <w:r>
              <w:rPr>
                <w:rFonts w:hint="eastAsia"/>
                <w:color w:val="000000"/>
              </w:rPr>
              <w:t xml:space="preserve">　</w:t>
            </w:r>
          </w:p>
        </w:tc>
        <w:tc>
          <w:tcPr>
            <w:tcW w:w="534" w:type="pct"/>
            <w:shd w:val="clear" w:color="auto" w:fill="auto"/>
            <w:vAlign w:val="center"/>
          </w:tcPr>
          <w:p w:rsidR="000C5659" w:rsidRDefault="000E33C4">
            <w:pPr>
              <w:jc w:val="right"/>
            </w:pPr>
            <w:r>
              <w:rPr>
                <w:rFonts w:hint="eastAsia"/>
                <w:color w:val="000000"/>
              </w:rPr>
              <w:t xml:space="preserve">　</w:t>
            </w:r>
          </w:p>
        </w:tc>
        <w:tc>
          <w:tcPr>
            <w:tcW w:w="700" w:type="pct"/>
            <w:vAlign w:val="center"/>
          </w:tcPr>
          <w:p w:rsidR="000C5659" w:rsidRDefault="000E33C4">
            <w:pPr>
              <w:jc w:val="right"/>
            </w:pPr>
            <w:r>
              <w:rPr>
                <w:rFonts w:hint="eastAsia"/>
                <w:color w:val="000000"/>
              </w:rPr>
              <w:t>274,195.48</w:t>
            </w:r>
          </w:p>
        </w:tc>
        <w:tc>
          <w:tcPr>
            <w:tcW w:w="534" w:type="pct"/>
            <w:vAlign w:val="center"/>
          </w:tcPr>
          <w:p w:rsidR="000C5659" w:rsidRDefault="000E33C4">
            <w:pPr>
              <w:jc w:val="right"/>
            </w:pPr>
            <w:r>
              <w:rPr>
                <w:rFonts w:hint="eastAsia"/>
                <w:color w:val="000000"/>
              </w:rPr>
              <w:t xml:space="preserve">　</w:t>
            </w:r>
          </w:p>
        </w:tc>
        <w:tc>
          <w:tcPr>
            <w:tcW w:w="816" w:type="pct"/>
            <w:vAlign w:val="center"/>
          </w:tcPr>
          <w:p w:rsidR="000C5659" w:rsidRDefault="000E33C4">
            <w:pPr>
              <w:jc w:val="right"/>
            </w:pPr>
            <w:r>
              <w:rPr>
                <w:rFonts w:hint="eastAsia"/>
                <w:color w:val="000000"/>
              </w:rPr>
              <w:t>6,239,470.54</w:t>
            </w:r>
          </w:p>
        </w:tc>
        <w:tc>
          <w:tcPr>
            <w:tcW w:w="530" w:type="pct"/>
            <w:vAlign w:val="center"/>
          </w:tcPr>
          <w:p w:rsidR="000C5659" w:rsidRDefault="000E33C4">
            <w:pPr>
              <w:pStyle w:val="Style325"/>
            </w:pPr>
            <w:r>
              <w:rPr>
                <w:rFonts w:hint="eastAsia"/>
                <w:color w:val="000000"/>
              </w:rPr>
              <w:t>与资产相关</w:t>
            </w:r>
          </w:p>
        </w:tc>
      </w:tr>
      <w:tr w:rsidR="000C5659">
        <w:tc>
          <w:tcPr>
            <w:tcW w:w="5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color w:val="000000" w:themeColor="text1"/>
              </w:rPr>
              <w:t>合计</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6,513,666.02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C5659">
            <w:pPr>
              <w:jc w:val="right"/>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C5659">
            <w:pPr>
              <w:jc w:val="right"/>
            </w:pPr>
          </w:p>
        </w:tc>
        <w:tc>
          <w:tcPr>
            <w:tcW w:w="700"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t>274,195.48</w:t>
            </w:r>
          </w:p>
        </w:tc>
        <w:tc>
          <w:tcPr>
            <w:tcW w:w="534"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8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t>6,239,470.54</w:t>
            </w:r>
          </w:p>
        </w:tc>
        <w:tc>
          <w:tcPr>
            <w:tcW w:w="530"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w:t>
            </w:r>
          </w:p>
        </w:tc>
      </w:tr>
    </w:tbl>
    <w:p w:rsidR="000C5659" w:rsidRDefault="000C5659">
      <w:pPr>
        <w:rPr>
          <w:color w:val="000000" w:themeColor="text1"/>
        </w:rPr>
      </w:pPr>
    </w:p>
    <w:p w:rsidR="000C5659" w:rsidRDefault="000E33C4" w:rsidP="000743DD">
      <w:pPr>
        <w:pStyle w:val="Style163"/>
        <w:numPr>
          <w:ilvl w:val="0"/>
          <w:numId w:val="101"/>
        </w:numPr>
        <w:ind w:left="0" w:firstLine="0"/>
        <w:rPr>
          <w:rFonts w:cs="宋体"/>
          <w:color w:val="000000" w:themeColor="text1"/>
          <w:kern w:val="0"/>
          <w:szCs w:val="24"/>
        </w:rPr>
      </w:pPr>
      <w:bookmarkStart w:id="360" w:name="_Hlk153267407"/>
      <w:r>
        <w:rPr>
          <w:rFonts w:cs="宋体" w:hint="eastAsia"/>
          <w:color w:val="000000" w:themeColor="text1"/>
          <w:kern w:val="0"/>
          <w:szCs w:val="24"/>
        </w:rPr>
        <w:t>计入当期</w:t>
      </w:r>
      <w:r>
        <w:rPr>
          <w:rFonts w:ascii="宋体" w:hAnsi="宋体" w:cs="宋体" w:hint="eastAsia"/>
          <w:color w:val="000000" w:themeColor="text1"/>
          <w:kern w:val="0"/>
          <w:szCs w:val="24"/>
        </w:rPr>
        <w:t>损益</w:t>
      </w:r>
      <w:r>
        <w:rPr>
          <w:rFonts w:cs="宋体" w:hint="eastAsia"/>
          <w:color w:val="000000" w:themeColor="text1"/>
          <w:kern w:val="0"/>
          <w:szCs w:val="24"/>
        </w:rPr>
        <w:t>的政府补助</w:t>
      </w:r>
    </w:p>
    <w:sdt>
      <w:sdtPr>
        <w:rPr>
          <w:rStyle w:val="Style260"/>
          <w:rFonts w:ascii="宋体" w:hAnsi="宋体"/>
          <w:b w:val="0"/>
          <w:color w:val="000000" w:themeColor="text1"/>
          <w:szCs w:val="21"/>
        </w:rPr>
        <w:alias w:val="是否适用：计入当期损益的政府补助[双击切换]"/>
        <w:tag w:val="_GBC_01aefe636f4f4e8b8752cf8841e143f6"/>
        <w:id w:val="-1589926353"/>
        <w:placeholder>
          <w:docPart w:val="GBC22222222222222222222222222222"/>
        </w:placeholder>
      </w:sdtPr>
      <w:sdtEndPr>
        <w:rPr>
          <w:rStyle w:val="Style260"/>
        </w:rPr>
      </w:sdtEndPr>
      <w:sdtContent>
        <w:p w:rsidR="000C5659" w:rsidRDefault="000E33C4">
          <w:pPr>
            <w:rPr>
              <w:rStyle w:val="Style260"/>
              <w:rFonts w:ascii="宋体" w:hAnsi="宋体"/>
              <w:b w:val="0"/>
              <w:color w:val="000000" w:themeColor="text1"/>
              <w:szCs w:val="21"/>
            </w:rPr>
          </w:pPr>
          <w:r>
            <w:rPr>
              <w:rStyle w:val="Style260"/>
              <w:rFonts w:ascii="宋体" w:hAnsi="宋体"/>
              <w:b w:val="0"/>
              <w:color w:val="000000" w:themeColor="text1"/>
              <w:szCs w:val="21"/>
            </w:rPr>
            <w:fldChar w:fldCharType="begin"/>
          </w:r>
          <w:r>
            <w:rPr>
              <w:rStyle w:val="Style260"/>
              <w:rFonts w:ascii="宋体" w:hAnsi="宋体"/>
              <w:b w:val="0"/>
              <w:color w:val="000000" w:themeColor="text1"/>
              <w:szCs w:val="21"/>
            </w:rPr>
            <w:instrText xml:space="preserve">MACROBUTTON  SnrToggleCheckbox √适用 </w:instrText>
          </w:r>
          <w:r>
            <w:rPr>
              <w:rStyle w:val="Style260"/>
              <w:rFonts w:ascii="宋体" w:hAnsi="宋体"/>
              <w:b w:val="0"/>
              <w:color w:val="000000" w:themeColor="text1"/>
              <w:szCs w:val="21"/>
            </w:rPr>
            <w:fldChar w:fldCharType="end"/>
          </w:r>
          <w:r>
            <w:rPr>
              <w:rStyle w:val="Style260"/>
              <w:rFonts w:ascii="宋体" w:hAnsi="宋体"/>
              <w:b w:val="0"/>
              <w:color w:val="000000" w:themeColor="text1"/>
              <w:szCs w:val="21"/>
            </w:rPr>
            <w:fldChar w:fldCharType="begin"/>
          </w:r>
          <w:r>
            <w:rPr>
              <w:rStyle w:val="Style260"/>
              <w:rFonts w:ascii="宋体" w:hAnsi="宋体"/>
              <w:b w:val="0"/>
              <w:color w:val="000000" w:themeColor="text1"/>
              <w:szCs w:val="21"/>
            </w:rPr>
            <w:instrText xml:space="preserve"> MACROBUTTON  SnrToggleCheckbox □不适用 </w:instrText>
          </w:r>
          <w:r>
            <w:rPr>
              <w:rStyle w:val="Style260"/>
              <w:rFonts w:ascii="宋体" w:hAnsi="宋体"/>
              <w:b w:val="0"/>
              <w:color w:val="000000" w:themeColor="text1"/>
              <w:szCs w:val="21"/>
            </w:rPr>
            <w:fldChar w:fldCharType="end"/>
          </w:r>
        </w:p>
      </w:sdtContent>
    </w:sdt>
    <w:p w:rsidR="000C5659" w:rsidRDefault="000E33C4">
      <w:pPr>
        <w:jc w:val="right"/>
        <w:rPr>
          <w:color w:val="000000" w:themeColor="text1"/>
        </w:rPr>
      </w:pPr>
      <w:r>
        <w:rPr>
          <w:rFonts w:hint="eastAsia"/>
          <w:color w:val="000000" w:themeColor="text1"/>
        </w:rPr>
        <w:t xml:space="preserve"> 单位：</w:t>
      </w:r>
      <w:sdt>
        <w:sdtPr>
          <w:rPr>
            <w:rFonts w:hint="eastAsia"/>
            <w:color w:val="000000" w:themeColor="text1"/>
          </w:rPr>
          <w:alias w:val="单位：财务附注：计入当期损益的政府补助"/>
          <w:tag w:val="_GBC_87984e2b7f344109836efe6282c2894b"/>
          <w:id w:val="-9234923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计入当期损益的政府补助"/>
          <w:tag w:val="_GBC_105736a35c964ea1b5378bede4faea2f"/>
          <w:id w:val="14508209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799"/>
        <w:gridCol w:w="3012"/>
        <w:gridCol w:w="3012"/>
      </w:tblGrid>
      <w:tr w:rsidR="000C5659">
        <w:trPr>
          <w:trHeight w:val="556"/>
          <w:jc w:val="center"/>
        </w:trPr>
        <w:sdt>
          <w:sdtPr>
            <w:rPr>
              <w:color w:val="000000" w:themeColor="text1"/>
            </w:rPr>
            <w:tag w:val="_PLD_4e0950c6d44c4f6c93412dd988ce84f3"/>
            <w:id w:val="165683723"/>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类型</w:t>
                </w:r>
              </w:p>
            </w:tc>
          </w:sdtContent>
        </w:sdt>
        <w:sdt>
          <w:sdtPr>
            <w:rPr>
              <w:color w:val="000000" w:themeColor="text1"/>
            </w:rPr>
            <w:tag w:val="_PLD_b137547e48b242d2a32ab92cdeb61433"/>
            <w:id w:val="1414891044"/>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color w:val="000000" w:themeColor="text1"/>
                  </w:rPr>
                  <w:t>本期发生额</w:t>
                </w:r>
              </w:p>
            </w:tc>
          </w:sdtContent>
        </w:sdt>
        <w:sdt>
          <w:sdtPr>
            <w:rPr>
              <w:color w:val="000000" w:themeColor="text1"/>
            </w:rPr>
            <w:tag w:val="_PLD_b1f0e1514b364efda3d03053bbe4e90c"/>
            <w:id w:val="2090033045"/>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color w:val="000000" w:themeColor="text1"/>
                  </w:rPr>
                  <w:t>上期发生额</w:t>
                </w:r>
              </w:p>
            </w:tc>
          </w:sdtContent>
        </w:sdt>
      </w:tr>
      <w:tr w:rsidR="000C5659">
        <w:trPr>
          <w:jc w:val="center"/>
        </w:trPr>
        <w:sdt>
          <w:sdtPr>
            <w:rPr>
              <w:color w:val="000000" w:themeColor="text1"/>
            </w:rPr>
            <w:alias w:val="计入当期损益的政府补助项目名称"/>
            <w:tag w:val="_GBC_a983426201404cbea85ab6577f8d9056"/>
            <w:id w:val="744604897"/>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0C5659" w:rsidRDefault="00B708C8">
                <w:pPr>
                  <w:rPr>
                    <w:color w:val="000000" w:themeColor="text1"/>
                  </w:rPr>
                </w:pPr>
                <w:r>
                  <w:rPr>
                    <w:rFonts w:hint="eastAsia"/>
                    <w:color w:val="000000" w:themeColor="text1"/>
                  </w:rPr>
                  <w:t>与资产相关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274,195.48</w:t>
            </w:r>
          </w:p>
        </w:tc>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205,068.76</w:t>
            </w:r>
          </w:p>
        </w:tc>
      </w:tr>
      <w:tr w:rsidR="000C5659">
        <w:trPr>
          <w:jc w:val="center"/>
        </w:trPr>
        <w:sdt>
          <w:sdtPr>
            <w:rPr>
              <w:color w:val="000000" w:themeColor="text1"/>
            </w:rPr>
            <w:alias w:val="计入当期损益的政府补助项目名称"/>
            <w:tag w:val="_GBC_a983426201404cbea85ab6577f8d9056"/>
            <w:id w:val="1668127594"/>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0C5659" w:rsidRDefault="00B708C8">
                <w:pPr>
                  <w:rPr>
                    <w:color w:val="000000" w:themeColor="text1"/>
                  </w:rPr>
                </w:pPr>
                <w:r>
                  <w:rPr>
                    <w:rFonts w:hint="eastAsia"/>
                    <w:color w:val="000000" w:themeColor="text1"/>
                  </w:rP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 xml:space="preserve">2,226,548.18 </w:t>
            </w:r>
          </w:p>
        </w:tc>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 xml:space="preserve">1,561,325.83 </w:t>
            </w:r>
          </w:p>
        </w:tc>
      </w:tr>
      <w:tr w:rsidR="000C5659">
        <w:trPr>
          <w:jc w:val="center"/>
        </w:trPr>
        <w:tc>
          <w:tcPr>
            <w:tcW w:w="158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2,500,743.66</w:t>
            </w:r>
          </w:p>
        </w:tc>
        <w:tc>
          <w:tcPr>
            <w:tcW w:w="1707"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color w:val="000000"/>
              </w:rPr>
              <w:t>1,766,394.59</w:t>
            </w:r>
          </w:p>
        </w:tc>
      </w:tr>
    </w:tbl>
    <w:p w:rsidR="000C5659" w:rsidRDefault="000C5659">
      <w:pPr>
        <w:rPr>
          <w:color w:val="000000" w:themeColor="text1"/>
        </w:rPr>
      </w:pPr>
    </w:p>
    <w:p w:rsidR="000C5659" w:rsidRDefault="000E33C4">
      <w:pPr>
        <w:rPr>
          <w:color w:val="000000" w:themeColor="text1"/>
        </w:rPr>
      </w:pPr>
      <w:bookmarkStart w:id="361" w:name="_Hlk153267868"/>
      <w:bookmarkEnd w:id="360"/>
      <w:r>
        <w:rPr>
          <w:rFonts w:hint="eastAsia"/>
          <w:color w:val="000000" w:themeColor="text1"/>
        </w:rPr>
        <w:t>其他说明：</w:t>
      </w:r>
    </w:p>
    <w:p w:rsidR="000C5659" w:rsidRDefault="00220B84">
      <w:pPr>
        <w:rPr>
          <w:color w:val="000000" w:themeColor="text1"/>
        </w:rPr>
      </w:pPr>
      <w:sdt>
        <w:sdtPr>
          <w:rPr>
            <w:color w:val="000000" w:themeColor="text1"/>
          </w:rPr>
          <w:alias w:val="政府补助说明"/>
          <w:tag w:val="_GBC_2db67f97ef974f8db75ebfb04517ea6f"/>
          <w:id w:val="-1815027652"/>
          <w:placeholder>
            <w:docPart w:val="GBC22222222222222222222222222222"/>
          </w:placeholder>
        </w:sdtPr>
        <w:sdtEndPr/>
        <w:sdtContent>
          <w:r w:rsidR="000E33C4">
            <w:rPr>
              <w:rFonts w:hint="eastAsia"/>
              <w:color w:val="000000" w:themeColor="text1"/>
            </w:rPr>
            <w:t>无</w:t>
          </w:r>
        </w:sdtContent>
      </w:sdt>
    </w:p>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bookmarkStart w:id="362" w:name="_Hlk167976349"/>
      <w:bookmarkEnd w:id="359"/>
      <w:bookmarkEnd w:id="361"/>
      <w:r>
        <w:rPr>
          <w:rFonts w:ascii="宋体" w:hAnsi="宋体" w:hint="eastAsia"/>
          <w:color w:val="000000" w:themeColor="text1"/>
        </w:rPr>
        <w:t>与金融工具相关的风险</w:t>
      </w:r>
    </w:p>
    <w:p w:rsidR="000C5659" w:rsidRDefault="000E33C4" w:rsidP="000743DD">
      <w:pPr>
        <w:pStyle w:val="Style163"/>
        <w:numPr>
          <w:ilvl w:val="0"/>
          <w:numId w:val="102"/>
        </w:numPr>
        <w:ind w:left="425" w:hanging="425"/>
        <w:rPr>
          <w:color w:val="000000" w:themeColor="text1"/>
        </w:rPr>
      </w:pPr>
      <w:r>
        <w:rPr>
          <w:rFonts w:hint="eastAsia"/>
          <w:color w:val="000000" w:themeColor="text1"/>
        </w:rPr>
        <w:t>金融工具的风险</w:t>
      </w:r>
    </w:p>
    <w:p w:rsidR="00C83B86" w:rsidRDefault="00220B84" w:rsidP="00C83B86">
      <w:pPr>
        <w:tabs>
          <w:tab w:val="left" w:pos="2935"/>
        </w:tabs>
        <w:rPr>
          <w:color w:val="000000" w:themeColor="text1"/>
        </w:rPr>
      </w:pPr>
      <w:sdt>
        <w:sdtPr>
          <w:rPr>
            <w:color w:val="000000" w:themeColor="text1"/>
          </w:rPr>
          <w:alias w:val="是否适用：与金融工具相关的风险[双击切换]"/>
          <w:tag w:val="_GBC_e1cf17d3b39745d798050adfebdd2723"/>
          <w:id w:val="-653905185"/>
          <w:placeholder>
            <w:docPart w:val="GBC22222222222222222222222222222"/>
          </w:placeholder>
        </w:sdtPr>
        <w:sdtEndPr/>
        <w:sdtContent>
          <w:r w:rsidR="000E33C4">
            <w:rPr>
              <w:color w:val="000000" w:themeColor="text1"/>
            </w:rPr>
            <w:fldChar w:fldCharType="begin"/>
          </w:r>
          <w:r w:rsidR="00C83B86">
            <w:rPr>
              <w:color w:val="000000" w:themeColor="text1"/>
            </w:rPr>
            <w:instrText xml:space="preserve">MACROBUTTON  SnrToggleCheckbox √适用 </w:instrText>
          </w:r>
          <w:r w:rsidR="000E33C4">
            <w:rPr>
              <w:color w:val="000000" w:themeColor="text1"/>
            </w:rPr>
            <w:fldChar w:fldCharType="end"/>
          </w:r>
          <w:r w:rsidR="000E33C4">
            <w:rPr>
              <w:color w:val="000000" w:themeColor="text1"/>
            </w:rPr>
            <w:fldChar w:fldCharType="begin"/>
          </w:r>
          <w:r w:rsidR="00C83B86">
            <w:rPr>
              <w:color w:val="000000" w:themeColor="text1"/>
            </w:rPr>
            <w:instrText xml:space="preserve"> MACROBUTTON  SnrToggleCheckbox □不适用 </w:instrText>
          </w:r>
          <w:r w:rsidR="000E33C4">
            <w:rPr>
              <w:color w:val="000000" w:themeColor="text1"/>
            </w:rPr>
            <w:fldChar w:fldCharType="end"/>
          </w:r>
        </w:sdtContent>
      </w:sdt>
    </w:p>
    <w:sdt>
      <w:sdtPr>
        <w:rPr>
          <w:color w:val="000000" w:themeColor="text1"/>
        </w:rPr>
        <w:alias w:val="与金融工具相关的风险"/>
        <w:tag w:val="_GBC_a654575471934b06b0c3b91a6a980434"/>
        <w:id w:val="-1873985921"/>
        <w:placeholder>
          <w:docPart w:val="E7477B8AF30F4EC4A4DB132C7468E6A5"/>
        </w:placeholder>
      </w:sdtPr>
      <w:sdtEndPr>
        <w:rPr>
          <w:b/>
        </w:rPr>
      </w:sdtEndPr>
      <w:sdtContent>
        <w:p w:rsidR="00C83B86" w:rsidRDefault="00C83B86" w:rsidP="00C83B86">
          <w:pPr>
            <w:rPr>
              <w:b/>
            </w:rPr>
          </w:pPr>
          <w:r>
            <w:rPr>
              <w:rFonts w:hint="eastAsia"/>
            </w:rPr>
            <w:t>金融工具产生的各类风险</w:t>
          </w:r>
        </w:p>
        <w:p w:rsidR="00C83B86" w:rsidRDefault="00C83B86" w:rsidP="00C83B86">
          <w:r>
            <w:rPr>
              <w:rFonts w:hint="eastAsia"/>
            </w:rPr>
            <w:t>本公司在经营过程中面临各种金融风险：信用风险、流动性风险和市场风险（包括汇率风险、利率风险和其他价格风险）。上述金融风险以及本公司为降低这些风险所采取的风险管理政策如下所述</w:t>
          </w:r>
          <w:r>
            <w:t xml:space="preserve"> </w:t>
          </w:r>
          <w:r>
            <w:rPr>
              <w:rFonts w:hint="eastAsia"/>
            </w:rPr>
            <w:t>：</w:t>
          </w:r>
        </w:p>
        <w:p w:rsidR="00C83B86" w:rsidRDefault="00C83B86" w:rsidP="00C83B86">
          <w:r>
            <w:rPr>
              <w:rFonts w:hint="eastAsia"/>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w:t>
          </w:r>
        </w:p>
        <w:p w:rsidR="00C83B86" w:rsidRDefault="00C83B86" w:rsidP="00C83B86">
          <w:r>
            <w:rPr>
              <w:rFonts w:hint="eastAsia"/>
            </w:rPr>
            <w:t>本公司通过适当的多样化投资及业务组合来分散金融工具风险，并通过制定相应的风险管理政策减少集中于单一行业、特定地区或特定交易对手的风险。</w:t>
          </w:r>
        </w:p>
        <w:p w:rsidR="00C83B86" w:rsidRDefault="00C83B86" w:rsidP="00C83B86">
          <w:pPr>
            <w:rPr>
              <w:b/>
            </w:rPr>
          </w:pPr>
          <w:r>
            <w:t>1</w:t>
          </w:r>
          <w:r>
            <w:rPr>
              <w:rFonts w:hint="eastAsia"/>
            </w:rPr>
            <w:t>、</w:t>
          </w:r>
          <w:r>
            <w:t>信用风险</w:t>
          </w:r>
        </w:p>
        <w:p w:rsidR="00C83B86" w:rsidRDefault="00C83B86" w:rsidP="00C83B86">
          <w:r>
            <w:rPr>
              <w:rFonts w:hint="eastAsia"/>
            </w:rPr>
            <w:lastRenderedPageBreak/>
            <w:t>信用风险是指交易对手未能履行合同义务而导致本公司发生财务损失的风险。</w:t>
          </w:r>
        </w:p>
        <w:p w:rsidR="00C83B86" w:rsidRDefault="00C83B86" w:rsidP="00C83B86">
          <w:r>
            <w:rPr>
              <w:rFonts w:hint="eastAsia"/>
            </w:rPr>
            <w:t>本公司信用风险主要产生于由于赊销导致的客户信用风险，公司建立客户档案跟踪和管理客户信用风险，并且通过对客户资信评价结果对客户进行分级，并对不同的客户资信评价等级制定不同的信用政策和销售政策。</w:t>
          </w:r>
        </w:p>
        <w:p w:rsidR="00C83B86" w:rsidRDefault="00C83B86" w:rsidP="00C83B86">
          <w:r>
            <w:rPr>
              <w:rFonts w:hint="eastAsia"/>
            </w:rPr>
            <w:t>并且公司通过对已有客户的应收账款账龄分析的定期审核来确保公司的整体信用风险在可控的范围内。</w:t>
          </w:r>
        </w:p>
        <w:p w:rsidR="00C83B86" w:rsidRDefault="00C83B86" w:rsidP="00C83B86">
          <w:r>
            <w:rPr>
              <w:rFonts w:hint="eastAsia"/>
            </w:rPr>
            <w:t>本公司货币资金、结构性存款及理财产品主要为存放于声誉良好并拥有较高信用评级的国有银行和其他大中型银行的银行存款，本公司认为其不存在重大的信用风险，几乎不会产生因银行违约而导致的重大损失。</w:t>
          </w:r>
        </w:p>
        <w:p w:rsidR="00C83B86" w:rsidRDefault="00C83B86" w:rsidP="00C83B86">
          <w:r>
            <w:t>2</w:t>
          </w:r>
          <w:r>
            <w:rPr>
              <w:rFonts w:hint="eastAsia"/>
            </w:rPr>
            <w:t>、</w:t>
          </w:r>
          <w:r>
            <w:t>流动性风险</w:t>
          </w:r>
        </w:p>
        <w:p w:rsidR="00C83B86" w:rsidRDefault="00C83B86" w:rsidP="00C83B86">
          <w:r>
            <w:rPr>
              <w:rFonts w:hint="eastAsia"/>
            </w:rPr>
            <w:t>流动性风险是指企业在履行以交付现金或其他金融资产的方式结算的义务时发生资金短缺的风险。</w:t>
          </w:r>
        </w:p>
        <w:p w:rsidR="00C83B86" w:rsidRDefault="00C83B86" w:rsidP="00C83B86">
          <w:r>
            <w:rPr>
              <w:rFonts w:hint="eastAsia"/>
            </w:rPr>
            <w:t>本公司的政策是确保拥有充足的现金以偿还到期债务。流动性风险由本公司的财务部门集中控制。财务部门通过监控现金余额、可随时变现的有价证券以及对未来12个月现金流量的滚动预测，确保公司在所有合理预测的情况下拥有充足的资金偿还债务。同时持续监控公司是否符合借款协议的规定，从主要金融机构获得提供足够备用资金的承诺，以满足短期和长期的资金需求。本公司各项金融负债以未折现的合同现金流量按到期日列示如下：</w:t>
          </w:r>
        </w:p>
        <w:tbl>
          <w:tblPr>
            <w:tblStyle w:val="g4"/>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05"/>
            <w:gridCol w:w="1519"/>
            <w:gridCol w:w="552"/>
            <w:gridCol w:w="1383"/>
            <w:gridCol w:w="1657"/>
            <w:gridCol w:w="1532"/>
          </w:tblGrid>
          <w:tr w:rsidR="00C83B86" w:rsidTr="00C83B86">
            <w:tc>
              <w:tcPr>
                <w:tcW w:w="382" w:type="pct"/>
                <w:vMerge w:val="restart"/>
              </w:tcPr>
              <w:p w:rsidR="00C83B86" w:rsidRDefault="00C83B86" w:rsidP="00C83B86">
                <w:pPr>
                  <w:rPr>
                    <w:rFonts w:asciiTheme="minorEastAsia" w:eastAsiaTheme="minorEastAsia" w:hAnsiTheme="minorEastAsia"/>
                  </w:rPr>
                </w:pPr>
                <w:bookmarkStart w:id="363" w:name="RANGE!A5:H14"/>
                <w:r>
                  <w:rPr>
                    <w:rFonts w:asciiTheme="minorEastAsia" w:eastAsiaTheme="minorEastAsia" w:hAnsiTheme="minorEastAsia" w:hint="eastAsia"/>
                  </w:rPr>
                  <w:t>项目</w:t>
                </w:r>
                <w:bookmarkEnd w:id="363"/>
              </w:p>
            </w:tc>
            <w:tc>
              <w:tcPr>
                <w:tcW w:w="4618" w:type="pct"/>
                <w:gridSpan w:val="6"/>
              </w:tcPr>
              <w:p w:rsidR="00C83B86" w:rsidRDefault="00C83B86" w:rsidP="00C83B86">
                <w:pPr>
                  <w:jc w:val="center"/>
                  <w:rPr>
                    <w:rFonts w:asciiTheme="minorEastAsia" w:eastAsiaTheme="minorEastAsia" w:hAnsiTheme="minorEastAsia"/>
                  </w:rPr>
                </w:pPr>
                <w:r>
                  <w:rPr>
                    <w:rFonts w:asciiTheme="minorEastAsia" w:eastAsiaTheme="minorEastAsia" w:hAnsiTheme="minorEastAsia" w:hint="eastAsia"/>
                  </w:rPr>
                  <w:t>期末余额</w:t>
                </w:r>
              </w:p>
            </w:tc>
          </w:tr>
          <w:tr w:rsidR="00C83B86" w:rsidTr="00C83B86">
            <w:tc>
              <w:tcPr>
                <w:tcW w:w="382" w:type="pct"/>
                <w:vMerge/>
              </w:tcPr>
              <w:p w:rsidR="00C83B86" w:rsidRDefault="00C83B86" w:rsidP="00C83B86">
                <w:pPr>
                  <w:rPr>
                    <w:rFonts w:asciiTheme="minorEastAsia" w:eastAsiaTheme="minorEastAsia" w:hAnsiTheme="minorEastAsia"/>
                  </w:rPr>
                </w:pPr>
              </w:p>
            </w:tc>
            <w:tc>
              <w:tcPr>
                <w:tcW w:w="853"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1年以内</w:t>
                </w:r>
              </w:p>
            </w:tc>
            <w:tc>
              <w:tcPr>
                <w:tcW w:w="861"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1-2年</w:t>
                </w:r>
              </w:p>
            </w:tc>
            <w:tc>
              <w:tcPr>
                <w:tcW w:w="313"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2-5年</w:t>
                </w:r>
              </w:p>
            </w:tc>
            <w:tc>
              <w:tcPr>
                <w:tcW w:w="784"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5年以上</w:t>
                </w:r>
              </w:p>
            </w:tc>
            <w:tc>
              <w:tcPr>
                <w:tcW w:w="939"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未折现合同金额合计</w:t>
                </w:r>
              </w:p>
            </w:tc>
            <w:tc>
              <w:tcPr>
                <w:tcW w:w="868"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账面价值</w:t>
                </w:r>
              </w:p>
            </w:tc>
          </w:tr>
          <w:tr w:rsidR="00C83B86" w:rsidTr="00C83B86">
            <w:tc>
              <w:tcPr>
                <w:tcW w:w="382"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短期借款</w:t>
                </w:r>
              </w:p>
            </w:tc>
            <w:tc>
              <w:tcPr>
                <w:tcW w:w="85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387,839,148.26</w:t>
                </w:r>
              </w:p>
            </w:tc>
            <w:tc>
              <w:tcPr>
                <w:tcW w:w="861"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31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784"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939"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387,839,148.26</w:t>
                </w:r>
              </w:p>
            </w:tc>
            <w:tc>
              <w:tcPr>
                <w:tcW w:w="868"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387,839,148.26</w:t>
                </w:r>
              </w:p>
            </w:tc>
          </w:tr>
          <w:tr w:rsidR="00C83B86" w:rsidTr="00C83B86">
            <w:tc>
              <w:tcPr>
                <w:tcW w:w="382"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应付票据</w:t>
                </w:r>
              </w:p>
            </w:tc>
            <w:tc>
              <w:tcPr>
                <w:tcW w:w="85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82,203,494.89</w:t>
                </w:r>
              </w:p>
            </w:tc>
            <w:tc>
              <w:tcPr>
                <w:tcW w:w="861"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31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784"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939"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82,203,494.89</w:t>
                </w:r>
              </w:p>
            </w:tc>
            <w:tc>
              <w:tcPr>
                <w:tcW w:w="868"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82,203,494.89</w:t>
                </w:r>
              </w:p>
            </w:tc>
          </w:tr>
          <w:tr w:rsidR="00C83B86" w:rsidTr="00C83B86">
            <w:tc>
              <w:tcPr>
                <w:tcW w:w="382"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应付账款</w:t>
                </w:r>
              </w:p>
            </w:tc>
            <w:tc>
              <w:tcPr>
                <w:tcW w:w="85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142,699,041.67</w:t>
                </w:r>
              </w:p>
            </w:tc>
            <w:tc>
              <w:tcPr>
                <w:tcW w:w="861"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31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784"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939"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142,699,041.67</w:t>
                </w:r>
              </w:p>
            </w:tc>
            <w:tc>
              <w:tcPr>
                <w:tcW w:w="868"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142,699,041.67</w:t>
                </w:r>
              </w:p>
            </w:tc>
          </w:tr>
          <w:tr w:rsidR="00C83B86" w:rsidTr="00C83B86">
            <w:tc>
              <w:tcPr>
                <w:tcW w:w="382"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其他应付款</w:t>
                </w:r>
              </w:p>
            </w:tc>
            <w:tc>
              <w:tcPr>
                <w:tcW w:w="85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22,746,931.44</w:t>
                </w:r>
              </w:p>
            </w:tc>
            <w:tc>
              <w:tcPr>
                <w:tcW w:w="861"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31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784"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939"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22,746,931.44</w:t>
                </w:r>
              </w:p>
            </w:tc>
            <w:tc>
              <w:tcPr>
                <w:tcW w:w="868"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22,746,931.44</w:t>
                </w:r>
              </w:p>
            </w:tc>
          </w:tr>
          <w:tr w:rsidR="00C83B86" w:rsidTr="00C83B86">
            <w:tc>
              <w:tcPr>
                <w:tcW w:w="382"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长期借款</w:t>
                </w:r>
              </w:p>
            </w:tc>
            <w:tc>
              <w:tcPr>
                <w:tcW w:w="85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861"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71,785,160.42</w:t>
                </w:r>
              </w:p>
            </w:tc>
            <w:tc>
              <w:tcPr>
                <w:tcW w:w="31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784"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90,669,462.80</w:t>
                </w:r>
              </w:p>
            </w:tc>
            <w:tc>
              <w:tcPr>
                <w:tcW w:w="939"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162,454,623.22</w:t>
                </w:r>
              </w:p>
            </w:tc>
            <w:tc>
              <w:tcPr>
                <w:tcW w:w="868"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162,454,623.22</w:t>
                </w:r>
              </w:p>
            </w:tc>
          </w:tr>
          <w:tr w:rsidR="00C83B86" w:rsidTr="00C83B86">
            <w:tc>
              <w:tcPr>
                <w:tcW w:w="382"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合计</w:t>
                </w:r>
              </w:p>
            </w:tc>
            <w:tc>
              <w:tcPr>
                <w:tcW w:w="85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635,488,616.26</w:t>
                </w:r>
              </w:p>
            </w:tc>
            <w:tc>
              <w:tcPr>
                <w:tcW w:w="861"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71,785,160.42</w:t>
                </w:r>
              </w:p>
            </w:tc>
            <w:tc>
              <w:tcPr>
                <w:tcW w:w="313"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　</w:t>
                </w:r>
              </w:p>
            </w:tc>
            <w:tc>
              <w:tcPr>
                <w:tcW w:w="784"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90,669,462.80</w:t>
                </w:r>
              </w:p>
            </w:tc>
            <w:tc>
              <w:tcPr>
                <w:tcW w:w="939"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797,943,239.48</w:t>
                </w:r>
              </w:p>
            </w:tc>
            <w:tc>
              <w:tcPr>
                <w:tcW w:w="868" w:type="pct"/>
                <w:vAlign w:val="center"/>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797,943,239.48</w:t>
                </w:r>
              </w:p>
            </w:tc>
          </w:tr>
        </w:tbl>
        <w:p w:rsidR="00C83B86" w:rsidRDefault="00C83B86" w:rsidP="00C83B86">
          <w:pPr>
            <w:rPr>
              <w:rFonts w:asciiTheme="minorEastAsia" w:eastAsiaTheme="minorEastAsia" w:hAnsiTheme="minorEastAsia"/>
            </w:rPr>
          </w:pPr>
        </w:p>
        <w:p w:rsidR="00C83B86" w:rsidRDefault="00C83B86" w:rsidP="00C83B86">
          <w:pPr>
            <w:rPr>
              <w:rFonts w:asciiTheme="minorEastAsia" w:eastAsiaTheme="minorEastAsia" w:hAnsiTheme="minorEastAsia"/>
            </w:rPr>
          </w:pPr>
        </w:p>
        <w:tbl>
          <w:tblPr>
            <w:tblStyle w:val="g12"/>
            <w:tblW w:w="5000" w:type="pct"/>
            <w:tblInd w:w="0" w:type="dxa"/>
            <w:tblLook w:val="04A0" w:firstRow="1" w:lastRow="0" w:firstColumn="1" w:lastColumn="0" w:noHBand="0" w:noVBand="1"/>
          </w:tblPr>
          <w:tblGrid>
            <w:gridCol w:w="1088"/>
            <w:gridCol w:w="1795"/>
            <w:gridCol w:w="1375"/>
            <w:gridCol w:w="520"/>
            <w:gridCol w:w="883"/>
            <w:gridCol w:w="1682"/>
            <w:gridCol w:w="1480"/>
          </w:tblGrid>
          <w:tr w:rsidR="00C83B86" w:rsidTr="00C83B86">
            <w:tc>
              <w:tcPr>
                <w:tcW w:w="617" w:type="pct"/>
                <w:vMerge w:val="restart"/>
              </w:tcPr>
              <w:p w:rsidR="00C83B86" w:rsidRDefault="00C83B86" w:rsidP="00C83B86">
                <w:pPr>
                  <w:rPr>
                    <w:rFonts w:asciiTheme="minorEastAsia" w:eastAsiaTheme="minorEastAsia" w:hAnsiTheme="minorEastAsia"/>
                  </w:rPr>
                </w:pPr>
                <w:bookmarkStart w:id="364" w:name="RANGE!A16:H25"/>
                <w:r>
                  <w:rPr>
                    <w:rFonts w:asciiTheme="minorEastAsia" w:eastAsiaTheme="minorEastAsia" w:hAnsiTheme="minorEastAsia" w:hint="eastAsia"/>
                  </w:rPr>
                  <w:t>项目</w:t>
                </w:r>
                <w:bookmarkEnd w:id="364"/>
              </w:p>
            </w:tc>
            <w:tc>
              <w:tcPr>
                <w:tcW w:w="4383" w:type="pct"/>
                <w:gridSpan w:val="6"/>
              </w:tcPr>
              <w:p w:rsidR="00C83B86" w:rsidRDefault="00C83B86" w:rsidP="00C83B86">
                <w:pPr>
                  <w:jc w:val="center"/>
                  <w:rPr>
                    <w:rFonts w:asciiTheme="minorEastAsia" w:eastAsiaTheme="minorEastAsia" w:hAnsiTheme="minorEastAsia"/>
                  </w:rPr>
                </w:pPr>
                <w:r>
                  <w:rPr>
                    <w:rFonts w:asciiTheme="minorEastAsia" w:eastAsiaTheme="minorEastAsia" w:hAnsiTheme="minorEastAsia" w:hint="eastAsia"/>
                  </w:rPr>
                  <w:t>上年年末余额</w:t>
                </w:r>
              </w:p>
            </w:tc>
          </w:tr>
          <w:tr w:rsidR="00C83B86" w:rsidTr="00C83B86">
            <w:trPr>
              <w:trHeight w:val="354"/>
            </w:trPr>
            <w:tc>
              <w:tcPr>
                <w:tcW w:w="617" w:type="pct"/>
                <w:vMerge/>
              </w:tcPr>
              <w:p w:rsidR="00C83B86" w:rsidRDefault="00C83B86" w:rsidP="00C83B86">
                <w:pPr>
                  <w:rPr>
                    <w:rFonts w:asciiTheme="minorEastAsia" w:eastAsiaTheme="minorEastAsia" w:hAnsiTheme="minorEastAsia"/>
                  </w:rPr>
                </w:pPr>
              </w:p>
            </w:tc>
            <w:tc>
              <w:tcPr>
                <w:tcW w:w="1018"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1年以内</w:t>
                </w:r>
              </w:p>
            </w:tc>
            <w:tc>
              <w:tcPr>
                <w:tcW w:w="77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1-2年</w:t>
                </w:r>
              </w:p>
            </w:tc>
            <w:tc>
              <w:tcPr>
                <w:tcW w:w="295"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2-5年</w:t>
                </w:r>
              </w:p>
            </w:tc>
            <w:tc>
              <w:tcPr>
                <w:tcW w:w="501"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5年以上</w:t>
                </w:r>
              </w:p>
            </w:tc>
            <w:tc>
              <w:tcPr>
                <w:tcW w:w="954"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未折现合同金额合计</w:t>
                </w:r>
              </w:p>
            </w:tc>
            <w:tc>
              <w:tcPr>
                <w:tcW w:w="83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账面价值</w:t>
                </w:r>
              </w:p>
            </w:tc>
          </w:tr>
          <w:tr w:rsidR="00C83B86" w:rsidTr="00C83B86">
            <w:tc>
              <w:tcPr>
                <w:tcW w:w="61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短期借款</w:t>
                </w:r>
              </w:p>
            </w:tc>
            <w:tc>
              <w:tcPr>
                <w:tcW w:w="1018"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346,796,461.12 </w:t>
                </w:r>
              </w:p>
            </w:tc>
            <w:tc>
              <w:tcPr>
                <w:tcW w:w="777" w:type="pct"/>
              </w:tcPr>
              <w:p w:rsidR="00C83B86" w:rsidRDefault="00C83B86" w:rsidP="00C83B86">
                <w:pPr>
                  <w:jc w:val="right"/>
                  <w:rPr>
                    <w:rFonts w:asciiTheme="minorEastAsia" w:eastAsiaTheme="minorEastAsia" w:hAnsiTheme="minorEastAsia"/>
                  </w:rPr>
                </w:pPr>
              </w:p>
            </w:tc>
            <w:tc>
              <w:tcPr>
                <w:tcW w:w="295" w:type="pct"/>
              </w:tcPr>
              <w:p w:rsidR="00C83B86" w:rsidRDefault="00C83B86" w:rsidP="00C83B86">
                <w:pPr>
                  <w:jc w:val="right"/>
                  <w:rPr>
                    <w:rFonts w:asciiTheme="minorEastAsia" w:eastAsiaTheme="minorEastAsia" w:hAnsiTheme="minorEastAsia"/>
                  </w:rPr>
                </w:pPr>
              </w:p>
            </w:tc>
            <w:tc>
              <w:tcPr>
                <w:tcW w:w="501" w:type="pct"/>
              </w:tcPr>
              <w:p w:rsidR="00C83B86" w:rsidRDefault="00C83B86" w:rsidP="00C83B86">
                <w:pPr>
                  <w:jc w:val="right"/>
                  <w:rPr>
                    <w:rFonts w:asciiTheme="minorEastAsia" w:eastAsiaTheme="minorEastAsia" w:hAnsiTheme="minorEastAsia"/>
                  </w:rPr>
                </w:pPr>
              </w:p>
            </w:tc>
            <w:tc>
              <w:tcPr>
                <w:tcW w:w="954"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346,796,461.12 </w:t>
                </w:r>
              </w:p>
            </w:tc>
            <w:tc>
              <w:tcPr>
                <w:tcW w:w="83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346,796,461.12 </w:t>
                </w:r>
              </w:p>
            </w:tc>
          </w:tr>
          <w:tr w:rsidR="00C83B86" w:rsidTr="00C83B86">
            <w:tc>
              <w:tcPr>
                <w:tcW w:w="61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应付票据</w:t>
                </w:r>
              </w:p>
            </w:tc>
            <w:tc>
              <w:tcPr>
                <w:tcW w:w="1018"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77,878,412.11 </w:t>
                </w:r>
              </w:p>
            </w:tc>
            <w:tc>
              <w:tcPr>
                <w:tcW w:w="777" w:type="pct"/>
              </w:tcPr>
              <w:p w:rsidR="00C83B86" w:rsidRDefault="00C83B86" w:rsidP="00C83B86">
                <w:pPr>
                  <w:jc w:val="right"/>
                  <w:rPr>
                    <w:rFonts w:asciiTheme="minorEastAsia" w:eastAsiaTheme="minorEastAsia" w:hAnsiTheme="minorEastAsia"/>
                  </w:rPr>
                </w:pPr>
              </w:p>
            </w:tc>
            <w:tc>
              <w:tcPr>
                <w:tcW w:w="295" w:type="pct"/>
              </w:tcPr>
              <w:p w:rsidR="00C83B86" w:rsidRDefault="00C83B86" w:rsidP="00C83B86">
                <w:pPr>
                  <w:jc w:val="right"/>
                  <w:rPr>
                    <w:rFonts w:asciiTheme="minorEastAsia" w:eastAsiaTheme="minorEastAsia" w:hAnsiTheme="minorEastAsia"/>
                  </w:rPr>
                </w:pPr>
              </w:p>
            </w:tc>
            <w:tc>
              <w:tcPr>
                <w:tcW w:w="501" w:type="pct"/>
              </w:tcPr>
              <w:p w:rsidR="00C83B86" w:rsidRDefault="00C83B86" w:rsidP="00C83B86">
                <w:pPr>
                  <w:jc w:val="right"/>
                  <w:rPr>
                    <w:rFonts w:asciiTheme="minorEastAsia" w:eastAsiaTheme="minorEastAsia" w:hAnsiTheme="minorEastAsia"/>
                  </w:rPr>
                </w:pPr>
              </w:p>
            </w:tc>
            <w:tc>
              <w:tcPr>
                <w:tcW w:w="954"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77,878,412.11 </w:t>
                </w:r>
              </w:p>
            </w:tc>
            <w:tc>
              <w:tcPr>
                <w:tcW w:w="83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77,878,412.11 </w:t>
                </w:r>
              </w:p>
            </w:tc>
          </w:tr>
          <w:tr w:rsidR="00C83B86" w:rsidTr="00C83B86">
            <w:tc>
              <w:tcPr>
                <w:tcW w:w="61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应付账款</w:t>
                </w:r>
              </w:p>
            </w:tc>
            <w:tc>
              <w:tcPr>
                <w:tcW w:w="1018"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150,352,984.50</w:t>
                </w:r>
              </w:p>
            </w:tc>
            <w:tc>
              <w:tcPr>
                <w:tcW w:w="777" w:type="pct"/>
              </w:tcPr>
              <w:p w:rsidR="00C83B86" w:rsidRDefault="00C83B86" w:rsidP="00C83B86">
                <w:pPr>
                  <w:jc w:val="right"/>
                  <w:rPr>
                    <w:rFonts w:asciiTheme="minorEastAsia" w:eastAsiaTheme="minorEastAsia" w:hAnsiTheme="minorEastAsia"/>
                  </w:rPr>
                </w:pPr>
              </w:p>
            </w:tc>
            <w:tc>
              <w:tcPr>
                <w:tcW w:w="295" w:type="pct"/>
              </w:tcPr>
              <w:p w:rsidR="00C83B86" w:rsidRDefault="00C83B86" w:rsidP="00C83B86">
                <w:pPr>
                  <w:jc w:val="right"/>
                  <w:rPr>
                    <w:rFonts w:asciiTheme="minorEastAsia" w:eastAsiaTheme="minorEastAsia" w:hAnsiTheme="minorEastAsia"/>
                  </w:rPr>
                </w:pPr>
              </w:p>
            </w:tc>
            <w:tc>
              <w:tcPr>
                <w:tcW w:w="501" w:type="pct"/>
              </w:tcPr>
              <w:p w:rsidR="00C83B86" w:rsidRDefault="00C83B86" w:rsidP="00C83B86">
                <w:pPr>
                  <w:jc w:val="right"/>
                  <w:rPr>
                    <w:rFonts w:asciiTheme="minorEastAsia" w:eastAsiaTheme="minorEastAsia" w:hAnsiTheme="minorEastAsia"/>
                  </w:rPr>
                </w:pPr>
              </w:p>
            </w:tc>
            <w:tc>
              <w:tcPr>
                <w:tcW w:w="954"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150,352,984.50</w:t>
                </w:r>
              </w:p>
            </w:tc>
            <w:tc>
              <w:tcPr>
                <w:tcW w:w="83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150,352,984.50</w:t>
                </w:r>
              </w:p>
            </w:tc>
          </w:tr>
          <w:tr w:rsidR="00C83B86" w:rsidTr="00C83B86">
            <w:tc>
              <w:tcPr>
                <w:tcW w:w="61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其他应付款</w:t>
                </w:r>
              </w:p>
            </w:tc>
            <w:tc>
              <w:tcPr>
                <w:tcW w:w="1018"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13,485,414.26 </w:t>
                </w:r>
              </w:p>
            </w:tc>
            <w:tc>
              <w:tcPr>
                <w:tcW w:w="777" w:type="pct"/>
              </w:tcPr>
              <w:p w:rsidR="00C83B86" w:rsidRDefault="00C83B86" w:rsidP="00C83B86">
                <w:pPr>
                  <w:jc w:val="right"/>
                  <w:rPr>
                    <w:rFonts w:asciiTheme="minorEastAsia" w:eastAsiaTheme="minorEastAsia" w:hAnsiTheme="minorEastAsia"/>
                  </w:rPr>
                </w:pPr>
              </w:p>
            </w:tc>
            <w:tc>
              <w:tcPr>
                <w:tcW w:w="295" w:type="pct"/>
              </w:tcPr>
              <w:p w:rsidR="00C83B86" w:rsidRDefault="00C83B86" w:rsidP="00C83B86">
                <w:pPr>
                  <w:jc w:val="right"/>
                  <w:rPr>
                    <w:rFonts w:asciiTheme="minorEastAsia" w:eastAsiaTheme="minorEastAsia" w:hAnsiTheme="minorEastAsia"/>
                  </w:rPr>
                </w:pPr>
              </w:p>
            </w:tc>
            <w:tc>
              <w:tcPr>
                <w:tcW w:w="501" w:type="pct"/>
              </w:tcPr>
              <w:p w:rsidR="00C83B86" w:rsidRDefault="00C83B86" w:rsidP="00C83B86">
                <w:pPr>
                  <w:jc w:val="right"/>
                  <w:rPr>
                    <w:rFonts w:asciiTheme="minorEastAsia" w:eastAsiaTheme="minorEastAsia" w:hAnsiTheme="minorEastAsia"/>
                  </w:rPr>
                </w:pPr>
              </w:p>
            </w:tc>
            <w:tc>
              <w:tcPr>
                <w:tcW w:w="954"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13,485,414.26 </w:t>
                </w:r>
              </w:p>
            </w:tc>
            <w:tc>
              <w:tcPr>
                <w:tcW w:w="83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13,485,414.26 </w:t>
                </w:r>
              </w:p>
            </w:tc>
          </w:tr>
          <w:tr w:rsidR="00C83B86" w:rsidTr="00C83B86">
            <w:tc>
              <w:tcPr>
                <w:tcW w:w="61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长期借款</w:t>
                </w:r>
                <w:r>
                  <w:rPr>
                    <w:rFonts w:asciiTheme="minorEastAsia" w:eastAsiaTheme="minorEastAsia" w:hAnsiTheme="minorEastAsia"/>
                  </w:rPr>
                  <w:t xml:space="preserve"> </w:t>
                </w:r>
              </w:p>
            </w:tc>
            <w:tc>
              <w:tcPr>
                <w:tcW w:w="1018" w:type="pct"/>
              </w:tcPr>
              <w:p w:rsidR="00C83B86" w:rsidRDefault="00C83B86" w:rsidP="00C83B86">
                <w:pPr>
                  <w:jc w:val="right"/>
                  <w:rPr>
                    <w:rFonts w:asciiTheme="minorEastAsia" w:eastAsiaTheme="minorEastAsia" w:hAnsiTheme="minorEastAsia"/>
                  </w:rPr>
                </w:pPr>
              </w:p>
            </w:tc>
            <w:tc>
              <w:tcPr>
                <w:tcW w:w="77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86,074,861.11 </w:t>
                </w:r>
              </w:p>
            </w:tc>
            <w:tc>
              <w:tcPr>
                <w:tcW w:w="295" w:type="pct"/>
              </w:tcPr>
              <w:p w:rsidR="00C83B86" w:rsidRDefault="00C83B86" w:rsidP="00C83B86">
                <w:pPr>
                  <w:jc w:val="right"/>
                  <w:rPr>
                    <w:rFonts w:asciiTheme="minorEastAsia" w:eastAsiaTheme="minorEastAsia" w:hAnsiTheme="minorEastAsia"/>
                  </w:rPr>
                </w:pPr>
              </w:p>
            </w:tc>
            <w:tc>
              <w:tcPr>
                <w:tcW w:w="501" w:type="pct"/>
              </w:tcPr>
              <w:p w:rsidR="00C83B86" w:rsidRDefault="00C83B86" w:rsidP="00C83B86">
                <w:pPr>
                  <w:jc w:val="right"/>
                  <w:rPr>
                    <w:rFonts w:asciiTheme="minorEastAsia" w:eastAsiaTheme="minorEastAsia" w:hAnsiTheme="minorEastAsia"/>
                  </w:rPr>
                </w:pPr>
              </w:p>
            </w:tc>
            <w:tc>
              <w:tcPr>
                <w:tcW w:w="954"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86,074,861.11</w:t>
                </w:r>
              </w:p>
            </w:tc>
            <w:tc>
              <w:tcPr>
                <w:tcW w:w="83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86,074,861.11</w:t>
                </w:r>
              </w:p>
            </w:tc>
          </w:tr>
          <w:tr w:rsidR="00C83B86" w:rsidTr="00C83B86">
            <w:tc>
              <w:tcPr>
                <w:tcW w:w="617" w:type="pct"/>
              </w:tcPr>
              <w:p w:rsidR="00C83B86" w:rsidRDefault="00C83B86" w:rsidP="00C83B86">
                <w:pPr>
                  <w:rPr>
                    <w:rFonts w:asciiTheme="minorEastAsia" w:eastAsiaTheme="minorEastAsia" w:hAnsiTheme="minorEastAsia"/>
                  </w:rPr>
                </w:pPr>
                <w:r>
                  <w:rPr>
                    <w:rFonts w:asciiTheme="minorEastAsia" w:eastAsiaTheme="minorEastAsia" w:hAnsiTheme="minorEastAsia" w:hint="eastAsia"/>
                  </w:rPr>
                  <w:t>合计</w:t>
                </w:r>
              </w:p>
            </w:tc>
            <w:tc>
              <w:tcPr>
                <w:tcW w:w="1018"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588,513,271.99 </w:t>
                </w:r>
              </w:p>
            </w:tc>
            <w:tc>
              <w:tcPr>
                <w:tcW w:w="77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 xml:space="preserve">86,074,861.11 </w:t>
                </w:r>
              </w:p>
            </w:tc>
            <w:tc>
              <w:tcPr>
                <w:tcW w:w="295" w:type="pct"/>
              </w:tcPr>
              <w:p w:rsidR="00C83B86" w:rsidRDefault="00C83B86" w:rsidP="00C83B86">
                <w:pPr>
                  <w:jc w:val="right"/>
                  <w:rPr>
                    <w:rFonts w:asciiTheme="minorEastAsia" w:eastAsiaTheme="minorEastAsia" w:hAnsiTheme="minorEastAsia"/>
                  </w:rPr>
                </w:pPr>
              </w:p>
            </w:tc>
            <w:tc>
              <w:tcPr>
                <w:tcW w:w="501" w:type="pct"/>
              </w:tcPr>
              <w:p w:rsidR="00C83B86" w:rsidRDefault="00C83B86" w:rsidP="00C83B86">
                <w:pPr>
                  <w:jc w:val="right"/>
                  <w:rPr>
                    <w:rFonts w:asciiTheme="minorEastAsia" w:eastAsiaTheme="minorEastAsia" w:hAnsiTheme="minorEastAsia"/>
                  </w:rPr>
                </w:pPr>
              </w:p>
            </w:tc>
            <w:tc>
              <w:tcPr>
                <w:tcW w:w="954"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674,588,133.10</w:t>
                </w:r>
              </w:p>
            </w:tc>
            <w:tc>
              <w:tcPr>
                <w:tcW w:w="837" w:type="pct"/>
              </w:tcPr>
              <w:p w:rsidR="00C83B86" w:rsidRDefault="00C83B86" w:rsidP="00C83B86">
                <w:pPr>
                  <w:jc w:val="right"/>
                  <w:rPr>
                    <w:rFonts w:asciiTheme="minorEastAsia" w:eastAsiaTheme="minorEastAsia" w:hAnsiTheme="minorEastAsia"/>
                  </w:rPr>
                </w:pPr>
                <w:r>
                  <w:rPr>
                    <w:rFonts w:asciiTheme="minorEastAsia" w:eastAsiaTheme="minorEastAsia" w:hAnsiTheme="minorEastAsia"/>
                  </w:rPr>
                  <w:t>674,588,133.10</w:t>
                </w:r>
              </w:p>
            </w:tc>
          </w:tr>
        </w:tbl>
        <w:p w:rsidR="00C83B86" w:rsidRDefault="00C83B86" w:rsidP="00C83B86">
          <w:pPr>
            <w:rPr>
              <w:b/>
            </w:rPr>
          </w:pPr>
          <w:r>
            <w:t>3</w:t>
          </w:r>
          <w:r>
            <w:rPr>
              <w:rFonts w:hint="eastAsia"/>
            </w:rPr>
            <w:t>、</w:t>
          </w:r>
          <w:r>
            <w:t>市场风险</w:t>
          </w:r>
        </w:p>
        <w:p w:rsidR="00C83B86" w:rsidRDefault="00C83B86" w:rsidP="00C83B86">
          <w:pPr>
            <w:rPr>
              <w:b/>
            </w:rPr>
          </w:pPr>
          <w:r>
            <w:lastRenderedPageBreak/>
            <w:t>金融工具的市场风险是指金融工具的公允价值或未来现金流量因市场价格变动而发生波动的风险，包括汇率风险、利率风险和其他价格风险。</w:t>
          </w:r>
        </w:p>
        <w:p w:rsidR="00C83B86" w:rsidRDefault="00C83B86" w:rsidP="00C83B86">
          <w:pPr>
            <w:rPr>
              <w:bCs/>
            </w:rPr>
          </w:pPr>
          <w:r>
            <w:rPr>
              <w:rFonts w:hint="eastAsia"/>
              <w:bCs/>
            </w:rPr>
            <w:t>（1）</w:t>
          </w:r>
          <w:r>
            <w:rPr>
              <w:bCs/>
            </w:rPr>
            <w:t>利率风险</w:t>
          </w:r>
        </w:p>
        <w:p w:rsidR="00C83B86" w:rsidRDefault="00C83B86" w:rsidP="00C83B86">
          <w:r>
            <w:rPr>
              <w:rFonts w:hint="eastAsia"/>
            </w:rPr>
            <w:t>利率风险是指金融工具的公允价值或未来现金流量因市场利率变动而发生波动的风险。</w:t>
          </w:r>
        </w:p>
        <w:p w:rsidR="00C83B86" w:rsidRDefault="00C83B86" w:rsidP="00C83B86">
          <w:r>
            <w:rPr>
              <w:rFonts w:hint="eastAsia"/>
            </w:rPr>
            <w:t>固定利率和浮动利率的带息金融工具分别使本公司面临公允价值利率风险及现金流量利率风险。本公司根据市场环境来决定固定利率与浮动利率工具的比例，并通过定期审阅与监察维持适当的固定和浮动利率工具组合。</w:t>
          </w:r>
        </w:p>
        <w:p w:rsidR="00C83B86" w:rsidRDefault="00C83B86" w:rsidP="00C83B86">
          <w:pPr>
            <w:ind w:left="422" w:hanging="422"/>
          </w:pPr>
          <w:r>
            <w:rPr>
              <w:rFonts w:hint="eastAsia"/>
            </w:rPr>
            <w:t>于</w:t>
          </w:r>
          <w:r>
            <w:t>2024</w:t>
          </w:r>
          <w:r>
            <w:rPr>
              <w:rFonts w:hint="eastAsia"/>
            </w:rPr>
            <w:t>年</w:t>
          </w:r>
          <w:r>
            <w:t>6</w:t>
          </w:r>
          <w:r>
            <w:rPr>
              <w:rFonts w:hint="eastAsia"/>
            </w:rPr>
            <w:t>月</w:t>
          </w:r>
          <w:r>
            <w:t>30</w:t>
          </w:r>
          <w:r>
            <w:rPr>
              <w:rFonts w:hint="eastAsia"/>
            </w:rPr>
            <w:t>日，本公司无浮动利率的借款。</w:t>
          </w:r>
        </w:p>
        <w:p w:rsidR="00C83B86" w:rsidRDefault="00C83B86" w:rsidP="00C83B86">
          <w:pPr>
            <w:rPr>
              <w:bCs/>
            </w:rPr>
          </w:pPr>
          <w:r>
            <w:rPr>
              <w:rFonts w:hint="eastAsia"/>
              <w:bCs/>
            </w:rPr>
            <w:t>（2）</w:t>
          </w:r>
          <w:r>
            <w:rPr>
              <w:bCs/>
            </w:rPr>
            <w:t>汇率风险</w:t>
          </w:r>
        </w:p>
        <w:p w:rsidR="00C83B86" w:rsidRDefault="00C83B86" w:rsidP="00C83B86">
          <w:r>
            <w:t>汇率风险是指金融工具的公允价值或未来现金流量因外汇汇率变动而发生波动的风险。</w:t>
          </w:r>
        </w:p>
        <w:p w:rsidR="00C83B86" w:rsidRDefault="00C83B86" w:rsidP="00C83B86">
          <w:r>
            <w:rPr>
              <w:rFonts w:hint="eastAsia"/>
            </w:rPr>
            <w:t>本公司持续监控外币交易和外币资产及负债的规模，以最大程度降低面临的外汇风险。本公司面临的汇率风险主要来源于以美元、欧元计价的金融资产和金融负债，外币金融资产和外币金融负债折算成人民币的金额列示如下：</w:t>
          </w:r>
          <w:r>
            <w:fldChar w:fldCharType="begin"/>
          </w:r>
          <w:r>
            <w:instrText xml:space="preserve"> LINK Excel.Sheet.12 E:\\雍\\附注排版\\2014年年报格式\\附注过渡表20150130V0910.xlsx 与金融工具相关的风险!与金融工具相关的风险 \f 4 \h \* MERGEFORMAT </w:instrText>
          </w:r>
          <w:r>
            <w:fldChar w:fldCharType="separate"/>
          </w:r>
        </w:p>
        <w:tbl>
          <w:tblPr>
            <w:tblStyle w:val="g12"/>
            <w:tblW w:w="4978" w:type="pct"/>
            <w:tblInd w:w="0" w:type="dxa"/>
            <w:tblLayout w:type="fixed"/>
            <w:tblLook w:val="04A0" w:firstRow="1" w:lastRow="0" w:firstColumn="1" w:lastColumn="0" w:noHBand="0" w:noVBand="1"/>
          </w:tblPr>
          <w:tblGrid>
            <w:gridCol w:w="981"/>
            <w:gridCol w:w="1565"/>
            <w:gridCol w:w="1080"/>
            <w:gridCol w:w="1483"/>
            <w:gridCol w:w="1479"/>
            <w:gridCol w:w="1061"/>
            <w:gridCol w:w="1135"/>
          </w:tblGrid>
          <w:tr w:rsidR="00C83B86" w:rsidTr="00C83B86">
            <w:tc>
              <w:tcPr>
                <w:tcW w:w="558" w:type="pct"/>
                <w:vMerge w:val="restart"/>
              </w:tcPr>
              <w:p w:rsidR="00C83B86" w:rsidRDefault="00C83B86" w:rsidP="00C83B86">
                <w:r>
                  <w:t>项目</w:t>
                </w:r>
              </w:p>
            </w:tc>
            <w:tc>
              <w:tcPr>
                <w:tcW w:w="2350" w:type="pct"/>
                <w:gridSpan w:val="3"/>
              </w:tcPr>
              <w:p w:rsidR="00C83B86" w:rsidRDefault="00C83B86" w:rsidP="00C83B86">
                <w:r>
                  <w:t>期末余额</w:t>
                </w:r>
              </w:p>
            </w:tc>
            <w:tc>
              <w:tcPr>
                <w:tcW w:w="2092" w:type="pct"/>
                <w:gridSpan w:val="3"/>
              </w:tcPr>
              <w:p w:rsidR="00C83B86" w:rsidRDefault="00C83B86" w:rsidP="00C83B86">
                <w:r>
                  <w:t>上年年末余额</w:t>
                </w:r>
              </w:p>
            </w:tc>
          </w:tr>
          <w:tr w:rsidR="00C83B86" w:rsidTr="00C83B86">
            <w:tc>
              <w:tcPr>
                <w:tcW w:w="558" w:type="pct"/>
                <w:vMerge/>
              </w:tcPr>
              <w:p w:rsidR="00C83B86" w:rsidRDefault="00C83B86" w:rsidP="00C83B86"/>
            </w:tc>
            <w:tc>
              <w:tcPr>
                <w:tcW w:w="891" w:type="pct"/>
              </w:tcPr>
              <w:p w:rsidR="00C83B86" w:rsidRDefault="00C83B86" w:rsidP="00C83B86">
                <w:r>
                  <w:t>美元</w:t>
                </w:r>
              </w:p>
            </w:tc>
            <w:tc>
              <w:tcPr>
                <w:tcW w:w="615" w:type="pct"/>
              </w:tcPr>
              <w:p w:rsidR="00C83B86" w:rsidRDefault="00C83B86" w:rsidP="00C83B86">
                <w:r>
                  <w:t>其他外币</w:t>
                </w:r>
              </w:p>
            </w:tc>
            <w:tc>
              <w:tcPr>
                <w:tcW w:w="843" w:type="pct"/>
              </w:tcPr>
              <w:p w:rsidR="00C83B86" w:rsidRDefault="00C83B86" w:rsidP="00C83B86">
                <w:r>
                  <w:t>合计</w:t>
                </w:r>
              </w:p>
            </w:tc>
            <w:tc>
              <w:tcPr>
                <w:tcW w:w="842" w:type="pct"/>
              </w:tcPr>
              <w:p w:rsidR="00C83B86" w:rsidRDefault="00C83B86" w:rsidP="00C83B86">
                <w:r>
                  <w:t>美元</w:t>
                </w:r>
              </w:p>
            </w:tc>
            <w:tc>
              <w:tcPr>
                <w:tcW w:w="604" w:type="pct"/>
              </w:tcPr>
              <w:p w:rsidR="00C83B86" w:rsidRDefault="00C83B86" w:rsidP="00C83B86">
                <w:r>
                  <w:t>其他外币</w:t>
                </w:r>
              </w:p>
            </w:tc>
            <w:tc>
              <w:tcPr>
                <w:tcW w:w="646" w:type="pct"/>
              </w:tcPr>
              <w:p w:rsidR="00C83B86" w:rsidRDefault="00C83B86" w:rsidP="00C83B86">
                <w:r>
                  <w:t>合计</w:t>
                </w:r>
              </w:p>
            </w:tc>
          </w:tr>
          <w:tr w:rsidR="00C83B86" w:rsidTr="00C83B86">
            <w:tc>
              <w:tcPr>
                <w:tcW w:w="558" w:type="pct"/>
                <w:vAlign w:val="center"/>
              </w:tcPr>
              <w:p w:rsidR="00C83B86" w:rsidRDefault="00C83B86" w:rsidP="00C83B86">
                <w:pPr>
                  <w:jc w:val="center"/>
                </w:pPr>
                <w:r>
                  <w:rPr>
                    <w:rFonts w:hint="eastAsia"/>
                  </w:rPr>
                  <w:t>货币资金</w:t>
                </w:r>
              </w:p>
            </w:tc>
            <w:tc>
              <w:tcPr>
                <w:tcW w:w="891"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12,310,078.45</w:t>
                </w:r>
              </w:p>
            </w:tc>
            <w:tc>
              <w:tcPr>
                <w:tcW w:w="615"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412,804.82</w:t>
                </w:r>
              </w:p>
            </w:tc>
            <w:tc>
              <w:tcPr>
                <w:tcW w:w="843"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12,722,883.27</w:t>
                </w:r>
              </w:p>
            </w:tc>
            <w:tc>
              <w:tcPr>
                <w:tcW w:w="842"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19,037,542.66</w:t>
                </w:r>
              </w:p>
            </w:tc>
            <w:tc>
              <w:tcPr>
                <w:tcW w:w="604"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438,408.51</w:t>
                </w:r>
              </w:p>
            </w:tc>
            <w:tc>
              <w:tcPr>
                <w:tcW w:w="646"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19,475,951.17</w:t>
                </w:r>
              </w:p>
            </w:tc>
          </w:tr>
          <w:tr w:rsidR="00C83B86" w:rsidTr="00C83B86">
            <w:tc>
              <w:tcPr>
                <w:tcW w:w="558" w:type="pct"/>
                <w:vAlign w:val="center"/>
              </w:tcPr>
              <w:p w:rsidR="00C83B86" w:rsidRDefault="00C83B86" w:rsidP="00C83B86">
                <w:pPr>
                  <w:jc w:val="center"/>
                </w:pPr>
                <w:r>
                  <w:rPr>
                    <w:rFonts w:hint="eastAsia"/>
                  </w:rPr>
                  <w:t>应收账款</w:t>
                </w:r>
              </w:p>
            </w:tc>
            <w:tc>
              <w:tcPr>
                <w:tcW w:w="891"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108,023,433.41</w:t>
                </w:r>
              </w:p>
            </w:tc>
            <w:tc>
              <w:tcPr>
                <w:tcW w:w="615"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4,686.35</w:t>
                </w:r>
              </w:p>
            </w:tc>
            <w:tc>
              <w:tcPr>
                <w:tcW w:w="843"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108,028,119.76</w:t>
                </w:r>
              </w:p>
            </w:tc>
            <w:tc>
              <w:tcPr>
                <w:tcW w:w="842"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101,418,147.60</w:t>
                </w:r>
              </w:p>
            </w:tc>
            <w:tc>
              <w:tcPr>
                <w:tcW w:w="604"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14,335.39</w:t>
                </w:r>
              </w:p>
            </w:tc>
            <w:tc>
              <w:tcPr>
                <w:tcW w:w="646"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101,432,482.99</w:t>
                </w:r>
              </w:p>
            </w:tc>
          </w:tr>
          <w:tr w:rsidR="00C83B86" w:rsidTr="00C83B86">
            <w:tc>
              <w:tcPr>
                <w:tcW w:w="558" w:type="pct"/>
                <w:vAlign w:val="center"/>
              </w:tcPr>
              <w:p w:rsidR="00C83B86" w:rsidRDefault="00C83B86" w:rsidP="00C83B86">
                <w:pPr>
                  <w:jc w:val="center"/>
                </w:pPr>
                <w:r>
                  <w:rPr>
                    <w:rFonts w:hint="eastAsia"/>
                  </w:rPr>
                  <w:t>应付账款</w:t>
                </w:r>
              </w:p>
            </w:tc>
            <w:tc>
              <w:tcPr>
                <w:tcW w:w="891"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4,903,661.47</w:t>
                </w:r>
              </w:p>
            </w:tc>
            <w:tc>
              <w:tcPr>
                <w:tcW w:w="615" w:type="pct"/>
                <w:vAlign w:val="center"/>
              </w:tcPr>
              <w:p w:rsidR="00C83B86" w:rsidRPr="008E2649" w:rsidRDefault="00C83B86" w:rsidP="00C83B86">
                <w:pPr>
                  <w:jc w:val="right"/>
                  <w:rPr>
                    <w:rFonts w:asciiTheme="minorEastAsia" w:eastAsiaTheme="minorEastAsia" w:hAnsiTheme="minorEastAsia"/>
                    <w:sz w:val="16"/>
                  </w:rPr>
                </w:pPr>
              </w:p>
            </w:tc>
            <w:tc>
              <w:tcPr>
                <w:tcW w:w="843"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4,903,661.47</w:t>
                </w:r>
              </w:p>
            </w:tc>
            <w:tc>
              <w:tcPr>
                <w:tcW w:w="842"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2,942,261.95</w:t>
                </w:r>
              </w:p>
            </w:tc>
            <w:tc>
              <w:tcPr>
                <w:tcW w:w="604"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286,741.42</w:t>
                </w:r>
              </w:p>
            </w:tc>
            <w:tc>
              <w:tcPr>
                <w:tcW w:w="646"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3,229,003.37</w:t>
                </w:r>
              </w:p>
            </w:tc>
          </w:tr>
          <w:tr w:rsidR="00C83B86" w:rsidTr="00C83B86">
            <w:tc>
              <w:tcPr>
                <w:tcW w:w="558" w:type="pct"/>
                <w:vAlign w:val="center"/>
              </w:tcPr>
              <w:p w:rsidR="00C83B86" w:rsidRDefault="00C83B86" w:rsidP="00C83B86">
                <w:pPr>
                  <w:jc w:val="center"/>
                </w:pPr>
                <w:r>
                  <w:rPr>
                    <w:rFonts w:hint="eastAsia"/>
                  </w:rPr>
                  <w:t>其他应付款</w:t>
                </w:r>
              </w:p>
            </w:tc>
            <w:tc>
              <w:tcPr>
                <w:tcW w:w="891"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971,505.56</w:t>
                </w:r>
              </w:p>
            </w:tc>
            <w:tc>
              <w:tcPr>
                <w:tcW w:w="615" w:type="pct"/>
                <w:vAlign w:val="center"/>
              </w:tcPr>
              <w:p w:rsidR="00C83B86" w:rsidRPr="008E2649" w:rsidRDefault="00C83B86" w:rsidP="00C83B86">
                <w:pPr>
                  <w:jc w:val="right"/>
                  <w:rPr>
                    <w:rFonts w:asciiTheme="minorEastAsia" w:eastAsiaTheme="minorEastAsia" w:hAnsiTheme="minorEastAsia"/>
                    <w:sz w:val="16"/>
                  </w:rPr>
                </w:pPr>
              </w:p>
            </w:tc>
            <w:tc>
              <w:tcPr>
                <w:tcW w:w="843"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971,505.56</w:t>
                </w:r>
              </w:p>
            </w:tc>
            <w:tc>
              <w:tcPr>
                <w:tcW w:w="842"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767,764.68</w:t>
                </w:r>
              </w:p>
            </w:tc>
            <w:tc>
              <w:tcPr>
                <w:tcW w:w="604" w:type="pct"/>
                <w:vAlign w:val="center"/>
              </w:tcPr>
              <w:p w:rsidR="00C83B86" w:rsidRPr="008E2649" w:rsidRDefault="00C83B86" w:rsidP="00C83B86">
                <w:pPr>
                  <w:jc w:val="right"/>
                  <w:rPr>
                    <w:rFonts w:asciiTheme="minorEastAsia" w:eastAsiaTheme="minorEastAsia" w:hAnsiTheme="minorEastAsia"/>
                    <w:sz w:val="16"/>
                  </w:rPr>
                </w:pPr>
              </w:p>
            </w:tc>
            <w:tc>
              <w:tcPr>
                <w:tcW w:w="646"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767,764.68</w:t>
                </w:r>
              </w:p>
            </w:tc>
          </w:tr>
          <w:tr w:rsidR="00C83B86" w:rsidTr="00C83B86">
            <w:tc>
              <w:tcPr>
                <w:tcW w:w="558" w:type="pct"/>
                <w:vAlign w:val="center"/>
              </w:tcPr>
              <w:p w:rsidR="00C83B86" w:rsidRDefault="00C83B86" w:rsidP="00C83B86">
                <w:pPr>
                  <w:jc w:val="center"/>
                </w:pPr>
                <w:r>
                  <w:rPr>
                    <w:rFonts w:hint="eastAsia"/>
                  </w:rPr>
                  <w:t>其他应收款</w:t>
                </w:r>
              </w:p>
            </w:tc>
            <w:tc>
              <w:tcPr>
                <w:tcW w:w="891"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41,458.16</w:t>
                </w:r>
              </w:p>
            </w:tc>
            <w:tc>
              <w:tcPr>
                <w:tcW w:w="615" w:type="pct"/>
                <w:vAlign w:val="center"/>
              </w:tcPr>
              <w:p w:rsidR="00C83B86" w:rsidRPr="008E2649" w:rsidRDefault="00C83B86" w:rsidP="00C83B86">
                <w:pPr>
                  <w:jc w:val="right"/>
                  <w:rPr>
                    <w:rFonts w:asciiTheme="minorEastAsia" w:eastAsiaTheme="minorEastAsia" w:hAnsiTheme="minorEastAsia"/>
                    <w:sz w:val="16"/>
                  </w:rPr>
                </w:pPr>
              </w:p>
            </w:tc>
            <w:tc>
              <w:tcPr>
                <w:tcW w:w="843"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41,458.16</w:t>
                </w:r>
              </w:p>
            </w:tc>
            <w:tc>
              <w:tcPr>
                <w:tcW w:w="842"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231,857.14</w:t>
                </w:r>
              </w:p>
            </w:tc>
            <w:tc>
              <w:tcPr>
                <w:tcW w:w="604" w:type="pct"/>
                <w:vAlign w:val="center"/>
              </w:tcPr>
              <w:p w:rsidR="00C83B86" w:rsidRPr="008E2649" w:rsidRDefault="00C83B86" w:rsidP="00C83B86">
                <w:pPr>
                  <w:jc w:val="right"/>
                  <w:rPr>
                    <w:rFonts w:asciiTheme="minorEastAsia" w:eastAsiaTheme="minorEastAsia" w:hAnsiTheme="minorEastAsia"/>
                    <w:sz w:val="16"/>
                  </w:rPr>
                </w:pPr>
              </w:p>
            </w:tc>
            <w:tc>
              <w:tcPr>
                <w:tcW w:w="646"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231,857.14</w:t>
                </w:r>
              </w:p>
            </w:tc>
          </w:tr>
          <w:tr w:rsidR="00C83B86" w:rsidTr="00C83B86">
            <w:tc>
              <w:tcPr>
                <w:tcW w:w="558" w:type="pct"/>
                <w:vAlign w:val="center"/>
              </w:tcPr>
              <w:p w:rsidR="00C83B86" w:rsidRDefault="00C83B86" w:rsidP="00C83B86">
                <w:pPr>
                  <w:jc w:val="center"/>
                </w:pPr>
                <w:r>
                  <w:t>合计</w:t>
                </w:r>
              </w:p>
            </w:tc>
            <w:tc>
              <w:tcPr>
                <w:tcW w:w="891"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126,250,137.05</w:t>
                </w:r>
              </w:p>
            </w:tc>
            <w:tc>
              <w:tcPr>
                <w:tcW w:w="615"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417,491.17</w:t>
                </w:r>
              </w:p>
            </w:tc>
            <w:tc>
              <w:tcPr>
                <w:tcW w:w="843"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126,667,628.22</w:t>
                </w:r>
              </w:p>
            </w:tc>
            <w:tc>
              <w:tcPr>
                <w:tcW w:w="842"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124,397,574.03</w:t>
                </w:r>
              </w:p>
            </w:tc>
            <w:tc>
              <w:tcPr>
                <w:tcW w:w="604"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739,485.32</w:t>
                </w:r>
              </w:p>
            </w:tc>
            <w:tc>
              <w:tcPr>
                <w:tcW w:w="646" w:type="pct"/>
                <w:vAlign w:val="center"/>
              </w:tcPr>
              <w:p w:rsidR="00C83B86" w:rsidRPr="008E2649" w:rsidRDefault="00C83B86" w:rsidP="00C83B86">
                <w:pPr>
                  <w:jc w:val="right"/>
                  <w:rPr>
                    <w:rFonts w:asciiTheme="minorEastAsia" w:eastAsiaTheme="minorEastAsia" w:hAnsiTheme="minorEastAsia"/>
                    <w:sz w:val="16"/>
                  </w:rPr>
                </w:pPr>
                <w:r w:rsidRPr="008E2649">
                  <w:rPr>
                    <w:rFonts w:asciiTheme="minorEastAsia" w:eastAsiaTheme="minorEastAsia" w:hAnsiTheme="minorEastAsia"/>
                    <w:color w:val="000000"/>
                    <w:sz w:val="16"/>
                  </w:rPr>
                  <w:t>125,137,059.35</w:t>
                </w:r>
              </w:p>
            </w:tc>
          </w:tr>
        </w:tbl>
        <w:p w:rsidR="00C83B86" w:rsidRDefault="00C83B86" w:rsidP="00C83B86">
          <w:r>
            <w:fldChar w:fldCharType="end"/>
          </w:r>
        </w:p>
        <w:p w:rsidR="00C83B86" w:rsidRDefault="00C83B86" w:rsidP="00C83B86">
          <w:pPr>
            <w:rPr>
              <w:bCs/>
            </w:rPr>
          </w:pPr>
          <w:r>
            <w:rPr>
              <w:rFonts w:hint="eastAsia"/>
              <w:bCs/>
            </w:rPr>
            <w:t>（3）</w:t>
          </w:r>
          <w:r>
            <w:rPr>
              <w:bCs/>
            </w:rPr>
            <w:t>其他价格风险</w:t>
          </w:r>
        </w:p>
        <w:p w:rsidR="00C83B86" w:rsidRDefault="00C83B86" w:rsidP="00C83B86">
          <w:r>
            <w:rPr>
              <w:rFonts w:hint="eastAsia"/>
            </w:rPr>
            <w:t>其他价格风险是指金融工具的公允价值或未来现金流量因汇率风险和利率风险以外的市场价格变动而发生波动的风险。</w:t>
          </w:r>
        </w:p>
        <w:p w:rsidR="00C83B86" w:rsidRPr="00C83B86" w:rsidRDefault="00C83B86">
          <w:r>
            <w:rPr>
              <w:rFonts w:hint="eastAsia"/>
            </w:rPr>
            <w:t>本公司未持有其他上市公司的权益投资。</w:t>
          </w:r>
        </w:p>
      </w:sdtContent>
    </w:sdt>
    <w:p w:rsidR="000C5659" w:rsidRPr="00C83B86" w:rsidRDefault="00C83B86" w:rsidP="00C83B86">
      <w:pPr>
        <w:tabs>
          <w:tab w:val="left" w:pos="2935"/>
        </w:tabs>
        <w:rPr>
          <w:b/>
          <w:color w:val="000000" w:themeColor="text1"/>
        </w:rPr>
      </w:pPr>
      <w:r>
        <w:rPr>
          <w:color w:val="000000" w:themeColor="text1"/>
        </w:rPr>
        <w:tab/>
      </w:r>
    </w:p>
    <w:p w:rsidR="000C5659" w:rsidRDefault="000E33C4" w:rsidP="000743DD">
      <w:pPr>
        <w:pStyle w:val="Style163"/>
        <w:numPr>
          <w:ilvl w:val="0"/>
          <w:numId w:val="102"/>
        </w:numPr>
        <w:ind w:left="425" w:hanging="425"/>
        <w:rPr>
          <w:color w:val="000000" w:themeColor="text1"/>
        </w:rPr>
      </w:pPr>
      <w:r>
        <w:rPr>
          <w:rFonts w:hint="eastAsia"/>
          <w:color w:val="000000" w:themeColor="text1"/>
        </w:rPr>
        <w:t>套期</w:t>
      </w:r>
    </w:p>
    <w:p w:rsidR="000C5659" w:rsidRDefault="000E33C4" w:rsidP="000743DD">
      <w:pPr>
        <w:pStyle w:val="Style165"/>
        <w:numPr>
          <w:ilvl w:val="0"/>
          <w:numId w:val="103"/>
        </w:numPr>
        <w:ind w:left="0" w:firstLine="0"/>
        <w:rPr>
          <w:color w:val="000000" w:themeColor="text1"/>
        </w:rPr>
      </w:pPr>
      <w:r>
        <w:rPr>
          <w:rFonts w:hint="eastAsia"/>
          <w:color w:val="000000" w:themeColor="text1"/>
        </w:rPr>
        <w:t>公司开展套期业务进行风险管理</w:t>
      </w:r>
    </w:p>
    <w:sdt>
      <w:sdtPr>
        <w:rPr>
          <w:color w:val="000000" w:themeColor="text1"/>
        </w:rPr>
        <w:alias w:val="是否适用：公司开展套期业务进行风险管理情况[双击切换]"/>
        <w:tag w:val="_GBC_2f499c37491c40ebb25e43ccee2adbf5"/>
        <w:id w:val="-52548425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公司开展套期业务进行风险管理的其他说明[双击切换]"/>
        <w:tag w:val="_GBC_75de8ffa05014fb7849cdf4959d00e5b"/>
        <w:id w:val="202728350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103"/>
        </w:numPr>
        <w:ind w:left="0" w:firstLine="0"/>
        <w:rPr>
          <w:color w:val="000000" w:themeColor="text1"/>
        </w:rPr>
      </w:pPr>
      <w:r>
        <w:rPr>
          <w:rFonts w:hint="eastAsia"/>
          <w:color w:val="000000" w:themeColor="text1"/>
        </w:rPr>
        <w:t>公司开展符合条件套期业务并应用套期会计</w:t>
      </w:r>
    </w:p>
    <w:sdt>
      <w:sdtPr>
        <w:rPr>
          <w:color w:val="000000" w:themeColor="text1"/>
        </w:rPr>
        <w:alias w:val="是否适用：公司开展符合条件套期业务并应用套期会计情况[双击切换]"/>
        <w:tag w:val="_GBC_6e6b563ac07d4214b853bf73488c53f8"/>
        <w:id w:val="74561988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公司开展符合条件套期业务并应用套期会计情况的其他说明[双击切换]"/>
        <w:tag w:val="_GBC_27a95a99453a402ca0b1fc92fc64b202"/>
        <w:id w:val="10071757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103"/>
        </w:numPr>
        <w:ind w:left="0" w:firstLine="0"/>
        <w:rPr>
          <w:color w:val="000000" w:themeColor="text1"/>
        </w:rPr>
      </w:pPr>
      <w:r>
        <w:rPr>
          <w:rFonts w:hint="eastAsia"/>
          <w:color w:val="000000" w:themeColor="text1"/>
        </w:rPr>
        <w:t>公司开展套期业务进行风险管理、预期能实现风险管理目标但未应用套期会计</w:t>
      </w:r>
    </w:p>
    <w:sdt>
      <w:sdtPr>
        <w:rPr>
          <w:color w:val="000000" w:themeColor="text1"/>
        </w:rPr>
        <w:alias w:val="是否适用：公司开展套期业务进行风险管理、预期能实现风险管理目标但未应用套期会计[双击切换]"/>
        <w:tag w:val="_GBC_8ff64f4b33cf4c818fade70a82ac65ca"/>
        <w:id w:val="-136967354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公司开展套期业务进行风险管理、预期能实现风险管理目标但未应用套期会计的其他说明[双击切换]"/>
        <w:tag w:val="_GBC_a996d12612974969937163f50fa093b8"/>
        <w:id w:val="-21061824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02"/>
        </w:numPr>
        <w:ind w:left="425" w:hanging="425"/>
        <w:rPr>
          <w:color w:val="000000" w:themeColor="text1"/>
        </w:rPr>
      </w:pPr>
      <w:r>
        <w:rPr>
          <w:rFonts w:hint="eastAsia"/>
          <w:color w:val="000000" w:themeColor="text1"/>
        </w:rPr>
        <w:lastRenderedPageBreak/>
        <w:t>金融资产转移</w:t>
      </w:r>
    </w:p>
    <w:p w:rsidR="000C5659" w:rsidRDefault="000E33C4" w:rsidP="000743DD">
      <w:pPr>
        <w:pStyle w:val="Style165"/>
        <w:numPr>
          <w:ilvl w:val="0"/>
          <w:numId w:val="104"/>
        </w:numPr>
        <w:ind w:left="425" w:hanging="425"/>
        <w:rPr>
          <w:color w:val="000000" w:themeColor="text1"/>
        </w:rPr>
      </w:pPr>
      <w:bookmarkStart w:id="365" w:name="_Hlk153550670"/>
      <w:r>
        <w:rPr>
          <w:rFonts w:hint="eastAsia"/>
          <w:color w:val="000000" w:themeColor="text1"/>
        </w:rPr>
        <w:t>转移方式分类</w:t>
      </w:r>
    </w:p>
    <w:sdt>
      <w:sdtPr>
        <w:rPr>
          <w:color w:val="000000" w:themeColor="text1"/>
        </w:rPr>
        <w:alias w:val="是否适用：转移方式分类[双击切换]"/>
        <w:tag w:val="_GBC_3e1020fb455f4853972cca8d6b0a6b3e"/>
        <w:id w:val="64624195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转移方式分类"/>
          <w:tag w:val="_GBC_de1ad61d934042f8a064c3ae0d4f8be0"/>
          <w:id w:val="-15006158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转移方式分类"/>
          <w:tag w:val="_GBC_523a24325686464f98a38bad04cd2e3d"/>
          <w:id w:val="-12038654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r>
        <w:rPr>
          <w:color w:val="000000" w:themeColor="text1"/>
        </w:rPr>
        <w:t xml:space="preserve"> </w:t>
      </w:r>
    </w:p>
    <w:tbl>
      <w:tblPr>
        <w:tblStyle w:val="g8"/>
        <w:tblW w:w="0" w:type="auto"/>
        <w:tblLook w:val="04A0" w:firstRow="1" w:lastRow="0" w:firstColumn="1" w:lastColumn="0" w:noHBand="0" w:noVBand="1"/>
      </w:tblPr>
      <w:tblGrid>
        <w:gridCol w:w="1754"/>
        <w:gridCol w:w="1762"/>
        <w:gridCol w:w="1799"/>
        <w:gridCol w:w="1754"/>
        <w:gridCol w:w="1754"/>
      </w:tblGrid>
      <w:tr w:rsidR="000C5659">
        <w:bookmarkEnd w:id="365" w:displacedByCustomXml="next"/>
        <w:sdt>
          <w:sdtPr>
            <w:rPr>
              <w:rFonts w:ascii="Times New Roman" w:hAnsi="Times New Roman" w:hint="eastAsia"/>
              <w:color w:val="000000" w:themeColor="text1"/>
            </w:rPr>
            <w:tag w:val="_PLD_1b3639441c42426dafc439c62b582272"/>
            <w:id w:val="-1964260072"/>
          </w:sdtPr>
          <w:sdtEndPr/>
          <w:sdtContent>
            <w:tc>
              <w:tcPr>
                <w:tcW w:w="1807" w:type="dxa"/>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转移方式</w:t>
                </w:r>
              </w:p>
            </w:tc>
          </w:sdtContent>
        </w:sdt>
        <w:sdt>
          <w:sdtPr>
            <w:rPr>
              <w:rFonts w:ascii="Times New Roman" w:hAnsi="Times New Roman" w:hint="eastAsia"/>
              <w:color w:val="000000" w:themeColor="text1"/>
            </w:rPr>
            <w:tag w:val="_PLD_ca0fdfb372924321ab96333f916ba97f"/>
            <w:id w:val="-1632780535"/>
          </w:sdtPr>
          <w:sdtEndPr/>
          <w:sdtContent>
            <w:tc>
              <w:tcPr>
                <w:tcW w:w="1808" w:type="dxa"/>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已转移金融资产性质</w:t>
                </w:r>
              </w:p>
            </w:tc>
          </w:sdtContent>
        </w:sdt>
        <w:sdt>
          <w:sdtPr>
            <w:rPr>
              <w:rFonts w:ascii="Times New Roman" w:hAnsi="Times New Roman" w:hint="eastAsia"/>
              <w:color w:val="000000" w:themeColor="text1"/>
            </w:rPr>
            <w:tag w:val="_PLD_0fd47e1e3a6745509c71fb3afe424e15"/>
            <w:id w:val="287255866"/>
          </w:sdtPr>
          <w:sdtEndPr/>
          <w:sdtContent>
            <w:tc>
              <w:tcPr>
                <w:tcW w:w="1808" w:type="dxa"/>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已转移金融资产金额</w:t>
                </w:r>
              </w:p>
            </w:tc>
          </w:sdtContent>
        </w:sdt>
        <w:sdt>
          <w:sdtPr>
            <w:rPr>
              <w:rFonts w:ascii="Times New Roman" w:hAnsi="Times New Roman" w:hint="eastAsia"/>
              <w:color w:val="000000" w:themeColor="text1"/>
            </w:rPr>
            <w:tag w:val="_PLD_d7e5fc13720748c99b0fc16108739469"/>
            <w:id w:val="1740822796"/>
          </w:sdtPr>
          <w:sdtEndPr/>
          <w:sdtContent>
            <w:tc>
              <w:tcPr>
                <w:tcW w:w="1808" w:type="dxa"/>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终止确认情况</w:t>
                </w:r>
              </w:p>
            </w:tc>
          </w:sdtContent>
        </w:sdt>
        <w:sdt>
          <w:sdtPr>
            <w:rPr>
              <w:rFonts w:ascii="Times New Roman" w:hAnsi="Times New Roman" w:hint="eastAsia"/>
              <w:color w:val="000000" w:themeColor="text1"/>
            </w:rPr>
            <w:tag w:val="_PLD_9657f1a55d3746549b602d8e206fdafe"/>
            <w:id w:val="158668285"/>
          </w:sdtPr>
          <w:sdtEndPr/>
          <w:sdtContent>
            <w:tc>
              <w:tcPr>
                <w:tcW w:w="1808" w:type="dxa"/>
                <w:vAlign w:val="center"/>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终止确认情况的判断依据</w:t>
                </w:r>
              </w:p>
            </w:tc>
          </w:sdtContent>
        </w:sdt>
      </w:tr>
      <w:tr w:rsidR="000C5659">
        <w:tc>
          <w:tcPr>
            <w:tcW w:w="1807" w:type="dxa"/>
          </w:tcPr>
          <w:p w:rsidR="000C5659" w:rsidRDefault="000E33C4">
            <w:pPr>
              <w:rPr>
                <w:rFonts w:ascii="Times New Roman" w:hAnsi="Times New Roman"/>
              </w:rPr>
            </w:pPr>
            <w:r>
              <w:rPr>
                <w:rFonts w:ascii="Times New Roman" w:hAnsi="Times New Roman"/>
              </w:rPr>
              <w:t>转移收取现金流量的合同权利</w:t>
            </w:r>
          </w:p>
        </w:tc>
        <w:tc>
          <w:tcPr>
            <w:tcW w:w="1808" w:type="dxa"/>
          </w:tcPr>
          <w:p w:rsidR="000C5659" w:rsidRDefault="000E33C4">
            <w:pPr>
              <w:rPr>
                <w:rFonts w:ascii="Times New Roman" w:hAnsi="Times New Roman"/>
              </w:rPr>
            </w:pPr>
            <w:r>
              <w:rPr>
                <w:rFonts w:ascii="Times New Roman" w:hAnsi="Times New Roman"/>
              </w:rPr>
              <w:t>应收款项融资</w:t>
            </w:r>
            <w:r>
              <w:rPr>
                <w:rFonts w:ascii="Times New Roman" w:hAnsi="Times New Roman"/>
              </w:rPr>
              <w:t>-</w:t>
            </w:r>
            <w:r>
              <w:rPr>
                <w:rFonts w:ascii="Times New Roman" w:hAnsi="Times New Roman"/>
              </w:rPr>
              <w:t>票据背书、贴现</w:t>
            </w:r>
          </w:p>
        </w:tc>
        <w:tc>
          <w:tcPr>
            <w:tcW w:w="1808"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11,808,684.56</w:t>
            </w:r>
          </w:p>
        </w:tc>
        <w:tc>
          <w:tcPr>
            <w:tcW w:w="1808" w:type="dxa"/>
            <w:vAlign w:val="center"/>
          </w:tcPr>
          <w:p w:rsidR="000C5659" w:rsidRDefault="000E33C4">
            <w:pPr>
              <w:rPr>
                <w:rFonts w:ascii="Times New Roman" w:hAnsi="Times New Roman"/>
              </w:rPr>
            </w:pPr>
            <w:r>
              <w:rPr>
                <w:rFonts w:ascii="Times New Roman" w:hAnsi="Times New Roman" w:hint="eastAsia"/>
                <w:szCs w:val="18"/>
              </w:rPr>
              <w:t>终止确认</w:t>
            </w:r>
          </w:p>
        </w:tc>
        <w:tc>
          <w:tcPr>
            <w:tcW w:w="1808" w:type="dxa"/>
            <w:vAlign w:val="center"/>
          </w:tcPr>
          <w:p w:rsidR="000C5659" w:rsidRDefault="000E33C4">
            <w:pPr>
              <w:rPr>
                <w:rFonts w:ascii="Times New Roman" w:hAnsi="Times New Roman"/>
              </w:rPr>
            </w:pPr>
            <w:r>
              <w:rPr>
                <w:rFonts w:ascii="Times New Roman" w:hAnsi="Times New Roman" w:hint="eastAsia"/>
                <w:szCs w:val="18"/>
              </w:rPr>
              <w:t>转移了金融资产所有权上几乎所有风险和报酬</w:t>
            </w:r>
          </w:p>
        </w:tc>
      </w:tr>
      <w:tr w:rsidR="000C5659">
        <w:tc>
          <w:tcPr>
            <w:tcW w:w="1807"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合计</w:t>
            </w:r>
          </w:p>
        </w:tc>
        <w:tc>
          <w:tcPr>
            <w:tcW w:w="1808"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w:t>
            </w:r>
          </w:p>
        </w:tc>
        <w:tc>
          <w:tcPr>
            <w:tcW w:w="1808" w:type="dxa"/>
          </w:tcPr>
          <w:p w:rsidR="000C5659" w:rsidRDefault="000E33C4">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11,808,684.56</w:t>
            </w:r>
          </w:p>
        </w:tc>
        <w:tc>
          <w:tcPr>
            <w:tcW w:w="1808"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w:t>
            </w:r>
          </w:p>
        </w:tc>
        <w:tc>
          <w:tcPr>
            <w:tcW w:w="1808" w:type="dxa"/>
          </w:tcPr>
          <w:p w:rsidR="000C5659" w:rsidRDefault="000E33C4">
            <w:pPr>
              <w:jc w:val="center"/>
              <w:rPr>
                <w:rFonts w:ascii="Times New Roman" w:hAnsi="Times New Roman"/>
                <w:color w:val="000000" w:themeColor="text1"/>
              </w:rPr>
            </w:pPr>
            <w:r>
              <w:rPr>
                <w:rFonts w:ascii="Times New Roman" w:hAnsi="Times New Roman" w:hint="eastAsia"/>
                <w:color w:val="000000" w:themeColor="text1"/>
              </w:rPr>
              <w:t>/</w:t>
            </w:r>
          </w:p>
        </w:tc>
      </w:tr>
    </w:tbl>
    <w:p w:rsidR="000C5659" w:rsidRDefault="000C5659">
      <w:pPr>
        <w:pStyle w:val="Style325"/>
      </w:pPr>
    </w:p>
    <w:p w:rsidR="000C5659" w:rsidRDefault="000E33C4" w:rsidP="000743DD">
      <w:pPr>
        <w:pStyle w:val="Style165"/>
        <w:numPr>
          <w:ilvl w:val="0"/>
          <w:numId w:val="104"/>
        </w:numPr>
        <w:ind w:left="425" w:hanging="425"/>
        <w:rPr>
          <w:color w:val="000000" w:themeColor="text1"/>
        </w:rPr>
      </w:pPr>
      <w:r>
        <w:rPr>
          <w:rFonts w:hint="eastAsia"/>
          <w:color w:val="000000" w:themeColor="text1"/>
        </w:rPr>
        <w:t>因转移而终止确认的金融资产</w:t>
      </w:r>
    </w:p>
    <w:sdt>
      <w:sdtPr>
        <w:rPr>
          <w:rFonts w:hint="eastAsia"/>
          <w:color w:val="000000" w:themeColor="text1"/>
        </w:rPr>
        <w:alias w:val="是否适用：因转移而终止确认的金融资产[双击切换]"/>
        <w:tag w:val="_GBC_46574eb995bc458dacbb66d429fbeb28"/>
        <w:id w:val="-48716664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104"/>
        </w:numPr>
        <w:ind w:left="425" w:hanging="425"/>
        <w:rPr>
          <w:color w:val="000000" w:themeColor="text1"/>
        </w:rPr>
      </w:pPr>
      <w:r>
        <w:rPr>
          <w:rFonts w:hint="eastAsia"/>
          <w:color w:val="000000" w:themeColor="text1"/>
        </w:rPr>
        <w:t>继续涉入的转移金融资产</w:t>
      </w:r>
    </w:p>
    <w:sdt>
      <w:sdtPr>
        <w:rPr>
          <w:color w:val="000000" w:themeColor="text1"/>
        </w:rPr>
        <w:alias w:val="是否适用：继续涉入的转移金融资产[双击切换]"/>
        <w:tag w:val="_GBC_839df5011587479d8e96a4229c69e37a"/>
        <w:id w:val="-120555643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金融资产转移其他说明[双击切换]"/>
        <w:tag w:val="_GBC_d5c96ff7d4c3440e81b67f6ecd7164b1"/>
        <w:id w:val="-21534800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362"/>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公允价值的披露</w:t>
      </w:r>
    </w:p>
    <w:p w:rsidR="000C5659" w:rsidRDefault="000E33C4" w:rsidP="000743DD">
      <w:pPr>
        <w:pStyle w:val="Style163"/>
        <w:numPr>
          <w:ilvl w:val="0"/>
          <w:numId w:val="105"/>
        </w:numPr>
        <w:rPr>
          <w:rFonts w:ascii="宋体" w:hAnsi="宋体"/>
          <w:color w:val="000000" w:themeColor="text1"/>
        </w:rPr>
      </w:pPr>
      <w:bookmarkStart w:id="366" w:name="_Hlk10539195"/>
      <w:r>
        <w:rPr>
          <w:rFonts w:ascii="宋体" w:hAnsi="宋体" w:hint="eastAsia"/>
          <w:color w:val="000000" w:themeColor="text1"/>
        </w:rPr>
        <w:t>以公允价值计量的资产和负债的期末公允价值</w:t>
      </w:r>
    </w:p>
    <w:sdt>
      <w:sdtPr>
        <w:rPr>
          <w:color w:val="000000" w:themeColor="text1"/>
        </w:rPr>
        <w:alias w:val="是否适用：以公允价值计量的资产和负债的期末公允价值[双击切换]"/>
        <w:tag w:val="_GBC_291486261b6a4e8092eea55d961b7664"/>
        <w:id w:val="-2616027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财务附注：以公允价值计量的资产和负债的期末公允价值"/>
          <w:tag w:val="_GBC_4b785696cde44d3f8a4a7d28ab963e38"/>
          <w:id w:val="-3712250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以公允价值计量的资产和负债的期末公允价值"/>
          <w:tag w:val="_GBC_3bb5670d72804a4b8298edc3e439955a"/>
          <w:id w:val="-1105493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49"/>
        <w:gridCol w:w="1653"/>
        <w:gridCol w:w="1614"/>
        <w:gridCol w:w="1681"/>
        <w:gridCol w:w="1526"/>
      </w:tblGrid>
      <w:tr w:rsidR="000C5659">
        <w:trPr>
          <w:trHeight w:val="145"/>
        </w:trPr>
        <w:sdt>
          <w:sdtPr>
            <w:rPr>
              <w:color w:val="000000" w:themeColor="text1"/>
            </w:rPr>
            <w:tag w:val="_PLD_25e2bb7801744f08a089c0e6a2b31b9b"/>
            <w:id w:val="1671212349"/>
          </w:sdtPr>
          <w:sdtEndPr/>
          <w:sdtContent>
            <w:tc>
              <w:tcPr>
                <w:tcW w:w="1333"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outlineLvl w:val="2"/>
                  <w:rPr>
                    <w:rFonts w:cs="Cambria"/>
                    <w:color w:val="000000" w:themeColor="text1"/>
                  </w:rPr>
                </w:pPr>
                <w:r>
                  <w:rPr>
                    <w:rFonts w:cs="Cambria" w:hint="eastAsia"/>
                    <w:color w:val="000000" w:themeColor="text1"/>
                  </w:rPr>
                  <w:t>项目</w:t>
                </w:r>
              </w:p>
            </w:tc>
          </w:sdtContent>
        </w:sdt>
        <w:sdt>
          <w:sdtPr>
            <w:rPr>
              <w:color w:val="000000" w:themeColor="text1"/>
            </w:rPr>
            <w:tag w:val="_PLD_ad919f08ba5040a28e31328eb66da0bf"/>
            <w:id w:val="1365556057"/>
          </w:sdtPr>
          <w:sdtEnd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outlineLvl w:val="2"/>
                  <w:rPr>
                    <w:rFonts w:cs="Cambria"/>
                    <w:color w:val="000000" w:themeColor="text1"/>
                  </w:rPr>
                </w:pPr>
                <w:r>
                  <w:rPr>
                    <w:rFonts w:cs="Cambria" w:hint="eastAsia"/>
                    <w:color w:val="000000" w:themeColor="text1"/>
                  </w:rPr>
                  <w:t>期末公允价值</w:t>
                </w:r>
              </w:p>
            </w:tc>
          </w:sdtContent>
        </w:sdt>
      </w:tr>
      <w:tr w:rsidR="000C5659">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0C5659" w:rsidRDefault="000C5659">
            <w:pPr>
              <w:jc w:val="center"/>
              <w:outlineLvl w:val="2"/>
              <w:rPr>
                <w:rFonts w:cs="Cambria"/>
                <w:color w:val="000000" w:themeColor="text1"/>
              </w:rPr>
            </w:pPr>
          </w:p>
        </w:tc>
        <w:sdt>
          <w:sdtPr>
            <w:rPr>
              <w:color w:val="000000" w:themeColor="text1"/>
            </w:rPr>
            <w:tag w:val="_PLD_4bb34c3d92bf450fb80f7c0c95977a2b"/>
            <w:id w:val="-1343926010"/>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outlineLvl w:val="2"/>
                  <w:rPr>
                    <w:rFonts w:cs="Cambria"/>
                    <w:color w:val="000000" w:themeColor="text1"/>
                  </w:rPr>
                </w:pPr>
                <w:r>
                  <w:rPr>
                    <w:rFonts w:cs="Cambria" w:hint="eastAsia"/>
                    <w:color w:val="000000" w:themeColor="text1"/>
                  </w:rPr>
                  <w:t>第一层次公允价值计量</w:t>
                </w:r>
              </w:p>
            </w:tc>
          </w:sdtContent>
        </w:sdt>
        <w:sdt>
          <w:sdtPr>
            <w:rPr>
              <w:color w:val="000000" w:themeColor="text1"/>
            </w:rPr>
            <w:tag w:val="_PLD_08753059c9e04a10af2918fbc1559bed"/>
            <w:id w:val="-1254125233"/>
          </w:sdtPr>
          <w:sdtEnd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outlineLvl w:val="2"/>
                  <w:rPr>
                    <w:rFonts w:cs="Cambria"/>
                    <w:color w:val="000000" w:themeColor="text1"/>
                  </w:rPr>
                </w:pPr>
                <w:r>
                  <w:rPr>
                    <w:rFonts w:cs="Cambria" w:hint="eastAsia"/>
                    <w:color w:val="000000" w:themeColor="text1"/>
                  </w:rPr>
                  <w:t>第二层次公允价值计量</w:t>
                </w:r>
              </w:p>
            </w:tc>
          </w:sdtContent>
        </w:sdt>
        <w:sdt>
          <w:sdtPr>
            <w:rPr>
              <w:color w:val="000000" w:themeColor="text1"/>
            </w:rPr>
            <w:tag w:val="_PLD_b263de838c9c4afa9fddb6dee6409a62"/>
            <w:id w:val="-348024100"/>
          </w:sdtPr>
          <w:sdtEnd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outlineLvl w:val="2"/>
                  <w:rPr>
                    <w:rFonts w:cs="Cambria"/>
                    <w:color w:val="000000" w:themeColor="text1"/>
                  </w:rPr>
                </w:pPr>
                <w:r>
                  <w:rPr>
                    <w:rFonts w:cs="Cambria" w:hint="eastAsia"/>
                    <w:color w:val="000000" w:themeColor="text1"/>
                  </w:rPr>
                  <w:t>第三层次公允价值计量</w:t>
                </w:r>
              </w:p>
            </w:tc>
          </w:sdtContent>
        </w:sdt>
        <w:sdt>
          <w:sdtPr>
            <w:rPr>
              <w:color w:val="000000" w:themeColor="text1"/>
            </w:rPr>
            <w:tag w:val="_PLD_50eba344a451417c8072228a7a4959c5"/>
            <w:id w:val="1415520769"/>
          </w:sdtPr>
          <w:sdtEnd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outlineLvl w:val="2"/>
                  <w:rPr>
                    <w:rFonts w:cs="Cambria"/>
                    <w:color w:val="000000" w:themeColor="text1"/>
                  </w:rPr>
                </w:pPr>
                <w:r>
                  <w:rPr>
                    <w:rFonts w:cs="Cambria" w:hint="eastAsia"/>
                    <w:color w:val="000000" w:themeColor="text1"/>
                  </w:rPr>
                  <w:t>合计</w:t>
                </w:r>
              </w:p>
            </w:tc>
          </w:sdtContent>
        </w:sdt>
      </w:tr>
      <w:tr w:rsidR="000C5659">
        <w:trPr>
          <w:trHeight w:val="227"/>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b/>
                <w:color w:val="000000" w:themeColor="text1"/>
              </w:rPr>
            </w:pPr>
            <w:r>
              <w:rPr>
                <w:rFonts w:cs="Cambria" w:hint="eastAsia"/>
                <w:b/>
                <w:color w:val="000000" w:themeColor="text1"/>
              </w:rPr>
              <w:t>一、持续的公允价值计量</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color w:val="000000" w:themeColor="text1"/>
              </w:rPr>
            </w:pPr>
            <w:r>
              <w:rPr>
                <w:rFonts w:hint="eastAsia"/>
                <w:color w:val="000000" w:themeColor="text1"/>
              </w:rPr>
              <w:t>（一）</w:t>
            </w:r>
            <w:r>
              <w:rPr>
                <w:rFonts w:hint="eastAsia"/>
                <w:color w:val="000000" w:themeColor="text1"/>
                <w:shd w:val="solid" w:color="FFFFFF" w:fill="auto"/>
              </w:rPr>
              <w:t>交易性金融资产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rPr>
              <w:t>8,845,004.72</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45,809,980.38</w:t>
            </w: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54,654,985.10</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color w:val="000000" w:themeColor="text1"/>
              </w:rPr>
            </w:pPr>
            <w:r>
              <w:rPr>
                <w:color w:val="000000" w:themeColor="text1"/>
              </w:rPr>
              <w:t>1.以公允价值计量且变动计入当期损益的金融资产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rPr>
              <w:t>8,845,004.72</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45,809,980.38</w:t>
            </w: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54,654,985.10</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w:t>
            </w:r>
            <w:r>
              <w:rPr>
                <w:rFonts w:cs="Cambria"/>
                <w:color w:val="000000" w:themeColor="text1"/>
              </w:rPr>
              <w:t>1</w:t>
            </w:r>
            <w:r>
              <w:rPr>
                <w:rFonts w:cs="Cambria" w:hint="eastAsia"/>
                <w:color w:val="000000" w:themeColor="text1"/>
              </w:rPr>
              <w:t>）债务工具投资</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w:t>
            </w:r>
            <w:r>
              <w:rPr>
                <w:rFonts w:cs="Cambria"/>
                <w:color w:val="000000" w:themeColor="text1"/>
              </w:rPr>
              <w:t>2</w:t>
            </w:r>
            <w:r>
              <w:rPr>
                <w:rFonts w:cs="Cambria" w:hint="eastAsia"/>
                <w:color w:val="000000" w:themeColor="text1"/>
              </w:rPr>
              <w:t>）权益工具投资</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rPr>
              <w:t>8,845,004.72</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8,845,004.72</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w:t>
            </w:r>
            <w:r>
              <w:rPr>
                <w:rFonts w:cs="Cambria"/>
                <w:color w:val="000000" w:themeColor="text1"/>
              </w:rPr>
              <w:t>3</w:t>
            </w:r>
            <w:r>
              <w:rPr>
                <w:rFonts w:cs="Cambria" w:hint="eastAsia"/>
                <w:color w:val="000000" w:themeColor="text1"/>
              </w:rPr>
              <w:t>）衍生金融资产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45,809,980.38</w:t>
            </w: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45,809,980.38</w:t>
            </w:r>
          </w:p>
        </w:tc>
      </w:tr>
      <w:tr w:rsidR="000C5659">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color w:val="000000" w:themeColor="text1"/>
              </w:rPr>
              <w:t xml:space="preserve">2. </w:t>
            </w:r>
            <w:r>
              <w:rPr>
                <w:rFonts w:cs="Cambria" w:hint="eastAsia"/>
                <w:color w:val="000000" w:themeColor="text1"/>
              </w:rPr>
              <w:t>指定以公允价值计量且其变动计入当期损益的金融资产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w:t>
            </w:r>
            <w:r>
              <w:rPr>
                <w:rFonts w:cs="Cambria"/>
                <w:color w:val="000000" w:themeColor="text1"/>
              </w:rPr>
              <w:t>1</w:t>
            </w:r>
            <w:r>
              <w:rPr>
                <w:rFonts w:cs="Cambria" w:hint="eastAsia"/>
                <w:color w:val="000000" w:themeColor="text1"/>
              </w:rPr>
              <w:t>）债务工具投资</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w:t>
            </w:r>
            <w:r>
              <w:rPr>
                <w:rFonts w:cs="Cambria"/>
                <w:color w:val="000000" w:themeColor="text1"/>
              </w:rPr>
              <w:t>2</w:t>
            </w:r>
            <w:r>
              <w:rPr>
                <w:rFonts w:cs="Cambria" w:hint="eastAsia"/>
                <w:color w:val="000000" w:themeColor="text1"/>
              </w:rPr>
              <w:t>）权益工具投资</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color w:val="000000" w:themeColor="text1"/>
              </w:rPr>
            </w:pPr>
            <w:r>
              <w:rPr>
                <w:rFonts w:hint="eastAsia"/>
                <w:color w:val="000000" w:themeColor="text1"/>
              </w:rPr>
              <w:t>（二）</w:t>
            </w:r>
            <w:r>
              <w:rPr>
                <w:rFonts w:hint="eastAsia"/>
                <w:color w:val="000000" w:themeColor="text1"/>
                <w:shd w:val="solid" w:color="FFFFFF" w:fill="auto"/>
              </w:rPr>
              <w:t>其他债权投资</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color w:val="000000" w:themeColor="text1"/>
              </w:rPr>
            </w:pPr>
            <w:r>
              <w:rPr>
                <w:rFonts w:hint="eastAsia"/>
                <w:color w:val="000000" w:themeColor="text1"/>
              </w:rPr>
              <w:t>（三）</w:t>
            </w:r>
            <w:r>
              <w:rPr>
                <w:rFonts w:hint="eastAsia"/>
                <w:color w:val="000000" w:themeColor="text1"/>
                <w:shd w:val="solid" w:color="FFFFFF" w:fill="auto"/>
              </w:rPr>
              <w:t>其他权益工具投资</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（四）</w:t>
            </w:r>
            <w:r>
              <w:rPr>
                <w:rFonts w:cs="Cambria" w:hint="eastAsia"/>
                <w:color w:val="000000" w:themeColor="text1"/>
                <w:shd w:val="solid" w:color="FFFFFF" w:fill="auto"/>
              </w:rPr>
              <w:t>投资性房地产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color w:val="000000" w:themeColor="text1"/>
              </w:rPr>
              <w:t>1.</w:t>
            </w:r>
            <w:r>
              <w:rPr>
                <w:rFonts w:cs="Cambria" w:hint="eastAsia"/>
                <w:color w:val="000000" w:themeColor="text1"/>
              </w:rPr>
              <w:t>出租用的土地使用权</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color w:val="000000" w:themeColor="text1"/>
              </w:rPr>
              <w:t>2.</w:t>
            </w:r>
            <w:r>
              <w:rPr>
                <w:rFonts w:cs="Cambria" w:hint="eastAsia"/>
                <w:color w:val="000000" w:themeColor="text1"/>
              </w:rPr>
              <w:t>出租的建筑物</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color w:val="000000" w:themeColor="text1"/>
              </w:rPr>
              <w:lastRenderedPageBreak/>
              <w:t>3.</w:t>
            </w:r>
            <w:r>
              <w:rPr>
                <w:rFonts w:cs="Cambria" w:hint="eastAsia"/>
                <w:color w:val="000000" w:themeColor="text1"/>
              </w:rPr>
              <w:t>持有并准备增值后转让的土地使用权</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（五）</w:t>
            </w:r>
            <w:r>
              <w:rPr>
                <w:rFonts w:cs="Cambria" w:hint="eastAsia"/>
                <w:color w:val="000000" w:themeColor="text1"/>
                <w:shd w:val="solid" w:color="FFFFFF" w:fill="auto"/>
              </w:rPr>
              <w:t>生物资产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color w:val="000000" w:themeColor="text1"/>
              </w:rPr>
              <w:t>1.</w:t>
            </w:r>
            <w:r>
              <w:rPr>
                <w:rFonts w:cs="Cambria" w:hint="eastAsia"/>
                <w:color w:val="000000" w:themeColor="text1"/>
              </w:rPr>
              <w:t>消耗性生物资产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color w:val="000000" w:themeColor="text1"/>
              </w:rPr>
              <w:t>2.</w:t>
            </w:r>
            <w:r>
              <w:rPr>
                <w:rFonts w:cs="Cambria" w:hint="eastAsia"/>
                <w:color w:val="000000" w:themeColor="text1"/>
              </w:rPr>
              <w:t>生产性生物资产</w:t>
            </w:r>
          </w:p>
        </w:tc>
        <w:tc>
          <w:tcPr>
            <w:tcW w:w="9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95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outlineLvl w:val="2"/>
              <w:rPr>
                <w:rFonts w:cs="Cambria"/>
              </w:rPr>
            </w:pPr>
            <w:r>
              <w:rPr>
                <w:rFonts w:hint="eastAsia"/>
                <w:color w:val="000000"/>
              </w:rPr>
              <w:t xml:space="preserve">　</w:t>
            </w: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outlineLvl w:val="2"/>
              <w:rPr>
                <w:rFonts w:cs="Cambria"/>
                <w:color w:val="000000" w:themeColor="text1"/>
              </w:rPr>
            </w:pPr>
            <w:r>
              <w:rPr>
                <w:rFonts w:hint="eastAsia"/>
                <w:color w:val="000000"/>
              </w:rPr>
              <w:t>（六）应收款项融资</w:t>
            </w:r>
          </w:p>
        </w:tc>
        <w:tc>
          <w:tcPr>
            <w:tcW w:w="166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28"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1,036,675.50</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1,036,675.50</w:t>
            </w: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outlineLvl w:val="2"/>
              <w:rPr>
                <w:rFonts w:cs="Cambria"/>
              </w:rPr>
            </w:pPr>
            <w:r>
              <w:rPr>
                <w:rFonts w:hint="eastAsia"/>
                <w:color w:val="000000"/>
              </w:rPr>
              <w:t>（七）其他非流动金融资产</w:t>
            </w:r>
          </w:p>
        </w:tc>
        <w:tc>
          <w:tcPr>
            <w:tcW w:w="166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2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56,411,382.64</w:t>
            </w: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56,411,382.64</w:t>
            </w: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outlineLvl w:val="2"/>
              <w:rPr>
                <w:rFonts w:cs="Cambria"/>
              </w:rPr>
            </w:pPr>
            <w:r>
              <w:rPr>
                <w:rFonts w:hint="eastAsia"/>
                <w:color w:val="000000"/>
              </w:rPr>
              <w:t>1.以公允价值计量且其变动计入当期损益的金融资产</w:t>
            </w:r>
          </w:p>
        </w:tc>
        <w:tc>
          <w:tcPr>
            <w:tcW w:w="166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2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56,411,382.64</w:t>
            </w: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56,411,382.64</w:t>
            </w: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outlineLvl w:val="2"/>
              <w:rPr>
                <w:rFonts w:cs="Cambria"/>
              </w:rPr>
            </w:pPr>
            <w:r>
              <w:rPr>
                <w:rFonts w:hint="eastAsia"/>
                <w:color w:val="000000"/>
              </w:rPr>
              <w:t>（1）权益工具投资</w:t>
            </w:r>
          </w:p>
        </w:tc>
        <w:tc>
          <w:tcPr>
            <w:tcW w:w="166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2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56,411,382.64</w:t>
            </w: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56,411,382.64</w:t>
            </w: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outlineLvl w:val="2"/>
              <w:rPr>
                <w:rFonts w:cs="Cambria"/>
              </w:rPr>
            </w:pPr>
            <w:r>
              <w:rPr>
                <w:rFonts w:hint="eastAsia"/>
                <w:color w:val="000000"/>
              </w:rPr>
              <w:t>2.指定为以公允价值计量且其变动计入当期损益的金融资产</w:t>
            </w:r>
          </w:p>
        </w:tc>
        <w:tc>
          <w:tcPr>
            <w:tcW w:w="166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28"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C5659">
            <w:pPr>
              <w:jc w:val="right"/>
              <w:rPr>
                <w:rFonts w:cs="Cambria"/>
              </w:rPr>
            </w:pPr>
          </w:p>
        </w:tc>
      </w:tr>
      <w:tr w:rsidR="000C5659">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b/>
                <w:color w:val="000000" w:themeColor="text1"/>
              </w:rPr>
            </w:pPr>
            <w:r>
              <w:rPr>
                <w:rFonts w:cs="Cambria" w:hint="eastAsia"/>
                <w:b/>
                <w:color w:val="000000" w:themeColor="text1"/>
              </w:rPr>
              <w:t>持续以公允价值计量的资产总额</w:t>
            </w:r>
          </w:p>
        </w:tc>
        <w:tc>
          <w:tcPr>
            <w:tcW w:w="1668"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8,845,004.72</w:t>
            </w:r>
          </w:p>
        </w:tc>
        <w:tc>
          <w:tcPr>
            <w:tcW w:w="1628"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1,036,675.50</w:t>
            </w:r>
          </w:p>
        </w:tc>
        <w:tc>
          <w:tcPr>
            <w:tcW w:w="1696"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102,221,363.02</w:t>
            </w:r>
          </w:p>
        </w:tc>
        <w:tc>
          <w:tcPr>
            <w:tcW w:w="1527" w:type="dxa"/>
            <w:tcBorders>
              <w:top w:val="single" w:sz="4" w:space="0" w:color="auto"/>
              <w:left w:val="single" w:sz="4" w:space="0" w:color="auto"/>
              <w:bottom w:val="single" w:sz="4" w:space="0" w:color="auto"/>
              <w:right w:val="single" w:sz="4" w:space="0" w:color="auto"/>
            </w:tcBorders>
            <w:vAlign w:val="center"/>
          </w:tcPr>
          <w:p w:rsidR="000C5659" w:rsidRDefault="000E33C4">
            <w:pPr>
              <w:jc w:val="right"/>
              <w:textAlignment w:val="center"/>
              <w:rPr>
                <w:rFonts w:cs="Cambria"/>
              </w:rPr>
            </w:pPr>
            <w:r>
              <w:rPr>
                <w:rFonts w:hint="eastAsia"/>
                <w:color w:val="000000"/>
                <w:lang w:bidi="ar"/>
              </w:rPr>
              <w:t>112,103,043.24</w:t>
            </w:r>
          </w:p>
        </w:tc>
      </w:tr>
      <w:tr w:rsidR="000C5659">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（六）</w:t>
            </w:r>
            <w:r>
              <w:rPr>
                <w:rFonts w:cs="Cambria" w:hint="eastAsia"/>
                <w:color w:val="000000" w:themeColor="text1"/>
                <w:shd w:val="solid" w:color="FFFFFF" w:fill="auto"/>
              </w:rPr>
              <w:t>交易性金融负债</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color w:val="000000" w:themeColor="text1"/>
              </w:rPr>
              <w:t>1.以公允价值计量且变动计入当期损益的金融负债</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其中：发行的交易性债券</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rPr>
          <w:trHeight w:val="28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tabs>
                <w:tab w:val="left" w:pos="432"/>
                <w:tab w:val="center" w:pos="5630"/>
                <w:tab w:val="center" w:pos="7430"/>
              </w:tabs>
              <w:ind w:firstLineChars="300" w:firstLine="630"/>
              <w:rPr>
                <w:rFonts w:cs="Cambria"/>
                <w:color w:val="000000" w:themeColor="text1"/>
              </w:rPr>
            </w:pPr>
            <w:r>
              <w:rPr>
                <w:rFonts w:cs="Cambria" w:hint="eastAsia"/>
                <w:color w:val="000000" w:themeColor="text1"/>
              </w:rPr>
              <w:t>衍生金融负债</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84"/>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tabs>
                <w:tab w:val="left" w:pos="432"/>
                <w:tab w:val="center" w:pos="5630"/>
                <w:tab w:val="center" w:pos="7430"/>
              </w:tabs>
              <w:ind w:firstLineChars="300" w:firstLine="630"/>
              <w:rPr>
                <w:rFonts w:cs="Cambria"/>
                <w:color w:val="000000" w:themeColor="text1"/>
              </w:rPr>
            </w:pPr>
            <w:r>
              <w:rPr>
                <w:rFonts w:cs="Cambria" w:hint="eastAsia"/>
                <w:color w:val="000000" w:themeColor="text1"/>
              </w:rPr>
              <w:t>其他</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2.指定为以公允价值计量且变动计入当期损益的金融负债</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outlineLvl w:val="2"/>
              <w:rPr>
                <w:rFonts w:cs="Cambria"/>
              </w:rPr>
            </w:pP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outlineLvl w:val="2"/>
              <w:rPr>
                <w:rFonts w:cs="Cambria"/>
              </w:rPr>
            </w:pP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b/>
                <w:color w:val="000000" w:themeColor="text1"/>
              </w:rPr>
            </w:pPr>
            <w:r>
              <w:rPr>
                <w:rFonts w:cs="Cambria" w:hint="eastAsia"/>
                <w:b/>
                <w:color w:val="000000" w:themeColor="text1"/>
              </w:rPr>
              <w:t>持续以公允价值计量的负债总额</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tabs>
                <w:tab w:val="center" w:pos="824"/>
                <w:tab w:val="right" w:pos="1649"/>
              </w:tabs>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b/>
                <w:color w:val="000000" w:themeColor="text1"/>
              </w:rPr>
            </w:pPr>
            <w:r>
              <w:rPr>
                <w:rFonts w:cs="Cambria" w:hint="eastAsia"/>
                <w:b/>
                <w:color w:val="000000" w:themeColor="text1"/>
              </w:rPr>
              <w:t>二、非持续的公允价值计量</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color w:val="000000" w:themeColor="text1"/>
              </w:rPr>
            </w:pPr>
            <w:r>
              <w:rPr>
                <w:rFonts w:cs="Cambria" w:hint="eastAsia"/>
                <w:color w:val="000000" w:themeColor="text1"/>
              </w:rPr>
              <w:t>（一）持有待售资产</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outlineLvl w:val="2"/>
              <w:rPr>
                <w:rFonts w:cs="Cambria"/>
              </w:rPr>
            </w:pP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outlineLvl w:val="2"/>
              <w:rPr>
                <w:rFonts w:cs="Cambria"/>
              </w:rPr>
            </w:pP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b/>
                <w:color w:val="000000" w:themeColor="text1"/>
              </w:rPr>
            </w:pPr>
            <w:r>
              <w:rPr>
                <w:rFonts w:cs="Cambria" w:hint="eastAsia"/>
                <w:b/>
                <w:color w:val="000000" w:themeColor="text1"/>
              </w:rPr>
              <w:t>非持续以公允价值计量的资产总额</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p w:rsidR="000C5659" w:rsidRDefault="000C5659">
            <w:pPr>
              <w:jc w:val="center"/>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outlineLvl w:val="2"/>
              <w:rPr>
                <w:rFonts w:cs="Cambria"/>
              </w:rPr>
            </w:pP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21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outlineLvl w:val="2"/>
              <w:rPr>
                <w:rFonts w:cs="Cambria"/>
              </w:rPr>
            </w:pP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r w:rsidR="000C5659">
        <w:trPr>
          <w:trHeight w:val="481"/>
        </w:trPr>
        <w:tc>
          <w:tcPr>
            <w:tcW w:w="133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outlineLvl w:val="2"/>
              <w:rPr>
                <w:rFonts w:cs="Cambria"/>
                <w:b/>
                <w:color w:val="000000" w:themeColor="text1"/>
              </w:rPr>
            </w:pPr>
            <w:r>
              <w:rPr>
                <w:rFonts w:cs="Cambria" w:hint="eastAsia"/>
                <w:b/>
                <w:color w:val="000000" w:themeColor="text1"/>
              </w:rPr>
              <w:t>非持续以公允价值计量的负债总额</w:t>
            </w:r>
          </w:p>
        </w:tc>
        <w:tc>
          <w:tcPr>
            <w:tcW w:w="93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16"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954"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c>
          <w:tcPr>
            <w:tcW w:w="858" w:type="pct"/>
            <w:tcBorders>
              <w:top w:val="single" w:sz="4" w:space="0" w:color="auto"/>
              <w:left w:val="single" w:sz="4" w:space="0" w:color="auto"/>
              <w:bottom w:val="single" w:sz="4" w:space="0" w:color="auto"/>
              <w:right w:val="single" w:sz="4" w:space="0" w:color="auto"/>
            </w:tcBorders>
          </w:tcPr>
          <w:p w:rsidR="000C5659" w:rsidRDefault="000C5659">
            <w:pPr>
              <w:jc w:val="right"/>
              <w:outlineLvl w:val="2"/>
              <w:rPr>
                <w:rFonts w:cs="Cambria"/>
              </w:rPr>
            </w:pPr>
          </w:p>
        </w:tc>
      </w:tr>
    </w:tbl>
    <w:p w:rsidR="000C5659" w:rsidRDefault="000C5659">
      <w:pPr>
        <w:tabs>
          <w:tab w:val="left" w:pos="1134"/>
        </w:tabs>
        <w:rPr>
          <w:rFonts w:cs="Cambria"/>
          <w:b/>
          <w:color w:val="000000" w:themeColor="text1"/>
        </w:rPr>
      </w:pPr>
    </w:p>
    <w:bookmarkEnd w:id="366"/>
    <w:p w:rsidR="000C5659" w:rsidRDefault="000E33C4" w:rsidP="000743DD">
      <w:pPr>
        <w:pStyle w:val="Style163"/>
        <w:numPr>
          <w:ilvl w:val="0"/>
          <w:numId w:val="105"/>
        </w:numPr>
        <w:rPr>
          <w:rFonts w:ascii="宋体" w:hAnsi="宋体" w:cs="Arial"/>
          <w:color w:val="000000" w:themeColor="text1"/>
          <w:szCs w:val="21"/>
        </w:rPr>
      </w:pPr>
      <w:r>
        <w:rPr>
          <w:rFonts w:ascii="宋体" w:hAnsi="宋体" w:cs="Arial" w:hint="eastAsia"/>
          <w:color w:val="000000" w:themeColor="text1"/>
          <w:szCs w:val="21"/>
        </w:rPr>
        <w:t>持续和非持续第一层次公允价值计量项目市价的确定依据</w:t>
      </w:r>
    </w:p>
    <w:sdt>
      <w:sdtPr>
        <w:rPr>
          <w:color w:val="000000" w:themeColor="text1"/>
        </w:rPr>
        <w:alias w:val="是否适用：持续和非持续第一层次公允价值计量项目市价的确定依据[双击切换]"/>
        <w:tag w:val="_GBC_699178e78c6743f697df07ed34d59216"/>
        <w:id w:val="-76677974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cs="Arial" w:hint="eastAsia"/>
          <w:color w:val="000000" w:themeColor="text1"/>
        </w:rPr>
        <w:alias w:val="持续和非持续第一层次公允价值计量项目市价的确定依据"/>
        <w:tag w:val="_GBC_8db65a2ca59047da919942f97cfc594e"/>
        <w:id w:val="739363858"/>
        <w:placeholder>
          <w:docPart w:val="GBC22222222222222222222222222222"/>
        </w:placeholder>
      </w:sdtPr>
      <w:sdtEndPr/>
      <w:sdtContent>
        <w:p w:rsidR="000C5659" w:rsidRDefault="000E33C4">
          <w:pPr>
            <w:rPr>
              <w:rFonts w:cs="Arial"/>
            </w:rPr>
          </w:pPr>
          <w:r>
            <w:rPr>
              <w:rFonts w:cs="Arial"/>
            </w:rPr>
            <w:t>1</w:t>
          </w:r>
          <w:r>
            <w:rPr>
              <w:rFonts w:cs="Arial" w:hint="eastAsia"/>
            </w:rPr>
            <w:t>、对于投资的的具有市场报价或净值估值报价的基金投资采用持有份额与单位份额净值估值报价的乘积作为持有的基金公允价值的确定依据</w:t>
          </w:r>
        </w:p>
        <w:p w:rsidR="000C5659" w:rsidRDefault="000E33C4">
          <w:pPr>
            <w:rPr>
              <w:rFonts w:cs="Arial"/>
              <w:color w:val="000000" w:themeColor="text1"/>
            </w:rPr>
          </w:pPr>
          <w:r>
            <w:rPr>
              <w:rFonts w:cs="Arial"/>
            </w:rPr>
            <w:lastRenderedPageBreak/>
            <w:t>2</w:t>
          </w:r>
          <w:r>
            <w:rPr>
              <w:rFonts w:cs="Arial" w:hint="eastAsia"/>
            </w:rPr>
            <w:t>、对于投资于二级市场购买的股票产品，以市场收盘价格与持有股数的乘积作为持有股票公允价值的确定依据。</w:t>
          </w:r>
        </w:p>
      </w:sdtContent>
    </w:sdt>
    <w:p w:rsidR="000C5659" w:rsidRDefault="000C5659">
      <w:pPr>
        <w:tabs>
          <w:tab w:val="left" w:pos="1134"/>
        </w:tabs>
        <w:rPr>
          <w:rFonts w:cs="Cambria"/>
          <w:b/>
          <w:color w:val="000000" w:themeColor="text1"/>
        </w:rPr>
      </w:pPr>
    </w:p>
    <w:p w:rsidR="000C5659" w:rsidRDefault="000E33C4" w:rsidP="000743DD">
      <w:pPr>
        <w:pStyle w:val="Style163"/>
        <w:numPr>
          <w:ilvl w:val="0"/>
          <w:numId w:val="105"/>
        </w:numPr>
        <w:rPr>
          <w:rFonts w:ascii="宋体" w:hAnsi="宋体"/>
          <w:color w:val="000000" w:themeColor="text1"/>
        </w:rPr>
      </w:pPr>
      <w:r>
        <w:rPr>
          <w:rFonts w:ascii="宋体" w:hAnsi="宋体" w:cs="Arial" w:hint="eastAsia"/>
          <w:color w:val="000000" w:themeColor="text1"/>
          <w:szCs w:val="21"/>
        </w:rPr>
        <w:t>持续和非持续第二层次公允价值计量项目，采用的估值技术和重要参数的定性及定量信息</w:t>
      </w:r>
    </w:p>
    <w:sdt>
      <w:sdtPr>
        <w:rPr>
          <w:rFonts w:cs="Cambria" w:hint="eastAsia"/>
          <w:color w:val="000000" w:themeColor="text1"/>
        </w:rPr>
        <w:alias w:val="是否适用：持续和非持续第二层次公允价值计量项目，采用的估值技术和重要参数的定性及定量信息[双击切换]"/>
        <w:tag w:val="_GBC_8bee9b1c9bf241d5ae1f2c4578fc3b6c"/>
        <w:id w:val="630513311"/>
        <w:placeholder>
          <w:docPart w:val="GBC22222222222222222222222222222"/>
        </w:placeholder>
      </w:sdtPr>
      <w:sdtEndPr/>
      <w:sdtContent>
        <w:p w:rsidR="000C5659" w:rsidRDefault="000E33C4">
          <w:pPr>
            <w:tabs>
              <w:tab w:val="left" w:pos="1134"/>
            </w:tabs>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sdt>
      <w:sdtPr>
        <w:rPr>
          <w:rFonts w:cs="Cambria"/>
          <w:color w:val="000000" w:themeColor="text1"/>
        </w:rPr>
        <w:alias w:val="持续和非持续第二层次公允价值计量项目，采用的估值技术和重要参数的定性及定量信息"/>
        <w:tag w:val="_GBC_406ac04d46a9411bb4890572e539e6ca"/>
        <w:id w:val="-944311866"/>
        <w:placeholder>
          <w:docPart w:val="GBC22222222222222222222222222222"/>
        </w:placeholder>
      </w:sdtPr>
      <w:sdtEndPr/>
      <w:sdtContent>
        <w:sdt>
          <w:sdtPr>
            <w:rPr>
              <w:rFonts w:cs="Cambria"/>
            </w:rPr>
            <w:alias w:val="持续和非持续第二层次公允价值计量项目，采用的估值技术和重要参数的定性及定量信息"/>
            <w:tag w:val="_GBC_406ac04d46a9411bb4890572e539e6ca"/>
            <w:id w:val="-415014394"/>
          </w:sdtPr>
          <w:sdtEndPr/>
          <w:sdtContent>
            <w:p w:rsidR="000C5659" w:rsidRDefault="000E33C4">
              <w:pPr>
                <w:tabs>
                  <w:tab w:val="left" w:pos="1134"/>
                </w:tabs>
                <w:rPr>
                  <w:rFonts w:cs="Cambria"/>
                </w:rPr>
              </w:pPr>
              <w:r>
                <w:t>1</w:t>
              </w:r>
              <w:r>
                <w:rPr>
                  <w:rFonts w:hint="eastAsia"/>
                </w:rPr>
                <w:t>、应收融资款主要为拟用于贴现或背书的银行承兑汇票，公司采用通常情况下供应商可接受的市场价格对该类银行承兑汇票进行公允价值计量。</w:t>
              </w:r>
            </w:p>
          </w:sdtContent>
        </w:sdt>
        <w:p w:rsidR="000C5659" w:rsidRDefault="00220B84">
          <w:pPr>
            <w:tabs>
              <w:tab w:val="left" w:pos="1134"/>
            </w:tabs>
            <w:rPr>
              <w:rFonts w:cs="Cambria"/>
              <w:color w:val="000000" w:themeColor="text1"/>
            </w:rPr>
          </w:pPr>
        </w:p>
      </w:sdtContent>
    </w:sdt>
    <w:p w:rsidR="000C5659" w:rsidRDefault="000C5659">
      <w:pPr>
        <w:rPr>
          <w:color w:val="000000" w:themeColor="text1"/>
        </w:rPr>
      </w:pPr>
    </w:p>
    <w:p w:rsidR="000C5659" w:rsidRDefault="000E33C4" w:rsidP="000743DD">
      <w:pPr>
        <w:pStyle w:val="Style163"/>
        <w:numPr>
          <w:ilvl w:val="0"/>
          <w:numId w:val="105"/>
        </w:numPr>
        <w:rPr>
          <w:rFonts w:ascii="宋体" w:hAnsi="宋体"/>
          <w:color w:val="000000" w:themeColor="text1"/>
        </w:rPr>
      </w:pPr>
      <w:r>
        <w:rPr>
          <w:rFonts w:ascii="宋体" w:hAnsi="宋体" w:cs="Arial" w:hint="eastAsia"/>
          <w:color w:val="000000" w:themeColor="text1"/>
          <w:szCs w:val="21"/>
        </w:rPr>
        <w:t>持续和非持续第三层次公允价值计量项目，采用的估值技术和重要参数的定性及定量信息</w:t>
      </w:r>
    </w:p>
    <w:sdt>
      <w:sdtPr>
        <w:rPr>
          <w:rFonts w:hint="eastAsia"/>
          <w:color w:val="000000" w:themeColor="text1"/>
        </w:rPr>
        <w:alias w:val="是否适用：持续和非持续第三层次公允价值计量项目，采用的估值技术和重要参数的定性及定量信息[双击切换]"/>
        <w:tag w:val="_GBC_4feedb18bf344f2ebff0035f82f30e3c"/>
        <w:id w:val="-11966116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bCs/>
          <w:color w:val="000000" w:themeColor="text1"/>
        </w:rPr>
        <w:alias w:val="持续和非持续第三层次公允价值计量项目，采用的估值技术和重要参数的定性及定量信息"/>
        <w:tag w:val="_GBC_db2fdcfb26ce4ca9ac1e8da23b16aaaa"/>
        <w:id w:val="1406347983"/>
        <w:placeholder>
          <w:docPart w:val="GBC22222222222222222222222222222"/>
        </w:placeholder>
      </w:sdtPr>
      <w:sdtEndPr/>
      <w:sdtContent>
        <w:p w:rsidR="000C5659" w:rsidRDefault="000E33C4">
          <w:pPr>
            <w:pStyle w:val="Style324"/>
            <w:ind w:left="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、对于公司投资的封闭式私募基金，以按照公司持有的份额比例计算的封闭式私募基金截至资产负债表日的净资产作为该金融资产的公允价值。</w:t>
          </w:r>
        </w:p>
        <w:p w:rsidR="000C5659" w:rsidRDefault="000E33C4">
          <w:pPr>
            <w:rPr>
              <w:color w:val="000000" w:themeColor="text1"/>
            </w:rPr>
          </w:pPr>
          <w:r>
            <w:rPr>
              <w:rFonts w:asciiTheme="minorEastAsia" w:eastAsiaTheme="minorEastAsia" w:hAnsiTheme="minorEastAsia"/>
            </w:rPr>
            <w:t>2</w:t>
          </w:r>
          <w:r>
            <w:rPr>
              <w:rFonts w:asciiTheme="minorEastAsia" w:eastAsiaTheme="minorEastAsia" w:hAnsiTheme="minorEastAsia" w:hint="eastAsia"/>
            </w:rPr>
            <w:t>、对于公司持有附有特殊权力条款的股权投资中分类的特殊权力，采用估值技术确定期末的公允价值。</w:t>
          </w:r>
        </w:p>
      </w:sdtContent>
    </w:sdt>
    <w:p w:rsidR="000C5659" w:rsidRDefault="000C5659">
      <w:pPr>
        <w:tabs>
          <w:tab w:val="left" w:pos="1134"/>
        </w:tabs>
        <w:rPr>
          <w:rFonts w:cs="Cambria"/>
          <w:b/>
          <w:color w:val="000000" w:themeColor="text1"/>
        </w:rPr>
      </w:pPr>
    </w:p>
    <w:p w:rsidR="000C5659" w:rsidRDefault="000E33C4" w:rsidP="000743DD">
      <w:pPr>
        <w:pStyle w:val="Style163"/>
        <w:numPr>
          <w:ilvl w:val="0"/>
          <w:numId w:val="105"/>
        </w:numPr>
        <w:rPr>
          <w:rFonts w:ascii="宋体" w:hAnsi="宋体"/>
          <w:color w:val="000000" w:themeColor="text1"/>
        </w:rPr>
      </w:pPr>
      <w:r>
        <w:rPr>
          <w:rFonts w:ascii="宋体" w:hAnsi="宋体" w:hint="eastAsia"/>
          <w:color w:val="000000" w:themeColor="text1"/>
        </w:rPr>
        <w:t>持续的第三层次公允价值计量项目，期初与期末账面价值间的调节信息及不可观察参数敏感性分析</w:t>
      </w:r>
    </w:p>
    <w:sdt>
      <w:sdtPr>
        <w:rPr>
          <w:rFonts w:hint="eastAsia"/>
          <w:color w:val="000000" w:themeColor="text1"/>
        </w:rPr>
        <w:alias w:val="是否适用：持续的第三层次公允价值计量项目，期初与期末账面价值间的调节信息及不可观察参数敏感性分析[双击切换]"/>
        <w:tag w:val="_GBC_fbb80659fa8c4cbba85b32b2b514495c"/>
        <w:id w:val="-166731567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tabs>
          <w:tab w:val="left" w:pos="1134"/>
        </w:tabs>
        <w:rPr>
          <w:rFonts w:cs="Cambria"/>
          <w:b/>
          <w:color w:val="000000" w:themeColor="text1"/>
        </w:rPr>
      </w:pPr>
    </w:p>
    <w:p w:rsidR="000C5659" w:rsidRDefault="000E33C4" w:rsidP="000743DD">
      <w:pPr>
        <w:pStyle w:val="Style163"/>
        <w:numPr>
          <w:ilvl w:val="0"/>
          <w:numId w:val="105"/>
        </w:numPr>
        <w:rPr>
          <w:rFonts w:ascii="宋体" w:hAnsi="宋体"/>
          <w:color w:val="000000" w:themeColor="text1"/>
        </w:rPr>
      </w:pPr>
      <w:r>
        <w:rPr>
          <w:rFonts w:ascii="宋体" w:hAnsi="宋体" w:hint="eastAsia"/>
          <w:color w:val="000000" w:themeColor="text1"/>
        </w:rPr>
        <w:t>持续的公允价值计量项目，本期内发生各层级之间转换的，转换的原因及确定转换时点的政策</w:t>
      </w:r>
    </w:p>
    <w:sdt>
      <w:sdtPr>
        <w:rPr>
          <w:rFonts w:hint="eastAsia"/>
          <w:color w:val="000000" w:themeColor="text1"/>
        </w:rPr>
        <w:alias w:val="是否适用：持续的公允价值计量项目，本期内发生各层级之间转换的，转换的原因及确定转换时点的政策[双击切换]"/>
        <w:tag w:val="_GBC_e3d16a79a58242bc9c7be1f3a6f00898"/>
        <w:id w:val="45060185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tabs>
          <w:tab w:val="left" w:pos="1134"/>
        </w:tabs>
        <w:rPr>
          <w:rFonts w:cs="Cambria"/>
          <w:b/>
          <w:color w:val="000000" w:themeColor="text1"/>
        </w:rPr>
      </w:pPr>
    </w:p>
    <w:p w:rsidR="000C5659" w:rsidRDefault="000E33C4" w:rsidP="000743DD">
      <w:pPr>
        <w:pStyle w:val="Style163"/>
        <w:numPr>
          <w:ilvl w:val="0"/>
          <w:numId w:val="105"/>
        </w:numPr>
        <w:rPr>
          <w:rFonts w:ascii="宋体" w:hAnsi="宋体"/>
          <w:color w:val="000000" w:themeColor="text1"/>
        </w:rPr>
      </w:pPr>
      <w:r>
        <w:rPr>
          <w:rFonts w:ascii="宋体" w:hAnsi="宋体" w:hint="eastAsia"/>
          <w:color w:val="000000" w:themeColor="text1"/>
        </w:rPr>
        <w:t>本期内发生的估值技术变更及变更原因</w:t>
      </w:r>
    </w:p>
    <w:sdt>
      <w:sdtPr>
        <w:rPr>
          <w:color w:val="000000" w:themeColor="text1"/>
        </w:rPr>
        <w:alias w:val="是否适用：本期内发生的估值技术变更及变更原因[双击切换]"/>
        <w:tag w:val="_GBC_b070160060a9485c87417fe5a8b5e02f"/>
        <w:id w:val="-213046078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heme="minorBidi"/>
          <w:color w:val="000000" w:themeColor="text1"/>
        </w:rPr>
      </w:pPr>
    </w:p>
    <w:p w:rsidR="000C5659" w:rsidRDefault="000E33C4" w:rsidP="000743DD">
      <w:pPr>
        <w:pStyle w:val="Style163"/>
        <w:numPr>
          <w:ilvl w:val="0"/>
          <w:numId w:val="105"/>
        </w:numPr>
        <w:rPr>
          <w:rFonts w:ascii="宋体" w:hAnsi="宋体" w:cstheme="minorBidi"/>
          <w:color w:val="000000" w:themeColor="text1"/>
          <w:szCs w:val="21"/>
        </w:rPr>
      </w:pPr>
      <w:r>
        <w:rPr>
          <w:rFonts w:ascii="宋体" w:hAnsi="宋体" w:cstheme="minorBidi" w:hint="eastAsia"/>
          <w:color w:val="000000" w:themeColor="text1"/>
          <w:szCs w:val="21"/>
        </w:rPr>
        <w:t>不以公允价值计量的</w:t>
      </w:r>
      <w:r>
        <w:rPr>
          <w:rFonts w:ascii="宋体" w:hAnsi="宋体" w:hint="eastAsia"/>
          <w:color w:val="000000" w:themeColor="text1"/>
        </w:rPr>
        <w:t>金融资产</w:t>
      </w:r>
      <w:r>
        <w:rPr>
          <w:rFonts w:ascii="宋体" w:hAnsi="宋体" w:cstheme="minorBidi" w:hint="eastAsia"/>
          <w:color w:val="000000" w:themeColor="text1"/>
          <w:szCs w:val="21"/>
        </w:rPr>
        <w:t>和金融负债的公允价值情况</w:t>
      </w:r>
    </w:p>
    <w:sdt>
      <w:sdtPr>
        <w:rPr>
          <w:rFonts w:cstheme="minorBidi" w:hint="eastAsia"/>
          <w:color w:val="000000" w:themeColor="text1"/>
        </w:rPr>
        <w:alias w:val="是否适用：不以公允价值计量的金融资产和金融负债的公允价值情况[双击切换]"/>
        <w:tag w:val="_GBC_848a058035fb408c922e66294e86defb"/>
        <w:id w:val="622187204"/>
        <w:placeholder>
          <w:docPart w:val="GBC22222222222222222222222222222"/>
        </w:placeholder>
      </w:sdtPr>
      <w:sdtEndPr/>
      <w:sdtContent>
        <w:p w:rsidR="000C5659" w:rsidRDefault="000E33C4">
          <w:pPr>
            <w:rPr>
              <w:rFonts w:cstheme="minorBidi"/>
              <w:color w:val="000000" w:themeColor="text1"/>
            </w:rPr>
          </w:pPr>
          <w:r>
            <w:rPr>
              <w:rFonts w:cstheme="minorBidi"/>
              <w:color w:val="000000" w:themeColor="text1"/>
            </w:rPr>
            <w:fldChar w:fldCharType="begin"/>
          </w:r>
          <w:r>
            <w:rPr>
              <w:rFonts w:cstheme="minorBidi"/>
              <w:color w:val="000000" w:themeColor="text1"/>
            </w:rPr>
            <w:instrText xml:space="preserve"> MACROBUTTON  SnrToggleCheckbox □适用 </w:instrText>
          </w:r>
          <w:r>
            <w:rPr>
              <w:rFonts w:cstheme="minorBidi"/>
              <w:color w:val="000000" w:themeColor="text1"/>
            </w:rPr>
            <w:fldChar w:fldCharType="end"/>
          </w:r>
          <w:r>
            <w:rPr>
              <w:rFonts w:cstheme="minorBidi"/>
              <w:color w:val="000000" w:themeColor="text1"/>
            </w:rPr>
            <w:fldChar w:fldCharType="begin"/>
          </w:r>
          <w:r>
            <w:rPr>
              <w:rFonts w:cstheme="minorBidi"/>
              <w:color w:val="000000" w:themeColor="text1"/>
            </w:rPr>
            <w:instrText xml:space="preserve"> MACROBUTTON  SnrToggleCheckbox √不适用 </w:instrText>
          </w:r>
          <w:r>
            <w:rPr>
              <w:rFonts w:cstheme="minorBidi"/>
              <w:color w:val="000000" w:themeColor="text1"/>
            </w:rPr>
            <w:fldChar w:fldCharType="end"/>
          </w:r>
        </w:p>
      </w:sdtContent>
    </w:sdt>
    <w:p w:rsidR="000C5659" w:rsidRDefault="000C5659">
      <w:pPr>
        <w:rPr>
          <w:rFonts w:cstheme="minorBidi"/>
          <w:color w:val="000000" w:themeColor="text1"/>
        </w:rPr>
      </w:pPr>
    </w:p>
    <w:p w:rsidR="000C5659" w:rsidRDefault="000E33C4" w:rsidP="000743DD">
      <w:pPr>
        <w:pStyle w:val="Style163"/>
        <w:numPr>
          <w:ilvl w:val="0"/>
          <w:numId w:val="105"/>
        </w:numPr>
        <w:rPr>
          <w:rFonts w:ascii="宋体" w:hAnsi="宋体"/>
          <w:color w:val="000000" w:themeColor="text1"/>
          <w:szCs w:val="21"/>
        </w:rPr>
      </w:pPr>
      <w:r>
        <w:rPr>
          <w:rFonts w:ascii="宋体" w:hAnsi="宋体" w:hint="eastAsia"/>
          <w:color w:val="000000" w:themeColor="text1"/>
          <w:szCs w:val="21"/>
        </w:rPr>
        <w:t>其他</w:t>
      </w:r>
    </w:p>
    <w:sdt>
      <w:sdtPr>
        <w:rPr>
          <w:rFonts w:hint="eastAsia"/>
          <w:color w:val="000000" w:themeColor="text1"/>
        </w:rPr>
        <w:alias w:val="是否适用：公允价值其他需要披露的事项[双击切换]"/>
        <w:tag w:val="_GBC_9174a0e7dec04e80924ee384dabe783a"/>
        <w:id w:val="9645180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关联方及关联交易</w:t>
      </w:r>
    </w:p>
    <w:p w:rsidR="000C5659" w:rsidRDefault="000E33C4" w:rsidP="000743DD">
      <w:pPr>
        <w:pStyle w:val="Style163"/>
        <w:numPr>
          <w:ilvl w:val="0"/>
          <w:numId w:val="106"/>
        </w:numPr>
        <w:rPr>
          <w:rFonts w:ascii="宋体" w:hAnsi="宋体"/>
          <w:color w:val="000000" w:themeColor="text1"/>
        </w:rPr>
      </w:pPr>
      <w:r>
        <w:rPr>
          <w:rFonts w:ascii="宋体" w:hAnsi="宋体" w:hint="eastAsia"/>
          <w:color w:val="000000" w:themeColor="text1"/>
        </w:rPr>
        <w:t>本企业的母公司情况</w:t>
      </w:r>
    </w:p>
    <w:sdt>
      <w:sdtPr>
        <w:rPr>
          <w:color w:val="000000" w:themeColor="text1"/>
        </w:rPr>
        <w:alias w:val="是否适用：本企业的母公司情况[双击切换]"/>
        <w:tag w:val="_GBC_ead7e4ec9cc847adb62aa8efd8005802"/>
        <w:id w:val="-51068696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C5659">
      <w:pPr>
        <w:rPr>
          <w:color w:val="000000" w:themeColor="text1"/>
        </w:rPr>
      </w:pPr>
    </w:p>
    <w:p w:rsidR="000C5659" w:rsidRDefault="000E33C4" w:rsidP="000743DD">
      <w:pPr>
        <w:pStyle w:val="Style163"/>
        <w:numPr>
          <w:ilvl w:val="0"/>
          <w:numId w:val="106"/>
        </w:numPr>
        <w:rPr>
          <w:rFonts w:ascii="宋体" w:hAnsi="宋体" w:cs="Arial"/>
          <w:color w:val="000000" w:themeColor="text1"/>
          <w:szCs w:val="21"/>
        </w:rPr>
      </w:pPr>
      <w:r>
        <w:rPr>
          <w:rFonts w:ascii="宋体" w:hAnsi="宋体" w:cs="Arial" w:hint="eastAsia"/>
          <w:color w:val="000000" w:themeColor="text1"/>
          <w:szCs w:val="21"/>
        </w:rPr>
        <w:t>本企业的子公司情况</w:t>
      </w:r>
    </w:p>
    <w:p w:rsidR="000C5659" w:rsidRDefault="000E33C4">
      <w:pPr>
        <w:rPr>
          <w:color w:val="000000" w:themeColor="text1"/>
        </w:rPr>
      </w:pPr>
      <w:r>
        <w:rPr>
          <w:rFonts w:hint="eastAsia"/>
          <w:color w:val="000000" w:themeColor="text1"/>
        </w:rPr>
        <w:t>本企业子公司的情况详见附注</w:t>
      </w:r>
    </w:p>
    <w:sdt>
      <w:sdtPr>
        <w:rPr>
          <w:color w:val="000000" w:themeColor="text1"/>
        </w:rPr>
        <w:alias w:val="是否适用：本公司的子公司情况详见附注[双击切换]"/>
        <w:tag w:val="_GBC_a8d551b9f62149d3bf9322adae2c671f"/>
        <w:id w:val="180210581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本公司的子公司情况详见附注"/>
        <w:tag w:val="_GBC_bb3e2669c3cc45d0a6637b1809087708"/>
        <w:id w:val="1367256197"/>
        <w:placeholder>
          <w:docPart w:val="GBC22222222222222222222222222222"/>
        </w:placeholder>
      </w:sdtPr>
      <w:sdtEndPr/>
      <w:sdtContent>
        <w:sdt>
          <w:sdtPr>
            <w:rPr>
              <w:rFonts w:hint="eastAsia"/>
            </w:rPr>
            <w:alias w:val="本公司的子公司情况详见附注"/>
            <w:tag w:val="_GBC_bb3e2669c3cc45d0a6637b1809087708"/>
            <w:id w:val="-2059920832"/>
          </w:sdtPr>
          <w:sdtEndPr/>
          <w:sdtContent>
            <w:p w:rsidR="000C5659" w:rsidRDefault="000E33C4">
              <w:pPr>
                <w:pStyle w:val="Style325"/>
              </w:pPr>
              <w:r>
                <w:rPr>
                  <w:rFonts w:hint="eastAsia"/>
                </w:rPr>
                <w:t>详见附注</w:t>
              </w:r>
              <w:r>
                <w:t>“</w:t>
              </w:r>
              <w:r>
                <w:rPr>
                  <w:rFonts w:hint="eastAsia"/>
                </w:rPr>
                <w:t>十、在其他主体中的权益</w:t>
              </w:r>
              <w:r>
                <w:t>”</w:t>
              </w:r>
              <w:r>
                <w:rPr>
                  <w:rFonts w:hint="eastAsia"/>
                </w:rPr>
                <w:t>。</w:t>
              </w:r>
            </w:p>
          </w:sdtContent>
        </w:sdt>
      </w:sdtContent>
    </w:sdt>
    <w:p w:rsidR="000C5659" w:rsidRDefault="000C5659">
      <w:pPr>
        <w:tabs>
          <w:tab w:val="left" w:pos="1134"/>
        </w:tabs>
        <w:rPr>
          <w:rFonts w:cs="Cambria"/>
          <w:color w:val="000000" w:themeColor="text1"/>
        </w:rPr>
      </w:pPr>
    </w:p>
    <w:p w:rsidR="000C5659" w:rsidRDefault="000E33C4" w:rsidP="000743DD">
      <w:pPr>
        <w:pStyle w:val="Style163"/>
        <w:numPr>
          <w:ilvl w:val="0"/>
          <w:numId w:val="106"/>
        </w:numPr>
        <w:rPr>
          <w:rFonts w:ascii="宋体" w:hAnsi="宋体"/>
          <w:color w:val="000000" w:themeColor="text1"/>
        </w:rPr>
      </w:pPr>
      <w:r>
        <w:rPr>
          <w:rFonts w:ascii="宋体" w:hAnsi="宋体" w:hint="eastAsia"/>
          <w:color w:val="000000" w:themeColor="text1"/>
        </w:rPr>
        <w:t>本企业合营和联营企业情况</w:t>
      </w:r>
    </w:p>
    <w:p w:rsidR="000C5659" w:rsidRDefault="000E33C4">
      <w:pPr>
        <w:rPr>
          <w:color w:val="000000" w:themeColor="text1"/>
        </w:rPr>
      </w:pPr>
      <w:r>
        <w:rPr>
          <w:rFonts w:hint="eastAsia"/>
          <w:color w:val="000000" w:themeColor="text1"/>
        </w:rPr>
        <w:t>本企业重要的合营或联营企业详见附注</w:t>
      </w:r>
    </w:p>
    <w:sdt>
      <w:sdtPr>
        <w:rPr>
          <w:color w:val="000000" w:themeColor="text1"/>
        </w:rPr>
        <w:alias w:val="是否适用：本企业重要的合营或联营企业详见附注[双击切换]"/>
        <w:tag w:val="_GBC_2a369d3377e94598b2a744dfe59973e2"/>
        <w:id w:val="-52903269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本企业重要的合营或联营企业详见附注"/>
        <w:tag w:val="_GBC_3c58c586b3d3412d9989e9dff0b9f4cf"/>
        <w:id w:val="1632597933"/>
        <w:placeholder>
          <w:docPart w:val="GBC22222222222222222222222222222"/>
        </w:placeholder>
      </w:sdtPr>
      <w:sdtEndPr/>
      <w:sdtContent>
        <w:sdt>
          <w:sdtPr>
            <w:rPr>
              <w:rFonts w:hint="eastAsia"/>
            </w:rPr>
            <w:alias w:val="本公司的子公司情况详见附注"/>
            <w:tag w:val="_GBC_bb3e2669c3cc45d0a6637b1809087708"/>
            <w:id w:val="-866214883"/>
          </w:sdtPr>
          <w:sdtEndPr/>
          <w:sdtContent>
            <w:p w:rsidR="000C5659" w:rsidRDefault="000E33C4">
              <w:pPr>
                <w:pStyle w:val="Style325"/>
              </w:pPr>
              <w:r>
                <w:rPr>
                  <w:rFonts w:hint="eastAsia"/>
                </w:rPr>
                <w:t>详见附注</w:t>
              </w:r>
              <w:r>
                <w:t>“</w:t>
              </w:r>
              <w:r>
                <w:rPr>
                  <w:rFonts w:hint="eastAsia"/>
                </w:rPr>
                <w:t>十、在其他主体中的权益</w:t>
              </w:r>
              <w:r>
                <w:t>”</w:t>
              </w:r>
              <w:r>
                <w:rPr>
                  <w:rFonts w:hint="eastAsia"/>
                </w:rPr>
                <w:t>。</w:t>
              </w:r>
            </w:p>
          </w:sdtContent>
        </w:sdt>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本期与本公司发生关联方交易，或前期与本公司发生关联方交易形成余额的其他合营或联营企业情况如下</w:t>
      </w:r>
    </w:p>
    <w:sdt>
      <w:sdtPr>
        <w:rPr>
          <w:color w:val="000000" w:themeColor="text1"/>
        </w:rPr>
        <w:alias w:val="是否适用：本期与本公司发生关联方交易，或前期与本公司发生关联方交易形成余额的其他合营或联营企业情况如下[双击切换]"/>
        <w:tag w:val="_GBC_cab97913a7cc4573b25c34077eadbc4c"/>
        <w:id w:val="2096278546"/>
        <w:placeholder>
          <w:docPart w:val="GBC22222222222222222222222222222"/>
        </w:placeholder>
      </w:sdtPr>
      <w:sdtEndPr/>
      <w:sdtContent>
        <w:p w:rsidR="000C5659" w:rsidRDefault="000E33C4">
          <w:pPr>
            <w:rPr>
              <w:rFonts w:cs="Cambria"/>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tabs>
          <w:tab w:val="left" w:pos="1134"/>
        </w:tabs>
        <w:rPr>
          <w:rFonts w:cs="Cambria"/>
          <w:color w:val="000000" w:themeColor="text1"/>
        </w:rPr>
      </w:pPr>
    </w:p>
    <w:p w:rsidR="000C5659" w:rsidRDefault="000C5659">
      <w:pPr>
        <w:tabs>
          <w:tab w:val="left" w:pos="1134"/>
        </w:tabs>
        <w:rPr>
          <w:rFonts w:cs="Cambria"/>
          <w:color w:val="000000" w:themeColor="text1"/>
        </w:rPr>
      </w:pPr>
    </w:p>
    <w:p w:rsidR="000C5659" w:rsidRDefault="000E33C4" w:rsidP="000743DD">
      <w:pPr>
        <w:pStyle w:val="Style163"/>
        <w:numPr>
          <w:ilvl w:val="0"/>
          <w:numId w:val="106"/>
        </w:numPr>
        <w:rPr>
          <w:rFonts w:ascii="宋体" w:hAnsi="宋体"/>
          <w:color w:val="000000" w:themeColor="text1"/>
        </w:rPr>
      </w:pPr>
      <w:r>
        <w:rPr>
          <w:rFonts w:ascii="宋体" w:hAnsi="宋体" w:hint="eastAsia"/>
          <w:color w:val="000000" w:themeColor="text1"/>
        </w:rPr>
        <w:t>其他关联方情况</w:t>
      </w:r>
    </w:p>
    <w:sdt>
      <w:sdtPr>
        <w:rPr>
          <w:color w:val="000000" w:themeColor="text1"/>
        </w:rPr>
        <w:alias w:val="是否适用：其他关联方情况[双击切换]"/>
        <w:tag w:val="_GBC_f9c029ef57734babb6375a74af1e3736"/>
        <w:id w:val="-18080073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4944"/>
      </w:tblGrid>
      <w:tr w:rsidR="000C5659">
        <w:trPr>
          <w:trHeight w:val="267"/>
        </w:trPr>
        <w:sdt>
          <w:sdtPr>
            <w:rPr>
              <w:color w:val="000000" w:themeColor="text1"/>
            </w:rPr>
            <w:tag w:val="_PLD_8fe00abbc9b249a98b2e3ac6b12f12db"/>
            <w:id w:val="1073554988"/>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rFonts w:cs="Cambria"/>
                    <w:color w:val="000000" w:themeColor="text1"/>
                  </w:rPr>
                </w:pPr>
                <w:r>
                  <w:rPr>
                    <w:rFonts w:cs="Cambria" w:hint="eastAsia"/>
                    <w:color w:val="000000" w:themeColor="text1"/>
                  </w:rPr>
                  <w:t>其他关联方名称</w:t>
                </w:r>
              </w:p>
            </w:tc>
          </w:sdtContent>
        </w:sdt>
        <w:sdt>
          <w:sdtPr>
            <w:rPr>
              <w:color w:val="000000" w:themeColor="text1"/>
            </w:rPr>
            <w:tag w:val="_PLD_c1304840da1e482f80286e0c7ca19002"/>
            <w:id w:val="-1137256716"/>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rFonts w:cs="Cambria"/>
                    <w:color w:val="000000" w:themeColor="text1"/>
                  </w:rPr>
                </w:pPr>
                <w:r>
                  <w:rPr>
                    <w:rFonts w:cs="Cambria" w:hint="eastAsia"/>
                    <w:color w:val="000000" w:themeColor="text1"/>
                  </w:rPr>
                  <w:t>其他关联方与本企业关系</w:t>
                </w:r>
              </w:p>
            </w:tc>
          </w:sdtContent>
        </w:sdt>
      </w:tr>
      <w:tr w:rsidR="000C565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rPr>
            </w:pPr>
            <w:r>
              <w:rPr>
                <w:szCs w:val="18"/>
              </w:rPr>
              <w:t>扬州荣茂吉包装材料有限公司</w:t>
            </w:r>
          </w:p>
        </w:tc>
        <w:tc>
          <w:tcPr>
            <w:tcW w:w="2802"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color w:val="000000" w:themeColor="text1"/>
              </w:rPr>
            </w:pPr>
            <w:r>
              <w:rPr>
                <w:szCs w:val="18"/>
              </w:rPr>
              <w:t>实际控制人近亲属控制的企业</w:t>
            </w:r>
          </w:p>
        </w:tc>
      </w:tr>
      <w:tr w:rsidR="000C565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rPr>
            </w:pPr>
            <w:r>
              <w:rPr>
                <w:szCs w:val="18"/>
              </w:rPr>
              <w:t>扬州新长城塑业有限公司</w:t>
            </w:r>
          </w:p>
        </w:tc>
        <w:tc>
          <w:tcPr>
            <w:tcW w:w="2802"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color w:val="000000" w:themeColor="text1"/>
              </w:rPr>
            </w:pPr>
            <w:r>
              <w:rPr>
                <w:szCs w:val="18"/>
              </w:rPr>
              <w:t>实际控制人近亲属在该公司担任监事</w:t>
            </w:r>
          </w:p>
        </w:tc>
      </w:tr>
      <w:tr w:rsidR="000C565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rPr>
            </w:pPr>
            <w:r>
              <w:rPr>
                <w:szCs w:val="18"/>
              </w:rPr>
              <w:t>广州舒客科技有限公司</w:t>
            </w:r>
          </w:p>
        </w:tc>
        <w:tc>
          <w:tcPr>
            <w:tcW w:w="2802"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color w:val="000000" w:themeColor="text1"/>
              </w:rPr>
            </w:pPr>
            <w:r>
              <w:rPr>
                <w:szCs w:val="18"/>
              </w:rPr>
              <w:t>本公司联营企业控制的企业</w:t>
            </w:r>
          </w:p>
        </w:tc>
      </w:tr>
      <w:tr w:rsidR="000C565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rPr>
            </w:pPr>
            <w:r>
              <w:rPr>
                <w:rFonts w:hint="eastAsia"/>
                <w:szCs w:val="18"/>
              </w:rPr>
              <w:t>广州舒客实业有限公司</w:t>
            </w:r>
          </w:p>
        </w:tc>
        <w:tc>
          <w:tcPr>
            <w:tcW w:w="2802"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color w:val="000000" w:themeColor="text1"/>
              </w:rPr>
            </w:pPr>
            <w:r>
              <w:rPr>
                <w:szCs w:val="18"/>
              </w:rPr>
              <w:t>本公司联营企业控制的企业</w:t>
            </w:r>
          </w:p>
        </w:tc>
      </w:tr>
      <w:tr w:rsidR="000C565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rPr>
            </w:pPr>
            <w:r>
              <w:rPr>
                <w:szCs w:val="18"/>
              </w:rPr>
              <w:t>天长市舒客科技有限公司</w:t>
            </w:r>
          </w:p>
        </w:tc>
        <w:tc>
          <w:tcPr>
            <w:tcW w:w="2802" w:type="pct"/>
            <w:tcBorders>
              <w:top w:val="single" w:sz="4" w:space="0" w:color="auto"/>
              <w:left w:val="single" w:sz="4" w:space="0" w:color="auto"/>
              <w:bottom w:val="single" w:sz="4" w:space="0" w:color="auto"/>
              <w:right w:val="single" w:sz="4" w:space="0" w:color="auto"/>
            </w:tcBorders>
            <w:vAlign w:val="center"/>
          </w:tcPr>
          <w:p w:rsidR="000C5659" w:rsidRDefault="000E33C4">
            <w:pPr>
              <w:rPr>
                <w:rFonts w:cs="Cambria"/>
                <w:color w:val="000000" w:themeColor="text1"/>
              </w:rPr>
            </w:pPr>
            <w:r>
              <w:rPr>
                <w:szCs w:val="18"/>
              </w:rPr>
              <w:t>本公司联营企业控制的企业</w:t>
            </w:r>
          </w:p>
        </w:tc>
      </w:tr>
      <w:tr w:rsidR="000C565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0C5659" w:rsidRDefault="000E33C4">
            <w:pPr>
              <w:rPr>
                <w:szCs w:val="18"/>
              </w:rPr>
            </w:pPr>
            <w:r>
              <w:rPr>
                <w:rFonts w:hint="eastAsia"/>
                <w:szCs w:val="18"/>
              </w:rPr>
              <w:t>扬州顶流包装制品有限公司</w:t>
            </w:r>
          </w:p>
        </w:tc>
        <w:tc>
          <w:tcPr>
            <w:tcW w:w="2802" w:type="pct"/>
            <w:tcBorders>
              <w:top w:val="single" w:sz="4" w:space="0" w:color="auto"/>
              <w:left w:val="single" w:sz="4" w:space="0" w:color="auto"/>
              <w:bottom w:val="single" w:sz="4" w:space="0" w:color="auto"/>
              <w:right w:val="single" w:sz="4" w:space="0" w:color="auto"/>
            </w:tcBorders>
            <w:vAlign w:val="center"/>
          </w:tcPr>
          <w:p w:rsidR="000C5659" w:rsidRDefault="000E33C4">
            <w:pPr>
              <w:rPr>
                <w:szCs w:val="18"/>
              </w:rPr>
            </w:pPr>
            <w:r>
              <w:rPr>
                <w:szCs w:val="18"/>
              </w:rPr>
              <w:t>实际控制人近亲属控制的企业</w:t>
            </w:r>
          </w:p>
        </w:tc>
      </w:tr>
    </w:tbl>
    <w:p w:rsidR="000C5659" w:rsidRDefault="000E33C4">
      <w:pPr>
        <w:tabs>
          <w:tab w:val="left" w:pos="1134"/>
        </w:tabs>
        <w:rPr>
          <w:rFonts w:cs="Cambria"/>
          <w:color w:val="000000" w:themeColor="text1"/>
        </w:rPr>
      </w:pPr>
      <w:r>
        <w:rPr>
          <w:rFonts w:cs="Cambria" w:hint="eastAsia"/>
          <w:color w:val="000000" w:themeColor="text1"/>
        </w:rPr>
        <w:t>其他说明</w:t>
      </w:r>
    </w:p>
    <w:sdt>
      <w:sdtPr>
        <w:rPr>
          <w:rFonts w:cs="Cambria"/>
          <w:color w:val="000000" w:themeColor="text1"/>
        </w:rPr>
        <w:alias w:val="本企业的其他关联方情况的说明"/>
        <w:tag w:val="_GBC_214bcb1375e347c4be22006f5cc854a9"/>
        <w:id w:val="-1015612103"/>
        <w:placeholder>
          <w:docPart w:val="GBC22222222222222222222222222222"/>
        </w:placeholder>
      </w:sdtPr>
      <w:sdtEndPr/>
      <w:sdtContent>
        <w:p w:rsidR="000C5659" w:rsidRDefault="000E33C4">
          <w:pPr>
            <w:tabs>
              <w:tab w:val="left" w:pos="1134"/>
            </w:tabs>
            <w:rPr>
              <w:rFonts w:cs="Cambria"/>
              <w:color w:val="000000" w:themeColor="text1"/>
            </w:rPr>
          </w:pPr>
          <w:r>
            <w:rPr>
              <w:rFonts w:cs="Cambria" w:hint="eastAsia"/>
              <w:color w:val="000000" w:themeColor="text1"/>
            </w:rPr>
            <w:t>无</w:t>
          </w:r>
        </w:p>
      </w:sdtContent>
    </w:sdt>
    <w:p w:rsidR="000C5659" w:rsidRDefault="000C5659">
      <w:pPr>
        <w:tabs>
          <w:tab w:val="left" w:pos="1134"/>
        </w:tabs>
        <w:rPr>
          <w:rFonts w:cs="Cambria"/>
          <w:b/>
          <w:color w:val="000000" w:themeColor="text1"/>
        </w:rPr>
      </w:pPr>
    </w:p>
    <w:p w:rsidR="000C5659" w:rsidRDefault="000E33C4" w:rsidP="000743DD">
      <w:pPr>
        <w:pStyle w:val="Style163"/>
        <w:numPr>
          <w:ilvl w:val="0"/>
          <w:numId w:val="106"/>
        </w:numPr>
        <w:rPr>
          <w:rFonts w:ascii="宋体" w:hAnsi="宋体"/>
          <w:color w:val="000000" w:themeColor="text1"/>
        </w:rPr>
      </w:pPr>
      <w:r>
        <w:rPr>
          <w:rFonts w:ascii="宋体" w:hAnsi="宋体" w:hint="eastAsia"/>
          <w:color w:val="000000" w:themeColor="text1"/>
        </w:rPr>
        <w:t>关联交易情况</w:t>
      </w:r>
    </w:p>
    <w:p w:rsidR="000C5659" w:rsidRDefault="000E33C4" w:rsidP="000743DD">
      <w:pPr>
        <w:pStyle w:val="Style165"/>
        <w:numPr>
          <w:ilvl w:val="0"/>
          <w:numId w:val="107"/>
        </w:numPr>
        <w:tabs>
          <w:tab w:val="left" w:pos="616"/>
        </w:tabs>
        <w:rPr>
          <w:rFonts w:ascii="宋体" w:hAnsi="宋体"/>
          <w:color w:val="000000" w:themeColor="text1"/>
        </w:rPr>
      </w:pPr>
      <w:r>
        <w:rPr>
          <w:rFonts w:ascii="宋体" w:hAnsi="宋体" w:hint="eastAsia"/>
          <w:color w:val="000000" w:themeColor="text1"/>
        </w:rPr>
        <w:t>购销商品、提供和接受劳务的关联交易</w:t>
      </w:r>
    </w:p>
    <w:p w:rsidR="000C5659" w:rsidRDefault="000E33C4">
      <w:pPr>
        <w:rPr>
          <w:color w:val="000000" w:themeColor="text1"/>
        </w:rPr>
      </w:pPr>
      <w:bookmarkStart w:id="367" w:name="_Hlk137124040"/>
      <w:r>
        <w:rPr>
          <w:rFonts w:hint="eastAsia"/>
          <w:color w:val="000000" w:themeColor="text1"/>
        </w:rPr>
        <w:t>采购商品/接受劳务情况表</w:t>
      </w:r>
    </w:p>
    <w:sdt>
      <w:sdtPr>
        <w:rPr>
          <w:color w:val="000000" w:themeColor="text1"/>
        </w:rPr>
        <w:alias w:val="是否适用：采购商品或接受劳务情况表[双击切换]"/>
        <w:tag w:val="_GBC_af7e43b831354837910c4edde708e04a"/>
        <w:id w:val="-18459991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rFonts w:cs="Cambria"/>
          <w:b/>
          <w:color w:val="000000" w:themeColor="text1"/>
        </w:rPr>
      </w:pPr>
      <w:r>
        <w:rPr>
          <w:rFonts w:cs="Cambria" w:hint="eastAsia"/>
          <w:color w:val="000000" w:themeColor="text1"/>
        </w:rPr>
        <w:t>单位：</w:t>
      </w:r>
      <w:sdt>
        <w:sdtPr>
          <w:rPr>
            <w:rFonts w:cs="Cambria" w:hint="eastAsia"/>
            <w:color w:val="000000" w:themeColor="text1"/>
          </w:rPr>
          <w:alias w:val="单位：采购商品接受劳务情况表"/>
          <w:tag w:val="_GBC_45ae86deace34388a904346eae355be1"/>
          <w:id w:val="6662924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cs="Cambria" w:hint="eastAsia"/>
              <w:color w:val="000000" w:themeColor="text1"/>
            </w:rPr>
            <w:t>元</w:t>
          </w:r>
        </w:sdtContent>
      </w:sdt>
      <w:r>
        <w:rPr>
          <w:rFonts w:cs="Cambria" w:hint="eastAsia"/>
          <w:color w:val="000000" w:themeColor="text1"/>
        </w:rPr>
        <w:t xml:space="preserve">  币种：</w:t>
      </w:r>
      <w:sdt>
        <w:sdtPr>
          <w:rPr>
            <w:rFonts w:cs="Cambria" w:hint="eastAsia"/>
            <w:color w:val="000000" w:themeColor="text1"/>
          </w:rPr>
          <w:alias w:val="币种：采购商品接受劳务情况表"/>
          <w:tag w:val="_GBC_ac9ca64b68bd493da1d7e7c719a6104c"/>
          <w:id w:val="942170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cs="Cambria"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8"/>
        <w:gridCol w:w="1472"/>
        <w:gridCol w:w="1476"/>
        <w:gridCol w:w="1462"/>
        <w:gridCol w:w="1539"/>
        <w:gridCol w:w="1476"/>
      </w:tblGrid>
      <w:tr w:rsidR="000C5659">
        <w:trPr>
          <w:cantSplit/>
          <w:trHeight w:val="295"/>
        </w:trPr>
        <w:bookmarkEnd w:id="367" w:displacedByCustomXml="next"/>
        <w:sdt>
          <w:sdtPr>
            <w:rPr>
              <w:color w:val="000000" w:themeColor="text1"/>
            </w:rPr>
            <w:tag w:val="_PLD_c09a7dc97d494a8fb07056392e54876a"/>
            <w:id w:val="231665652"/>
          </w:sdtPr>
          <w:sdtEndPr/>
          <w:sdtContent>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关联方</w:t>
                </w:r>
              </w:p>
            </w:tc>
          </w:sdtContent>
        </w:sdt>
        <w:sdt>
          <w:sdtPr>
            <w:rPr>
              <w:color w:val="000000" w:themeColor="text1"/>
            </w:rPr>
            <w:tag w:val="_PLD_6f5fdab53c694e56963e5e189cd0c28d"/>
            <w:id w:val="-747109058"/>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关联交易内容</w:t>
                </w:r>
              </w:p>
            </w:tc>
          </w:sdtContent>
        </w:sdt>
        <w:sdt>
          <w:sdtPr>
            <w:rPr>
              <w:color w:val="000000" w:themeColor="text1"/>
            </w:rPr>
            <w:tag w:val="_PLD_1237b998b2a64f30a674dff433b841b0"/>
            <w:id w:val="1506394481"/>
          </w:sdtPr>
          <w:sdtEndPr/>
          <w:sdtContent>
            <w:tc>
              <w:tcPr>
                <w:tcW w:w="816" w:type="pct"/>
                <w:tcBorders>
                  <w:top w:val="single" w:sz="4" w:space="0" w:color="auto"/>
                  <w:left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本期发生额</w:t>
                </w:r>
              </w:p>
            </w:tc>
          </w:sdtContent>
        </w:sdt>
        <w:sdt>
          <w:sdtPr>
            <w:rPr>
              <w:rFonts w:hint="eastAsia"/>
              <w:color w:val="000000" w:themeColor="text1"/>
            </w:rPr>
            <w:tag w:val="_PLD_b1a311757d3a457e811c8d8ffb0b6ac0"/>
            <w:id w:val="1639000846"/>
          </w:sdtPr>
          <w:sdtEndPr/>
          <w:sdtContent>
            <w:tc>
              <w:tcPr>
                <w:tcW w:w="868" w:type="pc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获批的交易额度（如适用）</w:t>
                </w:r>
              </w:p>
            </w:tc>
          </w:sdtContent>
        </w:sdt>
        <w:sdt>
          <w:sdtPr>
            <w:rPr>
              <w:color w:val="000000" w:themeColor="text1"/>
            </w:rPr>
            <w:tag w:val="_PLD_c145e8a0e9404dc7b7dab215447b876b"/>
            <w:id w:val="-102189756"/>
          </w:sdtPr>
          <w:sdtEndPr>
            <w:rPr>
              <w:rFonts w:hint="eastAsia"/>
            </w:rPr>
          </w:sdtEndPr>
          <w:sdtContent>
            <w:tc>
              <w:tcPr>
                <w:tcW w:w="912" w:type="pc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color w:val="000000" w:themeColor="text1"/>
                  </w:rPr>
                  <w:t>是否超过交易额度</w:t>
                </w:r>
                <w:r>
                  <w:rPr>
                    <w:rFonts w:hint="eastAsia"/>
                    <w:color w:val="000000" w:themeColor="text1"/>
                  </w:rPr>
                  <w:t>（如适用）</w:t>
                </w:r>
              </w:p>
            </w:tc>
          </w:sdtContent>
        </w:sdt>
        <w:sdt>
          <w:sdtPr>
            <w:rPr>
              <w:color w:val="000000" w:themeColor="text1"/>
            </w:rPr>
            <w:tag w:val="_PLD_f7d77ff6fdf642199e4c9fc12f00610d"/>
            <w:id w:val="1694654604"/>
          </w:sdtPr>
          <w:sdtEndPr/>
          <w:sdtContent>
            <w:tc>
              <w:tcPr>
                <w:tcW w:w="699" w:type="pct"/>
                <w:tcBorders>
                  <w:top w:val="single" w:sz="4" w:space="0" w:color="auto"/>
                  <w:left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上期发生额</w:t>
                </w:r>
              </w:p>
            </w:tc>
          </w:sdtContent>
        </w:sdt>
      </w:tr>
      <w:tr w:rsidR="000C5659">
        <w:trPr>
          <w:cantSplit/>
        </w:trPr>
        <w:tc>
          <w:tcPr>
            <w:tcW w:w="8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扬州荣茂吉包装材料有限公司</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rPr>
                <w:rFonts w:hint="eastAsia"/>
              </w:rPr>
              <w:t>采购货物</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6,761,852.50</w:t>
            </w:r>
          </w:p>
        </w:tc>
        <w:tc>
          <w:tcPr>
            <w:tcW w:w="868" w:type="pct"/>
            <w:tcBorders>
              <w:top w:val="single" w:sz="4" w:space="0" w:color="auto"/>
              <w:left w:val="single" w:sz="4" w:space="0" w:color="auto"/>
              <w:bottom w:val="single" w:sz="4" w:space="0" w:color="auto"/>
              <w:right w:val="single" w:sz="4" w:space="0" w:color="auto"/>
            </w:tcBorders>
          </w:tcPr>
          <w:p w:rsidR="000C5659" w:rsidRDefault="000C5659">
            <w:pPr>
              <w:jc w:val="right"/>
            </w:pPr>
          </w:p>
        </w:tc>
        <w:sdt>
          <w:sdtPr>
            <w:rPr>
              <w:color w:val="000000" w:themeColor="text1"/>
            </w:rPr>
            <w:alias w:val="采购商品接受劳务情况明细-是否超过交易额度"/>
            <w:tag w:val="_GBC_8948407543bf4b9e8a27ff07478d8950"/>
            <w:id w:val="1133453721"/>
            <w:comboBox>
              <w:listItem w:displayText="是" w:value="是"/>
              <w:listItem w:displayText="否" w:value="否"/>
            </w:comboBox>
          </w:sdtPr>
          <w:sdtEndPr/>
          <w:sdtContent>
            <w:tc>
              <w:tcPr>
                <w:tcW w:w="912" w:type="pct"/>
                <w:tcBorders>
                  <w:top w:val="single" w:sz="4" w:space="0" w:color="auto"/>
                  <w:left w:val="single" w:sz="4" w:space="0" w:color="auto"/>
                  <w:bottom w:val="single" w:sz="4" w:space="0" w:color="auto"/>
                  <w:right w:val="single" w:sz="4" w:space="0" w:color="auto"/>
                </w:tcBorders>
              </w:tcPr>
              <w:p w:rsidR="000C5659" w:rsidRDefault="00B708C8">
                <w:pPr>
                  <w:jc w:val="center"/>
                  <w:rPr>
                    <w:color w:val="000000" w:themeColor="text1"/>
                  </w:rPr>
                </w:pPr>
                <w:r>
                  <w:rPr>
                    <w:rFonts w:hint="eastAsia"/>
                    <w:color w:val="000000" w:themeColor="text1"/>
                  </w:rPr>
                  <w:t xml:space="preserve">　</w:t>
                </w:r>
              </w:p>
            </w:tc>
          </w:sdtContent>
        </w:sdt>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4,873,685.23</w:t>
            </w:r>
          </w:p>
        </w:tc>
      </w:tr>
      <w:tr w:rsidR="000C5659">
        <w:trPr>
          <w:cantSplit/>
        </w:trPr>
        <w:tc>
          <w:tcPr>
            <w:tcW w:w="8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扬州新长城塑业有限公司</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rPr>
                <w:rFonts w:hint="eastAsia"/>
              </w:rPr>
              <w:t>采购货物</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292,329.16</w:t>
            </w:r>
          </w:p>
        </w:tc>
        <w:tc>
          <w:tcPr>
            <w:tcW w:w="868" w:type="pct"/>
            <w:tcBorders>
              <w:top w:val="single" w:sz="4" w:space="0" w:color="auto"/>
              <w:left w:val="single" w:sz="4" w:space="0" w:color="auto"/>
              <w:bottom w:val="single" w:sz="4" w:space="0" w:color="auto"/>
              <w:right w:val="single" w:sz="4" w:space="0" w:color="auto"/>
            </w:tcBorders>
          </w:tcPr>
          <w:p w:rsidR="000C5659" w:rsidRDefault="000C5659">
            <w:pPr>
              <w:jc w:val="right"/>
            </w:pPr>
          </w:p>
        </w:tc>
        <w:sdt>
          <w:sdtPr>
            <w:rPr>
              <w:color w:val="000000" w:themeColor="text1"/>
            </w:rPr>
            <w:alias w:val="采购商品接受劳务情况明细-是否超过交易额度"/>
            <w:tag w:val="_GBC_8948407543bf4b9e8a27ff07478d8950"/>
            <w:id w:val="660432413"/>
            <w:comboBox>
              <w:listItem w:displayText="是" w:value="是"/>
              <w:listItem w:displayText="否" w:value="否"/>
            </w:comboBox>
          </w:sdtPr>
          <w:sdtEndPr/>
          <w:sdtContent>
            <w:tc>
              <w:tcPr>
                <w:tcW w:w="912" w:type="pct"/>
                <w:tcBorders>
                  <w:top w:val="single" w:sz="4" w:space="0" w:color="auto"/>
                  <w:left w:val="single" w:sz="4" w:space="0" w:color="auto"/>
                  <w:bottom w:val="single" w:sz="4" w:space="0" w:color="auto"/>
                  <w:right w:val="single" w:sz="4" w:space="0" w:color="auto"/>
                </w:tcBorders>
              </w:tcPr>
              <w:p w:rsidR="000C5659" w:rsidRDefault="00B708C8">
                <w:pPr>
                  <w:jc w:val="center"/>
                  <w:rPr>
                    <w:color w:val="000000" w:themeColor="text1"/>
                  </w:rPr>
                </w:pPr>
                <w:r>
                  <w:rPr>
                    <w:rFonts w:hint="eastAsia"/>
                    <w:color w:val="000000" w:themeColor="text1"/>
                  </w:rPr>
                  <w:t xml:space="preserve">　</w:t>
                </w:r>
              </w:p>
            </w:tc>
          </w:sdtContent>
        </w:sdt>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pPr>
            <w:r>
              <w:t>585,222.72</w:t>
            </w:r>
          </w:p>
        </w:tc>
      </w:tr>
      <w:tr w:rsidR="000C5659">
        <w:trPr>
          <w:cantSplit/>
        </w:trPr>
        <w:tc>
          <w:tcPr>
            <w:tcW w:w="83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rPr>
                <w:rFonts w:hint="eastAsia"/>
              </w:rPr>
              <w:t>扬州顶流包装制品有限公司</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rPr>
                <w:rFonts w:hint="eastAsia"/>
              </w:rPr>
              <w:t>采购货物</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870,324.77</w:t>
            </w:r>
          </w:p>
        </w:tc>
        <w:tc>
          <w:tcPr>
            <w:tcW w:w="868"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12" w:type="pct"/>
            <w:tcBorders>
              <w:top w:val="single" w:sz="4" w:space="0" w:color="auto"/>
              <w:left w:val="single" w:sz="4" w:space="0" w:color="auto"/>
              <w:bottom w:val="single" w:sz="4" w:space="0" w:color="auto"/>
              <w:right w:val="single" w:sz="4" w:space="0" w:color="auto"/>
            </w:tcBorders>
          </w:tcPr>
          <w:p w:rsidR="000C5659" w:rsidRDefault="000C5659">
            <w:pPr>
              <w:jc w:val="center"/>
              <w:rPr>
                <w:color w:val="000000" w:themeColor="text1"/>
              </w:rPr>
            </w:pP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bl>
    <w:p w:rsidR="000C5659" w:rsidRDefault="000C5659">
      <w:pPr>
        <w:pStyle w:val="Style325"/>
      </w:pPr>
    </w:p>
    <w:p w:rsidR="000C5659" w:rsidRDefault="000E33C4">
      <w:pPr>
        <w:ind w:rightChars="-369" w:right="-775"/>
        <w:rPr>
          <w:color w:val="000000" w:themeColor="text1"/>
        </w:rPr>
      </w:pPr>
      <w:r>
        <w:rPr>
          <w:rFonts w:hint="eastAsia"/>
          <w:color w:val="000000" w:themeColor="text1"/>
        </w:rPr>
        <w:t>出售商品/提供劳务情况表</w:t>
      </w:r>
    </w:p>
    <w:sdt>
      <w:sdtPr>
        <w:rPr>
          <w:color w:val="000000" w:themeColor="text1"/>
        </w:rPr>
        <w:alias w:val="是否适用：出售商品或提供劳务情况表[双击切换]"/>
        <w:tag w:val="_GBC_18ae630e2f3641959d3a9fc1a3f3ccf3"/>
        <w:id w:val="-1140185022"/>
        <w:placeholder>
          <w:docPart w:val="GBC22222222222222222222222222222"/>
        </w:placeholder>
      </w:sdtPr>
      <w:sdtEndPr/>
      <w:sdtContent>
        <w:p w:rsidR="000C5659" w:rsidRDefault="000E33C4">
          <w:pPr>
            <w:ind w:rightChars="-369" w:right="-77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tabs>
          <w:tab w:val="left" w:pos="3870"/>
        </w:tabs>
        <w:jc w:val="right"/>
        <w:rPr>
          <w:rFonts w:cs="Cambria"/>
          <w:color w:val="000000" w:themeColor="text1"/>
        </w:rPr>
      </w:pPr>
      <w:r>
        <w:rPr>
          <w:color w:val="000000" w:themeColor="text1"/>
        </w:rPr>
        <w:t>单位</w:t>
      </w:r>
      <w:r>
        <w:rPr>
          <w:rFonts w:hint="eastAsia"/>
          <w:color w:val="000000" w:themeColor="text1"/>
        </w:rPr>
        <w:t>：</w:t>
      </w:r>
      <w:sdt>
        <w:sdtPr>
          <w:rPr>
            <w:color w:val="000000" w:themeColor="text1"/>
          </w:rPr>
          <w:alias w:val="单位：出售商品提供劳务情况表"/>
          <w:tag w:val="_GBC_d53494f853ed4767a511f9c2c780c566"/>
          <w:id w:val="-11148330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sdt>
        <w:sdtPr>
          <w:rPr>
            <w:color w:val="000000" w:themeColor="text1"/>
          </w:rPr>
          <w:alias w:val="币种：出售商品提供劳务情况表"/>
          <w:tag w:val="_GBC_d298f57687684d2eafef1d8c13d51722"/>
          <w:id w:val="14514385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396"/>
        <w:gridCol w:w="2105"/>
        <w:gridCol w:w="2160"/>
        <w:gridCol w:w="2162"/>
      </w:tblGrid>
      <w:tr w:rsidR="000C5659">
        <w:trPr>
          <w:cantSplit/>
          <w:trHeight w:val="273"/>
        </w:trPr>
        <w:sdt>
          <w:sdtPr>
            <w:rPr>
              <w:color w:val="000000" w:themeColor="text1"/>
            </w:rPr>
            <w:tag w:val="_PLD_70510986aab647e99b00ba57c32e64cd"/>
            <w:id w:val="-1736768663"/>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关联方</w:t>
                </w:r>
              </w:p>
            </w:tc>
          </w:sdtContent>
        </w:sdt>
        <w:sdt>
          <w:sdtPr>
            <w:rPr>
              <w:color w:val="000000" w:themeColor="text1"/>
            </w:rPr>
            <w:tag w:val="_PLD_66da90262f3d401c8151235b4c6f5e93"/>
            <w:id w:val="748317734"/>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关联交易内容</w:t>
                </w:r>
              </w:p>
            </w:tc>
          </w:sdtContent>
        </w:sdt>
        <w:sdt>
          <w:sdtPr>
            <w:rPr>
              <w:color w:val="000000" w:themeColor="text1"/>
            </w:rPr>
            <w:tag w:val="_PLD_09c424bd80324eb49dafea569ce1931b"/>
            <w:id w:val="1103002198"/>
          </w:sdtPr>
          <w:sdtEndPr/>
          <w:sdtContent>
            <w:tc>
              <w:tcPr>
                <w:tcW w:w="1224" w:type="pct"/>
                <w:tcBorders>
                  <w:top w:val="single" w:sz="4" w:space="0" w:color="auto"/>
                  <w:left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本期发生额</w:t>
                </w:r>
              </w:p>
            </w:tc>
          </w:sdtContent>
        </w:sdt>
        <w:sdt>
          <w:sdtPr>
            <w:rPr>
              <w:color w:val="000000" w:themeColor="text1"/>
            </w:rPr>
            <w:tag w:val="_PLD_fd0f9e0691744db49d5ceaf95d42197c"/>
            <w:id w:val="-1854101626"/>
          </w:sdtPr>
          <w:sdtEndPr/>
          <w:sdtContent>
            <w:tc>
              <w:tcPr>
                <w:tcW w:w="1225" w:type="pct"/>
                <w:tcBorders>
                  <w:top w:val="single" w:sz="4" w:space="0" w:color="auto"/>
                  <w:left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上期发生额</w:t>
                </w:r>
              </w:p>
            </w:tc>
          </w:sdtContent>
        </w:sdt>
      </w:tr>
      <w:tr w:rsidR="000C5659">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广州舒客科技有限公司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销售货物</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16,068,849.11</w:t>
            </w:r>
          </w:p>
        </w:tc>
      </w:tr>
      <w:tr w:rsidR="000C5659">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天长市舒客科技有限公司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销售货物</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29,777,220.51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7,924,618.17</w:t>
            </w:r>
          </w:p>
        </w:tc>
      </w:tr>
      <w:tr w:rsidR="000C5659">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广州舒客实业有限公司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pStyle w:val="Style325"/>
            </w:pPr>
            <w:r>
              <w:t>销售货物</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1,277,501.40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52,445.34</w:t>
            </w:r>
          </w:p>
        </w:tc>
      </w:tr>
    </w:tbl>
    <w:p w:rsidR="000C5659" w:rsidRDefault="000C5659">
      <w:pPr>
        <w:pStyle w:val="Style325"/>
      </w:pPr>
    </w:p>
    <w:p w:rsidR="000C5659" w:rsidRDefault="000E33C4">
      <w:pPr>
        <w:rPr>
          <w:rFonts w:cs="Cambria"/>
          <w:color w:val="000000" w:themeColor="text1"/>
        </w:rPr>
      </w:pPr>
      <w:r>
        <w:rPr>
          <w:rFonts w:cs="Cambria" w:hint="eastAsia"/>
          <w:color w:val="000000" w:themeColor="text1"/>
        </w:rPr>
        <w:t>购销商品、提供和接受劳务的关联交易说明</w:t>
      </w:r>
    </w:p>
    <w:sdt>
      <w:sdtPr>
        <w:rPr>
          <w:rFonts w:cs="Cambria"/>
          <w:color w:val="000000" w:themeColor="text1"/>
        </w:rPr>
        <w:alias w:val="是否适用：购销商品、提供和接受劳务的关联交易说明[双击切换]"/>
        <w:tag w:val="_GBC_9ec9e1b38e7f48d89bb7f6441bed1bd1"/>
        <w:id w:val="456685968"/>
        <w:placeholder>
          <w:docPart w:val="GBC22222222222222222222222222222"/>
        </w:placeholder>
      </w:sdtPr>
      <w:sdtEndPr/>
      <w:sdtContent>
        <w:p w:rsidR="000C5659" w:rsidRDefault="000E33C4">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0C5659" w:rsidRDefault="000C5659">
      <w:pPr>
        <w:rPr>
          <w:rFonts w:cs="Cambria"/>
          <w:color w:val="000000" w:themeColor="text1"/>
        </w:rPr>
      </w:pPr>
    </w:p>
    <w:p w:rsidR="000C5659" w:rsidRDefault="000E33C4" w:rsidP="000743DD">
      <w:pPr>
        <w:pStyle w:val="Style165"/>
        <w:numPr>
          <w:ilvl w:val="0"/>
          <w:numId w:val="107"/>
        </w:numPr>
        <w:tabs>
          <w:tab w:val="left" w:pos="616"/>
        </w:tabs>
        <w:rPr>
          <w:rFonts w:ascii="宋体" w:hAnsi="宋体"/>
          <w:color w:val="000000" w:themeColor="text1"/>
        </w:rPr>
      </w:pPr>
      <w:r>
        <w:rPr>
          <w:rFonts w:ascii="宋体" w:hAnsi="宋体" w:hint="eastAsia"/>
          <w:color w:val="000000" w:themeColor="text1"/>
        </w:rPr>
        <w:lastRenderedPageBreak/>
        <w:t>关联受托管理/承包及委托管理/出包情况</w:t>
      </w:r>
    </w:p>
    <w:p w:rsidR="000C5659" w:rsidRDefault="000E33C4">
      <w:pPr>
        <w:rPr>
          <w:color w:val="000000" w:themeColor="text1"/>
        </w:rPr>
      </w:pPr>
      <w:r>
        <w:rPr>
          <w:rFonts w:hint="eastAsia"/>
          <w:color w:val="000000" w:themeColor="text1"/>
        </w:rPr>
        <w:t>本公司受托管理/承包情况表：</w:t>
      </w:r>
    </w:p>
    <w:sdt>
      <w:sdtPr>
        <w:rPr>
          <w:rFonts w:cs="Cambria"/>
          <w:color w:val="000000" w:themeColor="text1"/>
        </w:rPr>
        <w:alias w:val="是否适用：本公司受托管理或承包情况表[双击切换]"/>
        <w:tag w:val="_GBC_3810b3cad54c4b2f9754e7d6be3e9480"/>
        <w:id w:val="-722219864"/>
        <w:placeholder>
          <w:docPart w:val="GBC22222222222222222222222222222"/>
        </w:placeholder>
      </w:sdtPr>
      <w:sdtEndPr/>
      <w:sdtContent>
        <w:p w:rsidR="000C5659" w:rsidRDefault="000E33C4">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0C5659" w:rsidRDefault="000C5659">
      <w:pPr>
        <w:rPr>
          <w:rFonts w:cs="Cambria"/>
          <w:color w:val="000000" w:themeColor="text1"/>
        </w:rPr>
      </w:pPr>
    </w:p>
    <w:p w:rsidR="000C5659" w:rsidRDefault="000E33C4">
      <w:pPr>
        <w:rPr>
          <w:rFonts w:cs="Cambria"/>
          <w:color w:val="000000" w:themeColor="text1"/>
        </w:rPr>
      </w:pPr>
      <w:r>
        <w:rPr>
          <w:rFonts w:cs="Cambria" w:hint="eastAsia"/>
          <w:color w:val="000000" w:themeColor="text1"/>
        </w:rPr>
        <w:t>关联托管/承包情况说明</w:t>
      </w:r>
    </w:p>
    <w:sdt>
      <w:sdtPr>
        <w:rPr>
          <w:rFonts w:cs="Cambria"/>
          <w:color w:val="000000" w:themeColor="text1"/>
        </w:rPr>
        <w:alias w:val="是否适用：关联托管或承包情况说明[双击切换]"/>
        <w:tag w:val="_GBC_42ec6e3170b04610899c528ce7bda003"/>
        <w:id w:val="-1195843553"/>
        <w:placeholder>
          <w:docPart w:val="GBC22222222222222222222222222222"/>
        </w:placeholder>
      </w:sdtPr>
      <w:sdtEndPr/>
      <w:sdtContent>
        <w:p w:rsidR="000C5659" w:rsidRDefault="000E33C4">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0C5659" w:rsidRDefault="000C5659">
      <w:pPr>
        <w:rPr>
          <w:rFonts w:cs="Cambria"/>
          <w:color w:val="000000" w:themeColor="text1"/>
        </w:rPr>
      </w:pPr>
    </w:p>
    <w:p w:rsidR="000C5659" w:rsidRDefault="000E33C4">
      <w:pPr>
        <w:rPr>
          <w:rFonts w:cs="Cambria"/>
          <w:color w:val="000000" w:themeColor="text1"/>
        </w:rPr>
      </w:pPr>
      <w:r>
        <w:rPr>
          <w:rFonts w:hint="eastAsia"/>
          <w:color w:val="000000" w:themeColor="text1"/>
        </w:rPr>
        <w:t>本公司</w:t>
      </w:r>
      <w:r>
        <w:rPr>
          <w:rFonts w:cs="Cambria" w:hint="eastAsia"/>
          <w:color w:val="000000" w:themeColor="text1"/>
        </w:rPr>
        <w:t>委托管理/出包情况表：</w:t>
      </w:r>
    </w:p>
    <w:sdt>
      <w:sdtPr>
        <w:rPr>
          <w:rFonts w:cs="Cambria"/>
          <w:color w:val="000000" w:themeColor="text1"/>
        </w:rPr>
        <w:alias w:val="是否适用：本公司委托管理或出包情况表[双击切换]"/>
        <w:tag w:val="_GBC_37bf111a27194665b76f71bb5418d53c"/>
        <w:id w:val="2128815023"/>
        <w:placeholder>
          <w:docPart w:val="GBC22222222222222222222222222222"/>
        </w:placeholder>
      </w:sdtPr>
      <w:sdtEndPr/>
      <w:sdtContent>
        <w:p w:rsidR="000C5659" w:rsidRDefault="000E33C4">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0C5659" w:rsidRDefault="000C5659">
      <w:pPr>
        <w:rPr>
          <w:rFonts w:cs="Cambria"/>
          <w:color w:val="000000" w:themeColor="text1"/>
        </w:rPr>
      </w:pPr>
    </w:p>
    <w:p w:rsidR="000C5659" w:rsidRDefault="000E33C4">
      <w:pPr>
        <w:rPr>
          <w:rFonts w:cs="Cambria"/>
          <w:color w:val="000000" w:themeColor="text1"/>
        </w:rPr>
      </w:pPr>
      <w:r>
        <w:rPr>
          <w:rFonts w:cs="Cambria" w:hint="eastAsia"/>
          <w:color w:val="000000" w:themeColor="text1"/>
        </w:rPr>
        <w:t>关联管理/出包情况说明</w:t>
      </w:r>
    </w:p>
    <w:sdt>
      <w:sdtPr>
        <w:rPr>
          <w:rFonts w:cs="Cambria"/>
          <w:color w:val="000000" w:themeColor="text1"/>
        </w:rPr>
        <w:alias w:val="是否适用：关联管理或出包情况说明[双击切换]"/>
        <w:tag w:val="_GBC_0b0339c118c542eb8a6e3a68fab8e375"/>
        <w:id w:val="1029384397"/>
        <w:placeholder>
          <w:docPart w:val="GBC22222222222222222222222222222"/>
        </w:placeholder>
      </w:sdtPr>
      <w:sdtEndPr/>
      <w:sdtContent>
        <w:p w:rsidR="000C5659" w:rsidRDefault="000E33C4">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0C5659" w:rsidRDefault="000C5659">
      <w:pPr>
        <w:rPr>
          <w:rFonts w:cs="Cambria"/>
          <w:color w:val="000000" w:themeColor="text1"/>
        </w:rPr>
      </w:pPr>
    </w:p>
    <w:p w:rsidR="000C5659" w:rsidRDefault="000E33C4" w:rsidP="000743DD">
      <w:pPr>
        <w:pStyle w:val="Style165"/>
        <w:numPr>
          <w:ilvl w:val="0"/>
          <w:numId w:val="107"/>
        </w:numPr>
        <w:tabs>
          <w:tab w:val="left" w:pos="616"/>
        </w:tabs>
        <w:rPr>
          <w:rFonts w:ascii="宋体" w:hAnsi="宋体"/>
          <w:color w:val="000000" w:themeColor="text1"/>
        </w:rPr>
      </w:pPr>
      <w:bookmarkStart w:id="368" w:name="_Hlk105747475"/>
      <w:r>
        <w:rPr>
          <w:rFonts w:ascii="宋体" w:hAnsi="宋体" w:hint="eastAsia"/>
          <w:color w:val="000000" w:themeColor="text1"/>
        </w:rPr>
        <w:t>关联租赁情况</w:t>
      </w:r>
    </w:p>
    <w:p w:rsidR="000C5659" w:rsidRDefault="000E33C4">
      <w:pPr>
        <w:rPr>
          <w:color w:val="000000" w:themeColor="text1"/>
        </w:rPr>
      </w:pPr>
      <w:r>
        <w:rPr>
          <w:rFonts w:hint="eastAsia"/>
          <w:color w:val="000000" w:themeColor="text1"/>
        </w:rPr>
        <w:t>本公司作为出租方：</w:t>
      </w:r>
    </w:p>
    <w:sdt>
      <w:sdtPr>
        <w:rPr>
          <w:color w:val="000000" w:themeColor="text1"/>
        </w:rPr>
        <w:alias w:val="是否适用：本公司作为出租方的租赁情况表[双击切换]"/>
        <w:tag w:val="_GBC_f12cb8266cbd482b93c6a4bba1b05fb7"/>
        <w:id w:val="-159231106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本公司作为承租方：</w:t>
      </w:r>
    </w:p>
    <w:sdt>
      <w:sdtPr>
        <w:rPr>
          <w:color w:val="000000" w:themeColor="text1"/>
        </w:rPr>
        <w:alias w:val="是否适用：本公司作为承租方的租赁情况表[双击切换]"/>
        <w:tag w:val="_GBC_e3319fb4cbb04bb0ab5516046d7e77a4"/>
        <w:id w:val="115139835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关联租赁情况说明</w:t>
      </w:r>
    </w:p>
    <w:sdt>
      <w:sdtPr>
        <w:rPr>
          <w:color w:val="000000" w:themeColor="text1"/>
        </w:rPr>
        <w:alias w:val="是否适用：关联租赁情况说明[双击切换]"/>
        <w:tag w:val="_GBC_a8d25c1a27d24bbeb9dd0063be85a310"/>
        <w:id w:val="-214187717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68"/>
    <w:p w:rsidR="000C5659" w:rsidRDefault="000C5659">
      <w:pPr>
        <w:rPr>
          <w:color w:val="000000" w:themeColor="text1"/>
        </w:rPr>
      </w:pPr>
    </w:p>
    <w:p w:rsidR="000C5659" w:rsidRDefault="000E33C4" w:rsidP="000743DD">
      <w:pPr>
        <w:pStyle w:val="Style165"/>
        <w:numPr>
          <w:ilvl w:val="0"/>
          <w:numId w:val="107"/>
        </w:numPr>
        <w:tabs>
          <w:tab w:val="left" w:pos="616"/>
        </w:tabs>
        <w:rPr>
          <w:rFonts w:ascii="宋体" w:hAnsi="宋体" w:cs="Arial"/>
          <w:color w:val="000000" w:themeColor="text1"/>
          <w:szCs w:val="21"/>
        </w:rPr>
      </w:pPr>
      <w:bookmarkStart w:id="369" w:name="_Hlk105747684"/>
      <w:r>
        <w:rPr>
          <w:rFonts w:ascii="宋体" w:hAnsi="宋体" w:cs="Arial" w:hint="eastAsia"/>
          <w:color w:val="000000" w:themeColor="text1"/>
          <w:szCs w:val="21"/>
        </w:rPr>
        <w:t>关联</w:t>
      </w:r>
      <w:r>
        <w:rPr>
          <w:rFonts w:ascii="宋体" w:hAnsi="宋体" w:hint="eastAsia"/>
          <w:color w:val="000000" w:themeColor="text1"/>
        </w:rPr>
        <w:t>担保</w:t>
      </w:r>
      <w:r>
        <w:rPr>
          <w:rFonts w:ascii="宋体" w:hAnsi="宋体" w:cs="Arial" w:hint="eastAsia"/>
          <w:color w:val="000000" w:themeColor="text1"/>
          <w:szCs w:val="21"/>
        </w:rPr>
        <w:t>情况</w:t>
      </w:r>
    </w:p>
    <w:p w:rsidR="000C5659" w:rsidRDefault="000E33C4">
      <w:pPr>
        <w:rPr>
          <w:color w:val="000000" w:themeColor="text1"/>
        </w:rPr>
      </w:pPr>
      <w:r>
        <w:rPr>
          <w:rFonts w:hint="eastAsia"/>
          <w:color w:val="000000" w:themeColor="text1"/>
        </w:rPr>
        <w:t>本公司作为担保方</w:t>
      </w:r>
    </w:p>
    <w:sdt>
      <w:sdtPr>
        <w:rPr>
          <w:color w:val="000000" w:themeColor="text1"/>
        </w:rPr>
        <w:alias w:val="是否适用：本公司作为担保方的担保情况表[双击切换]"/>
        <w:tag w:val="_GBC_f0150417f8ec4c5281b86683570391cb"/>
        <w:id w:val="-23092699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rFonts w:cs="Cambria"/>
          <w:b/>
          <w:color w:val="000000" w:themeColor="text1"/>
        </w:rPr>
      </w:pPr>
      <w:r>
        <w:rPr>
          <w:rFonts w:cs="Cambria" w:hint="eastAsia"/>
          <w:color w:val="000000" w:themeColor="text1"/>
        </w:rPr>
        <w:t>单位：</w:t>
      </w:r>
      <w:sdt>
        <w:sdtPr>
          <w:rPr>
            <w:rFonts w:cs="Cambria" w:hint="eastAsia"/>
            <w:color w:val="000000" w:themeColor="text1"/>
          </w:rPr>
          <w:alias w:val="单位：关联担保情况"/>
          <w:tag w:val="_GBC_379c49ecfda94d10a0dbf6a25b30832b"/>
          <w:id w:val="-20216112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cs="Cambria" w:hint="eastAsia"/>
              <w:color w:val="000000" w:themeColor="text1"/>
            </w:rPr>
            <w:t>元</w:t>
          </w:r>
        </w:sdtContent>
      </w:sdt>
      <w:r>
        <w:rPr>
          <w:rFonts w:cs="Cambria" w:hint="eastAsia"/>
          <w:color w:val="000000" w:themeColor="text1"/>
        </w:rPr>
        <w:t xml:space="preserve">  币种：</w:t>
      </w:r>
      <w:sdt>
        <w:sdtPr>
          <w:rPr>
            <w:rFonts w:cs="Cambria" w:hint="eastAsia"/>
            <w:color w:val="000000" w:themeColor="text1"/>
          </w:rPr>
          <w:alias w:val="币种：关联担保情况"/>
          <w:tag w:val="_GBC_30ef1648c7d34b02b08d4b5c5e962498"/>
          <w:id w:val="-14255701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cs="Cambria"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266"/>
        <w:gridCol w:w="1547"/>
        <w:gridCol w:w="1406"/>
        <w:gridCol w:w="1406"/>
        <w:gridCol w:w="1198"/>
      </w:tblGrid>
      <w:tr w:rsidR="000C5659">
        <w:sdt>
          <w:sdtPr>
            <w:rPr>
              <w:color w:val="000000" w:themeColor="text1"/>
            </w:rPr>
            <w:tag w:val="_PLD_7fb310b8c01a472093d9d29e302daa4b"/>
            <w:id w:val="1252787894"/>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被担保方</w:t>
                </w:r>
              </w:p>
            </w:tc>
          </w:sdtContent>
        </w:sdt>
        <w:sdt>
          <w:sdtPr>
            <w:rPr>
              <w:color w:val="000000" w:themeColor="text1"/>
            </w:rPr>
            <w:tag w:val="_PLD_cd6852cb7c5a4dea84a100ea01b8219f"/>
            <w:id w:val="-1213038072"/>
          </w:sdtPr>
          <w:sdtEnd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担保金额</w:t>
                </w:r>
              </w:p>
            </w:tc>
          </w:sdtContent>
        </w:sdt>
        <w:sdt>
          <w:sdtPr>
            <w:rPr>
              <w:color w:val="000000" w:themeColor="text1"/>
            </w:rPr>
            <w:tag w:val="_PLD_bb272624fc77442486c7a9b0b734043e"/>
            <w:id w:val="-974437848"/>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担保起始日</w:t>
                </w:r>
              </w:p>
            </w:tc>
          </w:sdtContent>
        </w:sdt>
        <w:sdt>
          <w:sdtPr>
            <w:rPr>
              <w:color w:val="000000" w:themeColor="text1"/>
            </w:rPr>
            <w:tag w:val="_PLD_a35eb33b3ab1461794f97ed15e18ee6a"/>
            <w:id w:val="1078711384"/>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担保到期日</w:t>
                </w:r>
              </w:p>
            </w:tc>
          </w:sdtContent>
        </w:sdt>
        <w:sdt>
          <w:sdtPr>
            <w:rPr>
              <w:color w:val="000000" w:themeColor="text1"/>
            </w:rPr>
            <w:tag w:val="_PLD_4d5bb53717184afaad59a41f21a18bd1"/>
            <w:id w:val="-1539582378"/>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担保是否已经履行完毕</w:t>
                </w:r>
              </w:p>
            </w:tc>
          </w:sdtContent>
        </w:sdt>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扬州美星口腔护理用品有限公司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5,000,000.00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2023-3-22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2024-3-22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是</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扬州美星口腔护理用品有限公司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2023-5-29</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2024-6-19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扬州美星口腔护理用品有限公司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2023-7-17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2025-12-13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扬州美星口腔护理用品有限公司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5,000,000.00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2023-9-30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110,000,000.00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2021-9-18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2026-7-21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29,980,000.00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2021-9-18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2026-7-21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2023-3-23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2027-3-23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9,000,000.00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2023-3-23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2027-3-23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5,000,000.00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2023-5-26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2027-5-26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40,000,000.00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2021-5-24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2024-5-23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是</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51,100,000.00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2021-3-16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2024-3-15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是</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60,000,000.00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2023-7-17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2025-12-13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2023-11-21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2024-11-21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扬州美星口腔护理用品有限公司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2024-3-14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2025-3-14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30,000,000.00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2024-3-14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2025-3-14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扬州美星口腔护理用品有限公司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2024-6-26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2025-6-25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2024-6-26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2025-6-25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bl>
    <w:p w:rsidR="000C5659" w:rsidRDefault="000C5659">
      <w:pPr>
        <w:rPr>
          <w:color w:val="000000" w:themeColor="text1"/>
        </w:rPr>
      </w:pPr>
    </w:p>
    <w:p w:rsidR="000C5659" w:rsidRDefault="000E33C4">
      <w:pPr>
        <w:rPr>
          <w:rFonts w:cs="Cambria"/>
          <w:color w:val="000000" w:themeColor="text1"/>
        </w:rPr>
      </w:pPr>
      <w:r>
        <w:rPr>
          <w:rFonts w:cs="Cambria" w:hint="eastAsia"/>
          <w:color w:val="000000" w:themeColor="text1"/>
        </w:rPr>
        <w:t>本公司作为被担保方</w:t>
      </w:r>
    </w:p>
    <w:sdt>
      <w:sdtPr>
        <w:rPr>
          <w:rFonts w:cs="Cambria"/>
          <w:color w:val="000000" w:themeColor="text1"/>
        </w:rPr>
        <w:alias w:val="是否适用：本公司作为被担保方的担保情况表[双击切换]"/>
        <w:tag w:val="_GBC_3686094d29c941dd91bd168e3ef88833"/>
        <w:id w:val="-34813935"/>
        <w:placeholder>
          <w:docPart w:val="GBC22222222222222222222222222222"/>
        </w:placeholder>
      </w:sdtPr>
      <w:sdtEndPr/>
      <w:sdtContent>
        <w:p w:rsidR="000C5659" w:rsidRDefault="000E33C4">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0C5659" w:rsidRDefault="000E33C4">
      <w:pPr>
        <w:jc w:val="right"/>
        <w:rPr>
          <w:rFonts w:cs="Cambria"/>
          <w:color w:val="000000" w:themeColor="text1"/>
        </w:rPr>
      </w:pPr>
      <w:r>
        <w:rPr>
          <w:rFonts w:cs="Cambria" w:hint="eastAsia"/>
          <w:color w:val="000000" w:themeColor="text1"/>
        </w:rPr>
        <w:lastRenderedPageBreak/>
        <w:t>单位：</w:t>
      </w:r>
      <w:sdt>
        <w:sdtPr>
          <w:rPr>
            <w:rFonts w:cs="Cambria" w:hint="eastAsia"/>
            <w:color w:val="000000" w:themeColor="text1"/>
          </w:rPr>
          <w:alias w:val="单位：财务附注：本公司作为被担保方"/>
          <w:tag w:val="_GBC_af3d3d55d9c648f8b2e94dcdd804c683"/>
          <w:id w:val="-19251015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cs="Cambria" w:hint="eastAsia"/>
              <w:color w:val="000000" w:themeColor="text1"/>
            </w:rPr>
            <w:t>元</w:t>
          </w:r>
        </w:sdtContent>
      </w:sdt>
      <w:r>
        <w:rPr>
          <w:rFonts w:cs="Cambria" w:hint="eastAsia"/>
          <w:color w:val="000000" w:themeColor="text1"/>
        </w:rPr>
        <w:t xml:space="preserve">  币种：</w:t>
      </w:r>
      <w:sdt>
        <w:sdtPr>
          <w:rPr>
            <w:rFonts w:cs="Cambria" w:hint="eastAsia"/>
            <w:color w:val="000000" w:themeColor="text1"/>
          </w:rPr>
          <w:alias w:val="币种：财务附注：本公司作为被担保方"/>
          <w:tag w:val="_GBC_684efbccec674b3abab20e6aa5c20b55"/>
          <w:id w:val="-7000914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cs="Cambria"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421"/>
        <w:gridCol w:w="1687"/>
        <w:gridCol w:w="1548"/>
        <w:gridCol w:w="1687"/>
        <w:gridCol w:w="1480"/>
      </w:tblGrid>
      <w:tr w:rsidR="000C5659">
        <w:sdt>
          <w:sdtPr>
            <w:rPr>
              <w:color w:val="000000" w:themeColor="text1"/>
            </w:rPr>
            <w:tag w:val="_PLD_6088efc2eccd46e6a311f035e3addd31"/>
            <w:id w:val="-1860805091"/>
          </w:sdtPr>
          <w:sdtEnd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担保方</w:t>
                </w:r>
              </w:p>
            </w:tc>
          </w:sdtContent>
        </w:sdt>
        <w:sdt>
          <w:sdtPr>
            <w:rPr>
              <w:color w:val="000000" w:themeColor="text1"/>
            </w:rPr>
            <w:tag w:val="_PLD_e7f78a4ceee3432c87548a75d87de01f"/>
            <w:id w:val="-950782100"/>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担保金额</w:t>
                </w:r>
              </w:p>
            </w:tc>
          </w:sdtContent>
        </w:sdt>
        <w:sdt>
          <w:sdtPr>
            <w:rPr>
              <w:color w:val="000000" w:themeColor="text1"/>
            </w:rPr>
            <w:tag w:val="_PLD_258ee883a1494cba8aadfb02a67b1d9f"/>
            <w:id w:val="1878280322"/>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担保起始日</w:t>
                </w:r>
              </w:p>
            </w:tc>
          </w:sdtContent>
        </w:sdt>
        <w:sdt>
          <w:sdtPr>
            <w:rPr>
              <w:color w:val="000000" w:themeColor="text1"/>
            </w:rPr>
            <w:tag w:val="_PLD_219bfe3bbd6a4eeab9cd5e00e9bb2477"/>
            <w:id w:val="-267618062"/>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担保到期日</w:t>
                </w:r>
              </w:p>
            </w:tc>
          </w:sdtContent>
        </w:sdt>
        <w:sdt>
          <w:sdtPr>
            <w:rPr>
              <w:color w:val="000000" w:themeColor="text1"/>
            </w:rPr>
            <w:tag w:val="_PLD_e2efca4906c0464cb3ccf5445b144c22"/>
            <w:id w:val="1052503141"/>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担保是否已经履行完毕</w:t>
                </w:r>
              </w:p>
            </w:tc>
          </w:sdtContent>
        </w:sdt>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2023-1-28</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2026-1-27</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50,000,000.00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2022-11-28</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2025-11-27</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13,000,000.00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2023-5-26</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2027-5-26</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江苏明星牙刷有限公司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7,000,000.00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2023-5-26</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2027-5-26</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7,000,000.00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2023-5-26</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2027-5-26</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2023-5-26</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2027-5-26</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18,000,000.00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2023-6-15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2028-6-13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150,000,000.00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2023-7-24</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2027-9-22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扬州倍加洁日化有限公司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70,000,000.00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2023-8-22</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2025-12-13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70,000,000.00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2023-8-22</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2025-12-13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8,087,437.27</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2023-10-23</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2024-4-23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是</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江苏明星牙刷有限公司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8,087,437.27</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2023-10-23</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2024-4-23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是</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江苏明星牙刷有限公司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9,444,253.80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2023-11-17</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2024-5-17</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是</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9,444,253.80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2023-11-17</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2024-5-17</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是</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江苏明星牙刷有限公司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11,000,700.00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2024-7-18</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11,000,700.00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2024-7-18</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江苏明星牙刷有限公司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2025-01-22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2025-01-22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江苏明星牙刷有限公司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2025-01-22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2025-01-22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40,000,000.00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2024-1-8</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2034-1-8</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100,000,000.00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2024-3-28</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2031-3-26</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江苏明星牙刷有限公司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87,000,000.00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2024-4-22</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2025-4-16</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100,000,000.00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2024-4-22</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2025-4-16</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5,000,000.00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2024-5-30</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2024-12-3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r w:rsidR="000C5659">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rFonts w:cs="Cambria"/>
              </w:rPr>
            </w:pPr>
            <w:r>
              <w:rPr>
                <w:rFonts w:hint="eastAsia"/>
                <w:color w:val="000000"/>
              </w:rPr>
              <w:t>张文生</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140,000,000.00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2024-6-26</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rPr>
            </w:pPr>
            <w:r>
              <w:rPr>
                <w:rFonts w:hint="eastAsia"/>
                <w:color w:val="000000"/>
              </w:rPr>
              <w:t>2025-6-25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right"/>
              <w:rPr>
                <w:rFonts w:cs="Cambria"/>
                <w:color w:val="000000" w:themeColor="text1"/>
              </w:rPr>
            </w:pPr>
            <w:r>
              <w:rPr>
                <w:rFonts w:hint="eastAsia"/>
                <w:color w:val="000000"/>
              </w:rPr>
              <w:t>否</w:t>
            </w:r>
          </w:p>
        </w:tc>
      </w:tr>
    </w:tbl>
    <w:p w:rsidR="000C5659" w:rsidRDefault="000C5659">
      <w:pPr>
        <w:rPr>
          <w:rFonts w:cs="Cambria"/>
          <w:color w:val="000000" w:themeColor="text1"/>
        </w:rPr>
      </w:pPr>
    </w:p>
    <w:p w:rsidR="000C5659" w:rsidRDefault="000E33C4">
      <w:pPr>
        <w:rPr>
          <w:rFonts w:cs="Cambria"/>
          <w:color w:val="000000" w:themeColor="text1"/>
        </w:rPr>
      </w:pPr>
      <w:r>
        <w:rPr>
          <w:rFonts w:cs="Cambria" w:hint="eastAsia"/>
          <w:color w:val="000000" w:themeColor="text1"/>
        </w:rPr>
        <w:t>关联担保情况说明</w:t>
      </w:r>
    </w:p>
    <w:sdt>
      <w:sdtPr>
        <w:rPr>
          <w:rFonts w:cs="Cambria"/>
          <w:color w:val="000000" w:themeColor="text1"/>
        </w:rPr>
        <w:alias w:val="是否适用：关联担保情况说明[双击切换]"/>
        <w:tag w:val="_GBC_9a5a4769e8804b779ae17adb041890d7"/>
        <w:id w:val="1540392752"/>
        <w:placeholder>
          <w:docPart w:val="GBC22222222222222222222222222222"/>
        </w:placeholder>
      </w:sdtPr>
      <w:sdtEndPr/>
      <w:sdtContent>
        <w:p w:rsidR="000C5659" w:rsidRDefault="000E33C4">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0C5659" w:rsidRDefault="000C5659">
      <w:pPr>
        <w:rPr>
          <w:rFonts w:cs="Cambria"/>
          <w:color w:val="000000" w:themeColor="text1"/>
          <w:sz w:val="20"/>
          <w:szCs w:val="20"/>
        </w:rPr>
      </w:pPr>
    </w:p>
    <w:p w:rsidR="000C5659" w:rsidRDefault="000E33C4" w:rsidP="000743DD">
      <w:pPr>
        <w:pStyle w:val="Style165"/>
        <w:numPr>
          <w:ilvl w:val="0"/>
          <w:numId w:val="107"/>
        </w:numPr>
        <w:tabs>
          <w:tab w:val="left" w:pos="360"/>
          <w:tab w:val="left" w:pos="616"/>
        </w:tabs>
        <w:rPr>
          <w:rFonts w:ascii="宋体" w:hAnsi="宋体" w:cs="Arial"/>
          <w:color w:val="000000" w:themeColor="text1"/>
          <w:kern w:val="0"/>
          <w:szCs w:val="21"/>
        </w:rPr>
      </w:pPr>
      <w:bookmarkStart w:id="370" w:name="_Hlk72829984"/>
      <w:bookmarkEnd w:id="369"/>
      <w:r>
        <w:rPr>
          <w:rFonts w:ascii="宋体" w:hAnsi="宋体" w:cs="Arial" w:hint="eastAsia"/>
          <w:color w:val="000000" w:themeColor="text1"/>
          <w:kern w:val="0"/>
          <w:szCs w:val="21"/>
        </w:rPr>
        <w:t>关联方资金拆借</w:t>
      </w:r>
    </w:p>
    <w:sdt>
      <w:sdtPr>
        <w:rPr>
          <w:color w:val="000000" w:themeColor="text1"/>
        </w:rPr>
        <w:alias w:val="是否适用：关联方资金拆借[双击切换]"/>
        <w:tag w:val="_GBC_4b2d20ddab104a06a9007945a55a3da5"/>
        <w:id w:val="-147745145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heme="minorBidi"/>
          <w:color w:val="000000" w:themeColor="text1"/>
        </w:rPr>
      </w:pPr>
    </w:p>
    <w:bookmarkEnd w:id="370"/>
    <w:p w:rsidR="000C5659" w:rsidRDefault="000E33C4" w:rsidP="000743DD">
      <w:pPr>
        <w:pStyle w:val="Style165"/>
        <w:numPr>
          <w:ilvl w:val="0"/>
          <w:numId w:val="107"/>
        </w:numPr>
        <w:tabs>
          <w:tab w:val="left" w:pos="616"/>
        </w:tabs>
        <w:rPr>
          <w:rFonts w:ascii="宋体" w:hAnsi="宋体"/>
          <w:color w:val="000000" w:themeColor="text1"/>
        </w:rPr>
      </w:pPr>
      <w:r>
        <w:rPr>
          <w:rFonts w:ascii="宋体" w:hAnsi="宋体" w:hint="eastAsia"/>
          <w:color w:val="000000" w:themeColor="text1"/>
        </w:rPr>
        <w:t>关联方资产转让、债务重组情况</w:t>
      </w:r>
    </w:p>
    <w:sdt>
      <w:sdtPr>
        <w:rPr>
          <w:color w:val="000000" w:themeColor="text1"/>
        </w:rPr>
        <w:alias w:val="是否适用：关联方资产转让、债务重组情况[双击切换]"/>
        <w:tag w:val="_GBC_c590c66abdbe454e89c4c55269fb6adf"/>
        <w:id w:val="-16248328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107"/>
        </w:numPr>
        <w:tabs>
          <w:tab w:val="left" w:pos="616"/>
        </w:tabs>
        <w:rPr>
          <w:rFonts w:ascii="宋体" w:hAnsi="宋体"/>
          <w:color w:val="000000" w:themeColor="text1"/>
        </w:rPr>
      </w:pPr>
      <w:r>
        <w:rPr>
          <w:rFonts w:ascii="宋体" w:hAnsi="宋体" w:hint="eastAsia"/>
          <w:color w:val="000000" w:themeColor="text1"/>
        </w:rPr>
        <w:t>关键管理人员报酬</w:t>
      </w:r>
    </w:p>
    <w:sdt>
      <w:sdtPr>
        <w:rPr>
          <w:color w:val="000000" w:themeColor="text1"/>
        </w:rPr>
        <w:alias w:val="是否适用：关键管理人员报酬[双击切换]"/>
        <w:tag w:val="_GBC_48379e9c7f5743bb916ac1cb044f4057"/>
        <w:id w:val="-6308684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rFonts w:cs="Cambria"/>
          <w:color w:val="000000" w:themeColor="text1"/>
        </w:rPr>
      </w:pPr>
      <w:r>
        <w:rPr>
          <w:rFonts w:cs="Cambria" w:hint="eastAsia"/>
          <w:color w:val="000000" w:themeColor="text1"/>
        </w:rPr>
        <w:t>单位：</w:t>
      </w:r>
      <w:sdt>
        <w:sdtPr>
          <w:rPr>
            <w:rFonts w:cs="Cambria" w:hint="eastAsia"/>
            <w:color w:val="000000" w:themeColor="text1"/>
          </w:rPr>
          <w:alias w:val="单位：财务附注：关键管理人员报酬"/>
          <w:tag w:val="_GBC_ce83ed5df8424f9a845da83f15361f10"/>
          <w:id w:val="2090044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cs="Cambria" w:hint="eastAsia"/>
              <w:color w:val="000000" w:themeColor="text1"/>
            </w:rPr>
            <w:t>万元</w:t>
          </w:r>
        </w:sdtContent>
      </w:sdt>
      <w:r>
        <w:rPr>
          <w:rFonts w:cs="Cambria" w:hint="eastAsia"/>
          <w:color w:val="000000" w:themeColor="text1"/>
        </w:rPr>
        <w:t xml:space="preserve">  币种：</w:t>
      </w:r>
      <w:sdt>
        <w:sdtPr>
          <w:rPr>
            <w:rFonts w:cs="Cambria" w:hint="eastAsia"/>
            <w:color w:val="000000" w:themeColor="text1"/>
          </w:rPr>
          <w:alias w:val="币种：财务附注：关键管理人员报酬"/>
          <w:tag w:val="_GBC_f493c9ef199846639115d5bc3032a26e"/>
          <w:id w:val="-10847494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cs="Cambria"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0C5659">
        <w:sdt>
          <w:sdtPr>
            <w:rPr>
              <w:color w:val="000000" w:themeColor="text1"/>
            </w:rPr>
            <w:tag w:val="_PLD_67f843efe3664c9fbe7a215b63622ea0"/>
            <w:id w:val="1205205930"/>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项目</w:t>
                </w:r>
              </w:p>
            </w:tc>
          </w:sdtContent>
        </w:sdt>
        <w:sdt>
          <w:sdtPr>
            <w:rPr>
              <w:color w:val="000000" w:themeColor="text1"/>
            </w:rPr>
            <w:tag w:val="_PLD_30a169af324e457e93d304c688a55945"/>
            <w:id w:val="489452294"/>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本期发生额</w:t>
                </w:r>
              </w:p>
            </w:tc>
          </w:sdtContent>
        </w:sdt>
        <w:sdt>
          <w:sdtPr>
            <w:rPr>
              <w:color w:val="000000" w:themeColor="text1"/>
            </w:rPr>
            <w:tag w:val="_PLD_bf5a91780f544d6eade38e70db331a30"/>
            <w:id w:val="413991295"/>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rFonts w:cs="Cambria"/>
                    <w:color w:val="000000" w:themeColor="text1"/>
                  </w:rPr>
                </w:pPr>
                <w:r>
                  <w:rPr>
                    <w:rFonts w:cs="Cambria" w:hint="eastAsia"/>
                    <w:color w:val="000000" w:themeColor="text1"/>
                  </w:rPr>
                  <w:t>上期发生额</w:t>
                </w:r>
              </w:p>
            </w:tc>
          </w:sdtContent>
        </w:sdt>
      </w:tr>
      <w:tr w:rsidR="000C5659">
        <w:tc>
          <w:tcPr>
            <w:tcW w:w="180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rFonts w:cs="Cambria"/>
                <w:color w:val="000000" w:themeColor="text1"/>
              </w:rPr>
            </w:pPr>
            <w:r>
              <w:rPr>
                <w:rFonts w:cs="Cambria" w:hint="eastAsia"/>
                <w:color w:val="000000" w:themeColor="text1"/>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rFonts w:cs="Cambria"/>
              </w:rPr>
            </w:pPr>
            <w:r>
              <w:t>165.69</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rFonts w:cs="Cambria"/>
              </w:rPr>
            </w:pPr>
            <w:r>
              <w:rPr>
                <w:rFonts w:cs="Cambria" w:hint="eastAsia"/>
              </w:rPr>
              <w:t>1</w:t>
            </w:r>
            <w:r>
              <w:rPr>
                <w:rFonts w:cs="Cambria"/>
              </w:rPr>
              <w:t>62.94</w:t>
            </w:r>
          </w:p>
        </w:tc>
      </w:tr>
    </w:tbl>
    <w:p w:rsidR="000C5659" w:rsidRDefault="000C5659">
      <w:pPr>
        <w:rPr>
          <w:color w:val="000000" w:themeColor="text1"/>
        </w:rPr>
      </w:pPr>
    </w:p>
    <w:p w:rsidR="000C5659" w:rsidRDefault="000E33C4" w:rsidP="000743DD">
      <w:pPr>
        <w:pStyle w:val="Style165"/>
        <w:numPr>
          <w:ilvl w:val="0"/>
          <w:numId w:val="107"/>
        </w:numPr>
        <w:tabs>
          <w:tab w:val="left" w:pos="616"/>
        </w:tabs>
        <w:rPr>
          <w:rFonts w:ascii="宋体" w:hAnsi="宋体"/>
          <w:color w:val="000000" w:themeColor="text1"/>
        </w:rPr>
      </w:pPr>
      <w:r>
        <w:rPr>
          <w:rFonts w:ascii="宋体" w:hAnsi="宋体" w:hint="eastAsia"/>
          <w:color w:val="000000" w:themeColor="text1"/>
        </w:rPr>
        <w:t>其他关联交易</w:t>
      </w:r>
    </w:p>
    <w:sdt>
      <w:sdtPr>
        <w:rPr>
          <w:color w:val="000000" w:themeColor="text1"/>
        </w:rPr>
        <w:alias w:val="是否适用：其他关联交易[双击切换]"/>
        <w:tag w:val="_GBC_9768a300838a499089a7b814ff3d817d"/>
        <w:id w:val="-129698646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 w:val="0"/>
          <w:bCs/>
          <w:color w:val="000000" w:themeColor="text1"/>
        </w:rPr>
        <w:alias w:val="其他关联交易的情况"/>
        <w:tag w:val="_GBC_6032ff15164341538a97d5ac05a80e23"/>
        <w:id w:val="182791969"/>
        <w:placeholder>
          <w:docPart w:val="GBC22222222222222222222222222222"/>
        </w:placeholder>
      </w:sdtPr>
      <w:sdtEndPr/>
      <w:sdtContent>
        <w:p w:rsidR="000C5659" w:rsidRDefault="000E33C4">
          <w:pPr>
            <w:pStyle w:val="Style323"/>
            <w:rPr>
              <w:b w:val="0"/>
            </w:rPr>
          </w:pPr>
          <w:r>
            <w:rPr>
              <w:rFonts w:hint="eastAsia"/>
              <w:b w:val="0"/>
            </w:rPr>
            <w:t>与关联金融企业的存款利息收入、借款利息及财务费用支出</w:t>
          </w:r>
        </w:p>
        <w:p w:rsidR="000C5659" w:rsidRDefault="000E33C4">
          <w:pPr>
            <w:pStyle w:val="Style323"/>
          </w:pPr>
          <w:r>
            <w:rPr>
              <w:rFonts w:hint="eastAsia"/>
              <w:b w:val="0"/>
            </w:rPr>
            <w:lastRenderedPageBreak/>
            <w:t xml:space="preserve"> </w:t>
          </w:r>
          <w:r>
            <w:rPr>
              <w:b w:val="0"/>
            </w:rPr>
            <w:t xml:space="preserve">                                                      </w:t>
          </w:r>
          <w:r>
            <w:rPr>
              <w:rFonts w:hint="eastAsia"/>
              <w:b w:val="0"/>
            </w:rPr>
            <w:t xml:space="preserve">单位：元 </w:t>
          </w:r>
          <w:r>
            <w:rPr>
              <w:b w:val="0"/>
            </w:rPr>
            <w:t xml:space="preserve">    </w:t>
          </w:r>
          <w:r>
            <w:rPr>
              <w:rFonts w:hint="eastAsia"/>
              <w:b w:val="0"/>
            </w:rPr>
            <w:t>币种：人民币</w:t>
          </w:r>
          <w:r>
            <w:fldChar w:fldCharType="begin"/>
          </w:r>
          <w:r>
            <w:instrText xml:space="preserve"> LINK Excel.Sheet.12 E:\\雍\\附注排版\\2014年年报格式\\附注过渡表20150130V0910.xlsx 关联方及关联方交易!关联方情况12 \f 4 \h \* MERGEFORMAT </w:instrText>
          </w:r>
          <w:r>
            <w:fldChar w:fldCharType="separate"/>
          </w:r>
        </w:p>
        <w:tbl>
          <w:tblPr>
            <w:tblStyle w:val="g5"/>
            <w:tblW w:w="4747" w:type="pct"/>
            <w:tblInd w:w="0" w:type="dxa"/>
            <w:tblLook w:val="04A0" w:firstRow="1" w:lastRow="0" w:firstColumn="1" w:lastColumn="0" w:noHBand="0" w:noVBand="1"/>
          </w:tblPr>
          <w:tblGrid>
            <w:gridCol w:w="3784"/>
            <w:gridCol w:w="1557"/>
            <w:gridCol w:w="1416"/>
            <w:gridCol w:w="1620"/>
          </w:tblGrid>
          <w:tr w:rsidR="000C5659">
            <w:tc>
              <w:tcPr>
                <w:tcW w:w="3789"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关联方</w:t>
                </w:r>
              </w:p>
            </w:tc>
            <w:tc>
              <w:tcPr>
                <w:tcW w:w="1559"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关联交易内容</w:t>
                </w:r>
              </w:p>
            </w:tc>
            <w:tc>
              <w:tcPr>
                <w:tcW w:w="1417"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本期金额</w:t>
                </w:r>
              </w:p>
            </w:tc>
            <w:tc>
              <w:tcPr>
                <w:tcW w:w="1621"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上期金额</w:t>
                </w:r>
              </w:p>
            </w:tc>
          </w:tr>
          <w:tr w:rsidR="000C5659">
            <w:tc>
              <w:tcPr>
                <w:tcW w:w="3789"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江苏扬州农村商业银行股份有限公司</w:t>
                </w:r>
              </w:p>
            </w:tc>
            <w:tc>
              <w:tcPr>
                <w:tcW w:w="1559"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手续费支出</w:t>
                </w:r>
              </w:p>
            </w:tc>
            <w:tc>
              <w:tcPr>
                <w:tcW w:w="1417" w:type="dxa"/>
                <w:vAlign w:val="center"/>
              </w:tcPr>
              <w:p w:rsidR="000C5659" w:rsidRDefault="000E33C4">
                <w:pPr>
                  <w:jc w:val="right"/>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 xml:space="preserve">  886.36 </w:t>
                </w:r>
              </w:p>
              <w:p w:rsidR="000C5659" w:rsidRDefault="000C5659">
                <w:pPr>
                  <w:snapToGrid w:val="0"/>
                  <w:jc w:val="right"/>
                  <w:rPr>
                    <w:rFonts w:asciiTheme="minorEastAsia" w:eastAsiaTheme="minorEastAsia" w:hAnsiTheme="minorEastAsia" w:cs="Times New Roman"/>
                  </w:rPr>
                </w:pPr>
              </w:p>
            </w:tc>
            <w:tc>
              <w:tcPr>
                <w:tcW w:w="1621" w:type="dxa"/>
                <w:vAlign w:val="center"/>
              </w:tcPr>
              <w:p w:rsidR="000C5659" w:rsidRDefault="000E33C4">
                <w:pPr>
                  <w:snapToGrid w:val="0"/>
                  <w:jc w:val="right"/>
                  <w:rPr>
                    <w:rFonts w:asciiTheme="minorEastAsia" w:eastAsiaTheme="minorEastAsia" w:hAnsiTheme="minorEastAsia" w:cs="Times New Roman"/>
                  </w:rPr>
                </w:pPr>
                <w:r>
                  <w:rPr>
                    <w:rFonts w:asciiTheme="minorEastAsia" w:eastAsiaTheme="minorEastAsia" w:hAnsiTheme="minorEastAsia" w:cs="Times New Roman" w:hint="eastAsia"/>
                  </w:rPr>
                  <w:t>4</w:t>
                </w:r>
                <w:r>
                  <w:rPr>
                    <w:rFonts w:asciiTheme="minorEastAsia" w:eastAsiaTheme="minorEastAsia" w:hAnsiTheme="minorEastAsia" w:cs="Times New Roman"/>
                  </w:rPr>
                  <w:t>62.08</w:t>
                </w:r>
              </w:p>
            </w:tc>
          </w:tr>
          <w:tr w:rsidR="000C5659">
            <w:tc>
              <w:tcPr>
                <w:tcW w:w="3789"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江苏扬州农村商业银行股份有限公司</w:t>
                </w:r>
              </w:p>
            </w:tc>
            <w:tc>
              <w:tcPr>
                <w:tcW w:w="1559" w:type="dxa"/>
              </w:tcPr>
              <w:p w:rsidR="000C5659" w:rsidRDefault="000E33C4">
                <w:pPr>
                  <w:snapToGrid w:val="0"/>
                  <w:jc w:val="center"/>
                  <w:rPr>
                    <w:rFonts w:asciiTheme="minorEastAsia" w:eastAsiaTheme="minorEastAsia" w:hAnsiTheme="minorEastAsia" w:cs="Times New Roman"/>
                  </w:rPr>
                </w:pPr>
                <w:r>
                  <w:rPr>
                    <w:rFonts w:asciiTheme="minorEastAsia" w:eastAsiaTheme="minorEastAsia" w:hAnsiTheme="minorEastAsia" w:cs="Times New Roman"/>
                  </w:rPr>
                  <w:t>存款利息收入</w:t>
                </w:r>
              </w:p>
            </w:tc>
            <w:tc>
              <w:tcPr>
                <w:tcW w:w="1417" w:type="dxa"/>
                <w:vAlign w:val="center"/>
              </w:tcPr>
              <w:p w:rsidR="000C5659" w:rsidRDefault="000E33C4">
                <w:pPr>
                  <w:snapToGrid w:val="0"/>
                  <w:jc w:val="right"/>
                  <w:rPr>
                    <w:rFonts w:asciiTheme="minorEastAsia" w:eastAsiaTheme="minorEastAsia" w:hAnsiTheme="minorEastAsia" w:cs="Times New Roman"/>
                  </w:rPr>
                </w:pPr>
                <w:r>
                  <w:rPr>
                    <w:rFonts w:asciiTheme="minorEastAsia" w:eastAsiaTheme="minorEastAsia" w:hAnsiTheme="minorEastAsia" w:cs="Times New Roman"/>
                  </w:rPr>
                  <w:t>1,013.07</w:t>
                </w:r>
              </w:p>
            </w:tc>
            <w:tc>
              <w:tcPr>
                <w:tcW w:w="1621" w:type="dxa"/>
                <w:vAlign w:val="center"/>
              </w:tcPr>
              <w:p w:rsidR="000C5659" w:rsidRDefault="000E33C4">
                <w:pPr>
                  <w:snapToGrid w:val="0"/>
                  <w:jc w:val="right"/>
                  <w:rPr>
                    <w:rFonts w:asciiTheme="minorEastAsia" w:eastAsiaTheme="minorEastAsia" w:hAnsiTheme="minorEastAsia" w:cs="Times New Roman"/>
                  </w:rPr>
                </w:pPr>
                <w:r>
                  <w:rPr>
                    <w:rFonts w:asciiTheme="minorEastAsia" w:eastAsiaTheme="minorEastAsia" w:hAnsiTheme="minorEastAsia" w:cs="Times New Roman" w:hint="eastAsia"/>
                  </w:rPr>
                  <w:t>9</w:t>
                </w:r>
                <w:r>
                  <w:rPr>
                    <w:rFonts w:asciiTheme="minorEastAsia" w:eastAsiaTheme="minorEastAsia" w:hAnsiTheme="minorEastAsia" w:cs="Times New Roman"/>
                  </w:rPr>
                  <w:t>48.05</w:t>
                </w:r>
              </w:p>
            </w:tc>
          </w:tr>
        </w:tbl>
        <w:p w:rsidR="000C5659" w:rsidRDefault="000E33C4">
          <w:pPr>
            <w:pStyle w:val="Style325"/>
          </w:pPr>
          <w:r>
            <w:rPr>
              <w:rFonts w:asciiTheme="minorEastAsia" w:eastAsiaTheme="minorEastAsia" w:hAnsiTheme="minorEastAsia"/>
            </w:rPr>
            <w:fldChar w:fldCharType="end"/>
          </w:r>
        </w:p>
      </w:sdtContent>
    </w:sdt>
    <w:p w:rsidR="000C5659" w:rsidRDefault="000C5659">
      <w:pPr>
        <w:rPr>
          <w:color w:val="000000" w:themeColor="text1"/>
        </w:rPr>
      </w:pPr>
    </w:p>
    <w:p w:rsidR="000C5659" w:rsidRDefault="000E33C4" w:rsidP="000743DD">
      <w:pPr>
        <w:pStyle w:val="Style163"/>
        <w:numPr>
          <w:ilvl w:val="0"/>
          <w:numId w:val="106"/>
        </w:numPr>
        <w:rPr>
          <w:rFonts w:ascii="宋体" w:hAnsi="宋体" w:cs="Arial"/>
          <w:color w:val="000000" w:themeColor="text1"/>
          <w:szCs w:val="21"/>
        </w:rPr>
      </w:pPr>
      <w:r>
        <w:rPr>
          <w:rFonts w:ascii="宋体" w:hAnsi="宋体" w:cs="Arial" w:hint="eastAsia"/>
          <w:color w:val="000000" w:themeColor="text1"/>
          <w:szCs w:val="21"/>
        </w:rPr>
        <w:t>应收、应付关联方等未结算项目情况</w:t>
      </w:r>
    </w:p>
    <w:p w:rsidR="000C5659" w:rsidRDefault="000E33C4" w:rsidP="000743DD">
      <w:pPr>
        <w:pStyle w:val="Style165"/>
        <w:numPr>
          <w:ilvl w:val="0"/>
          <w:numId w:val="108"/>
        </w:numPr>
        <w:tabs>
          <w:tab w:val="left" w:pos="616"/>
        </w:tabs>
        <w:rPr>
          <w:rFonts w:ascii="宋体" w:hAnsi="宋体"/>
          <w:color w:val="000000" w:themeColor="text1"/>
        </w:rPr>
      </w:pPr>
      <w:r>
        <w:rPr>
          <w:rFonts w:ascii="宋体" w:hAnsi="宋体" w:hint="eastAsia"/>
          <w:color w:val="000000" w:themeColor="text1"/>
        </w:rPr>
        <w:t>应收项目</w:t>
      </w:r>
    </w:p>
    <w:sdt>
      <w:sdtPr>
        <w:rPr>
          <w:color w:val="000000" w:themeColor="text1"/>
        </w:rPr>
        <w:alias w:val="是否适用：应收项目[双击切换]"/>
        <w:tag w:val="_GBC_e5475e28b21641f6895ac4770b2631b5"/>
        <w:id w:val="111463452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上市公司应收关联方款项"/>
          <w:tag w:val="_GBC_04d0c208b4494e01aba7984c41905093"/>
          <w:id w:val="-14744427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上市公司应收关联方款项"/>
          <w:tag w:val="_GBC_b106fdd467084a62837eebe1d06bbbee"/>
          <w:id w:val="-548230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18"/>
        <w:gridCol w:w="1338"/>
        <w:gridCol w:w="1425"/>
        <w:gridCol w:w="1339"/>
        <w:gridCol w:w="1466"/>
        <w:gridCol w:w="1837"/>
      </w:tblGrid>
      <w:tr w:rsidR="000C5659">
        <w:sdt>
          <w:sdtPr>
            <w:rPr>
              <w:color w:val="000000" w:themeColor="text1"/>
            </w:rPr>
            <w:tag w:val="_PLD_75750bc8ac464afa98573c85adea097c"/>
            <w:id w:val="1324467687"/>
          </w:sdtPr>
          <w:sdtEndPr/>
          <w:sdtContent>
            <w:tc>
              <w:tcPr>
                <w:tcW w:w="805"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项目名称</w:t>
                </w:r>
              </w:p>
            </w:tc>
          </w:sdtContent>
        </w:sdt>
        <w:sdt>
          <w:sdtPr>
            <w:rPr>
              <w:color w:val="000000" w:themeColor="text1"/>
            </w:rPr>
            <w:tag w:val="_PLD_5006be842c534839b3dabcf833329dd5"/>
            <w:id w:val="-1498958360"/>
          </w:sdtPr>
          <w:sdtEndPr/>
          <w:sdtContent>
            <w:tc>
              <w:tcPr>
                <w:tcW w:w="760"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关联方</w:t>
                </w:r>
              </w:p>
            </w:tc>
          </w:sdtContent>
        </w:sdt>
        <w:sdt>
          <w:sdtPr>
            <w:rPr>
              <w:color w:val="000000" w:themeColor="text1"/>
            </w:rPr>
            <w:tag w:val="_PLD_f8f3c28b2f064090a27f319875eb1b52"/>
            <w:id w:val="-114067694"/>
          </w:sdtPr>
          <w:sdtEndPr/>
          <w:sdtContent>
            <w:tc>
              <w:tcPr>
                <w:tcW w:w="1561"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fdab8cbff0b74f19a916d61075f629a0"/>
            <w:id w:val="968177000"/>
          </w:sdtPr>
          <w:sdtEndPr/>
          <w:sdtContent>
            <w:tc>
              <w:tcPr>
                <w:tcW w:w="1873"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期初余额</w:t>
                </w:r>
              </w:p>
            </w:tc>
          </w:sdtContent>
        </w:sdt>
      </w:tr>
      <w:tr w:rsidR="000C5659">
        <w:tc>
          <w:tcPr>
            <w:tcW w:w="805" w:type="pct"/>
            <w:vMerge/>
            <w:tcBorders>
              <w:left w:val="single" w:sz="4" w:space="0" w:color="auto"/>
              <w:bottom w:val="single" w:sz="4" w:space="0" w:color="auto"/>
              <w:right w:val="single" w:sz="4" w:space="0" w:color="auto"/>
            </w:tcBorders>
            <w:vAlign w:val="center"/>
          </w:tcPr>
          <w:p w:rsidR="000C5659" w:rsidRDefault="000C5659">
            <w:pPr>
              <w:jc w:val="center"/>
              <w:rPr>
                <w:color w:val="000000" w:themeColor="text1"/>
              </w:rPr>
            </w:pPr>
          </w:p>
        </w:tc>
        <w:tc>
          <w:tcPr>
            <w:tcW w:w="760" w:type="pct"/>
            <w:vMerge/>
            <w:tcBorders>
              <w:left w:val="single" w:sz="4" w:space="0" w:color="auto"/>
              <w:bottom w:val="single" w:sz="4" w:space="0" w:color="auto"/>
              <w:right w:val="single" w:sz="4" w:space="0" w:color="auto"/>
            </w:tcBorders>
            <w:vAlign w:val="center"/>
          </w:tcPr>
          <w:p w:rsidR="000C5659" w:rsidRDefault="000C5659">
            <w:pPr>
              <w:jc w:val="center"/>
              <w:rPr>
                <w:color w:val="000000" w:themeColor="text1"/>
              </w:rPr>
            </w:pPr>
          </w:p>
        </w:tc>
        <w:sdt>
          <w:sdtPr>
            <w:rPr>
              <w:color w:val="000000" w:themeColor="text1"/>
            </w:rPr>
            <w:tag w:val="_PLD_5c085d18049644c9860a00b248b7c0ba"/>
            <w:id w:val="965019511"/>
          </w:sdtPr>
          <w:sdtEndPr/>
          <w:sdtContent>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8262489c05a6417a883e2c877ded6170"/>
            <w:id w:val="-1318731363"/>
          </w:sdtPr>
          <w:sdtEndPr/>
          <w:sdtContent>
            <w:tc>
              <w:tcPr>
                <w:tcW w:w="760"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坏账准备</w:t>
                </w:r>
              </w:p>
            </w:tc>
          </w:sdtContent>
        </w:sdt>
        <w:sdt>
          <w:sdtPr>
            <w:rPr>
              <w:color w:val="000000" w:themeColor="text1"/>
            </w:rPr>
            <w:tag w:val="_PLD_46c6d827df3f47a3bc83a6dd8718f17e"/>
            <w:id w:val="187502459"/>
          </w:sdtPr>
          <w:sdtEndPr/>
          <w:sdtContent>
            <w:tc>
              <w:tcPr>
                <w:tcW w:w="832"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fca2aa8baf8a48a7a4cdc730d7420d47"/>
            <w:id w:val="604618121"/>
          </w:sdtPr>
          <w:sdtEndPr/>
          <w:sdtContent>
            <w:tc>
              <w:tcPr>
                <w:tcW w:w="1042"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坏账准备</w:t>
                </w:r>
              </w:p>
            </w:tc>
          </w:sdtContent>
        </w:sdt>
      </w:tr>
      <w:tr w:rsidR="000C5659">
        <w:tc>
          <w:tcPr>
            <w:tcW w:w="805"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pPr>
            <w:r>
              <w:rPr>
                <w:szCs w:val="18"/>
              </w:rPr>
              <w:t>应收账款</w:t>
            </w:r>
          </w:p>
        </w:tc>
        <w:tc>
          <w:tcPr>
            <w:tcW w:w="76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szCs w:val="18"/>
              </w:rPr>
              <w:t>天长市舒客科技有限公司</w:t>
            </w:r>
          </w:p>
        </w:tc>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rPr>
                <w:szCs w:val="18"/>
              </w:rPr>
            </w:pPr>
            <w:r>
              <w:rPr>
                <w:szCs w:val="18"/>
              </w:rPr>
              <w:t>30,092,437.36</w:t>
            </w:r>
          </w:p>
        </w:tc>
        <w:tc>
          <w:tcPr>
            <w:tcW w:w="76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rPr>
                <w:szCs w:val="18"/>
              </w:rPr>
            </w:pPr>
            <w:r>
              <w:rPr>
                <w:szCs w:val="18"/>
              </w:rPr>
              <w:t>1,504,621.87</w:t>
            </w:r>
          </w:p>
        </w:tc>
        <w:tc>
          <w:tcPr>
            <w:tcW w:w="832"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pPr>
            <w:r>
              <w:rPr>
                <w:szCs w:val="18"/>
              </w:rPr>
              <w:t>18,738,417.36</w:t>
            </w:r>
          </w:p>
        </w:tc>
        <w:tc>
          <w:tcPr>
            <w:tcW w:w="1042"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pPr>
            <w:r>
              <w:rPr>
                <w:szCs w:val="18"/>
              </w:rPr>
              <w:t>936,920.87</w:t>
            </w:r>
          </w:p>
        </w:tc>
      </w:tr>
      <w:tr w:rsidR="000C5659">
        <w:tc>
          <w:tcPr>
            <w:tcW w:w="805"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pPr>
            <w:r>
              <w:rPr>
                <w:szCs w:val="18"/>
              </w:rPr>
              <w:t>应收账款</w:t>
            </w:r>
          </w:p>
        </w:tc>
        <w:tc>
          <w:tcPr>
            <w:tcW w:w="76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rFonts w:hint="eastAsia"/>
                <w:szCs w:val="18"/>
              </w:rPr>
              <w:t>广州舒客实业有限公司</w:t>
            </w:r>
          </w:p>
        </w:tc>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rPr>
                <w:szCs w:val="18"/>
              </w:rPr>
            </w:pPr>
            <w:r>
              <w:rPr>
                <w:szCs w:val="18"/>
              </w:rPr>
              <w:t>1,364,177.60</w:t>
            </w:r>
          </w:p>
        </w:tc>
        <w:tc>
          <w:tcPr>
            <w:tcW w:w="76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rPr>
                <w:szCs w:val="18"/>
              </w:rPr>
            </w:pPr>
            <w:r>
              <w:rPr>
                <w:szCs w:val="18"/>
              </w:rPr>
              <w:t>68,208.88</w:t>
            </w:r>
          </w:p>
        </w:tc>
        <w:tc>
          <w:tcPr>
            <w:tcW w:w="832"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pPr>
            <w:r>
              <w:rPr>
                <w:szCs w:val="18"/>
              </w:rPr>
              <w:t>102,405.10</w:t>
            </w:r>
          </w:p>
        </w:tc>
        <w:tc>
          <w:tcPr>
            <w:tcW w:w="1042"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pPr>
            <w:r>
              <w:rPr>
                <w:szCs w:val="18"/>
              </w:rPr>
              <w:t>5,120.26</w:t>
            </w:r>
          </w:p>
        </w:tc>
      </w:tr>
      <w:tr w:rsidR="000C5659">
        <w:tc>
          <w:tcPr>
            <w:tcW w:w="805"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rFonts w:hint="eastAsia"/>
              </w:rPr>
              <w:t>应收款项融资</w:t>
            </w:r>
          </w:p>
        </w:tc>
        <w:tc>
          <w:tcPr>
            <w:tcW w:w="76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szCs w:val="18"/>
              </w:rPr>
              <w:t>天长市舒客科技有限公司</w:t>
            </w:r>
          </w:p>
        </w:tc>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rPr>
                <w:szCs w:val="18"/>
              </w:rPr>
            </w:pPr>
            <w:r>
              <w:rPr>
                <w:szCs w:val="18"/>
              </w:rPr>
              <w:t>246,675.50</w:t>
            </w:r>
          </w:p>
        </w:tc>
        <w:tc>
          <w:tcPr>
            <w:tcW w:w="760"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rPr>
                <w:szCs w:val="18"/>
              </w:rPr>
            </w:pPr>
          </w:p>
        </w:tc>
        <w:tc>
          <w:tcPr>
            <w:tcW w:w="832"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right"/>
            </w:pPr>
            <w:r>
              <w:t>5,294,371.77</w:t>
            </w:r>
          </w:p>
        </w:tc>
        <w:tc>
          <w:tcPr>
            <w:tcW w:w="1042" w:type="pct"/>
            <w:tcBorders>
              <w:top w:val="single" w:sz="4" w:space="0" w:color="auto"/>
              <w:left w:val="single" w:sz="4" w:space="0" w:color="auto"/>
              <w:bottom w:val="single" w:sz="4" w:space="0" w:color="auto"/>
              <w:right w:val="single" w:sz="4" w:space="0" w:color="auto"/>
            </w:tcBorders>
            <w:vAlign w:val="center"/>
          </w:tcPr>
          <w:p w:rsidR="000C5659" w:rsidRDefault="000C5659">
            <w:pPr>
              <w:autoSpaceDE w:val="0"/>
              <w:autoSpaceDN w:val="0"/>
              <w:adjustRightInd w:val="0"/>
              <w:jc w:val="right"/>
            </w:pPr>
          </w:p>
        </w:tc>
      </w:tr>
    </w:tbl>
    <w:p w:rsidR="000C5659" w:rsidRDefault="000C5659">
      <w:pPr>
        <w:rPr>
          <w:color w:val="000000" w:themeColor="text1"/>
        </w:rPr>
      </w:pPr>
    </w:p>
    <w:p w:rsidR="000C5659" w:rsidRDefault="000E33C4" w:rsidP="000743DD">
      <w:pPr>
        <w:pStyle w:val="Style165"/>
        <w:numPr>
          <w:ilvl w:val="0"/>
          <w:numId w:val="108"/>
        </w:numPr>
        <w:tabs>
          <w:tab w:val="left" w:pos="616"/>
        </w:tabs>
        <w:rPr>
          <w:rFonts w:ascii="宋体" w:hAnsi="宋体"/>
          <w:color w:val="000000" w:themeColor="text1"/>
        </w:rPr>
      </w:pPr>
      <w:r>
        <w:rPr>
          <w:rFonts w:ascii="宋体" w:hAnsi="宋体" w:hint="eastAsia"/>
          <w:color w:val="000000" w:themeColor="text1"/>
        </w:rPr>
        <w:t>应付项目</w:t>
      </w:r>
    </w:p>
    <w:p w:rsidR="000C5659" w:rsidRDefault="00220B84">
      <w:pPr>
        <w:rPr>
          <w:color w:val="000000" w:themeColor="text1"/>
        </w:rPr>
      </w:pPr>
      <w:sdt>
        <w:sdtPr>
          <w:rPr>
            <w:rFonts w:hint="eastAsia"/>
            <w:color w:val="000000" w:themeColor="text1"/>
          </w:rPr>
          <w:alias w:val="是否适用：应付项目[双击切换]"/>
          <w:tag w:val="_GBC_9dbefb51b716471b878d2e2863524a53"/>
          <w:id w:val="-1714956869"/>
          <w:placeholder>
            <w:docPart w:val="GBC22222222222222222222222222222"/>
          </w:placeholder>
        </w:sdtPr>
        <w:sdtEndPr/>
        <w:sdtContent>
          <w:r w:rsidR="000E33C4">
            <w:rPr>
              <w:color w:val="000000" w:themeColor="text1"/>
            </w:rPr>
            <w:fldChar w:fldCharType="begin"/>
          </w:r>
          <w:r w:rsidR="000E33C4">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0E33C4">
            <w:rPr>
              <w:color w:val="000000" w:themeColor="text1"/>
            </w:rPr>
            <w:instrText xml:space="preserve"> MACROBUTTON  SnrToggleCheckbox □不适用 </w:instrText>
          </w:r>
          <w:r w:rsidR="000E33C4">
            <w:rPr>
              <w:color w:val="000000" w:themeColor="text1"/>
            </w:rPr>
            <w:fldChar w:fldCharType="end"/>
          </w:r>
        </w:sdtContent>
      </w:sdt>
    </w:p>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上市公司应付关联方款项"/>
          <w:tag w:val="_GBC_08d04faee6a64768877db8f6ab14663e"/>
          <w:id w:val="-10038250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上市公司应付关联方款项"/>
          <w:tag w:val="_GBC_124ea57c07fc4e23931a125a103e711c"/>
          <w:id w:val="528452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36"/>
        <w:gridCol w:w="2815"/>
        <w:gridCol w:w="1925"/>
        <w:gridCol w:w="2647"/>
      </w:tblGrid>
      <w:tr w:rsidR="000C5659">
        <w:sdt>
          <w:sdtPr>
            <w:rPr>
              <w:color w:val="000000" w:themeColor="text1"/>
            </w:rPr>
            <w:tag w:val="_PLD_cf838d28f8e94c899328f1b9cd175b08"/>
            <w:id w:val="-962887391"/>
          </w:sdtPr>
          <w:sdtEndPr/>
          <w:sdtContent>
            <w:tc>
              <w:tcPr>
                <w:tcW w:w="814" w:type="pct"/>
                <w:tcBorders>
                  <w:top w:val="single" w:sz="4" w:space="0" w:color="auto"/>
                  <w:left w:val="single" w:sz="4" w:space="0" w:color="auto"/>
                  <w:right w:val="single" w:sz="4" w:space="0" w:color="auto"/>
                </w:tcBorders>
              </w:tcPr>
              <w:p w:rsidR="000C5659" w:rsidRDefault="000E33C4">
                <w:pPr>
                  <w:jc w:val="center"/>
                  <w:rPr>
                    <w:color w:val="000000" w:themeColor="text1"/>
                  </w:rPr>
                </w:pPr>
                <w:r>
                  <w:rPr>
                    <w:rFonts w:hint="eastAsia"/>
                    <w:color w:val="000000" w:themeColor="text1"/>
                  </w:rPr>
                  <w:t>项目名称</w:t>
                </w:r>
              </w:p>
            </w:tc>
          </w:sdtContent>
        </w:sdt>
        <w:sdt>
          <w:sdtPr>
            <w:rPr>
              <w:color w:val="000000" w:themeColor="text1"/>
            </w:rPr>
            <w:tag w:val="_PLD_25173a15407f4af6adbf91389dcc2257"/>
            <w:id w:val="753317047"/>
          </w:sdtPr>
          <w:sdtEndPr/>
          <w:sdtContent>
            <w:tc>
              <w:tcPr>
                <w:tcW w:w="1595" w:type="pct"/>
                <w:tcBorders>
                  <w:top w:val="single" w:sz="4" w:space="0" w:color="auto"/>
                  <w:left w:val="single" w:sz="4" w:space="0" w:color="auto"/>
                  <w:right w:val="single" w:sz="4" w:space="0" w:color="auto"/>
                </w:tcBorders>
              </w:tcPr>
              <w:p w:rsidR="000C5659" w:rsidRDefault="000E33C4">
                <w:pPr>
                  <w:jc w:val="center"/>
                  <w:rPr>
                    <w:color w:val="000000" w:themeColor="text1"/>
                  </w:rPr>
                </w:pPr>
                <w:r>
                  <w:rPr>
                    <w:rFonts w:hint="eastAsia"/>
                    <w:color w:val="000000" w:themeColor="text1"/>
                  </w:rPr>
                  <w:t>关联方</w:t>
                </w:r>
              </w:p>
            </w:tc>
          </w:sdtContent>
        </w:sdt>
        <w:sdt>
          <w:sdtPr>
            <w:rPr>
              <w:color w:val="000000" w:themeColor="text1"/>
            </w:rPr>
            <w:tag w:val="_PLD_a8551739db0f47cab1b1a6ea0e700367"/>
            <w:id w:val="663825664"/>
          </w:sdtPr>
          <w:sdtEndPr/>
          <w:sdtContent>
            <w:tc>
              <w:tcPr>
                <w:tcW w:w="1091"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期末账面余额</w:t>
                </w:r>
              </w:p>
            </w:tc>
          </w:sdtContent>
        </w:sdt>
        <w:sdt>
          <w:sdtPr>
            <w:rPr>
              <w:color w:val="000000" w:themeColor="text1"/>
            </w:rPr>
            <w:tag w:val="_PLD_83bc027cb7f1401db7a26beffe77ce00"/>
            <w:id w:val="-1639024713"/>
          </w:sdtPr>
          <w:sdtEndPr/>
          <w:sdtContent>
            <w:tc>
              <w:tcPr>
                <w:tcW w:w="1501"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期初账面余额</w:t>
                </w:r>
              </w:p>
            </w:tc>
          </w:sdtContent>
        </w:sdt>
      </w:tr>
      <w:tr w:rsidR="000C5659">
        <w:tc>
          <w:tcPr>
            <w:tcW w:w="814"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rFonts w:hint="eastAsia"/>
              </w:rPr>
              <w:t>应付账款</w:t>
            </w:r>
          </w:p>
        </w:tc>
        <w:tc>
          <w:tcPr>
            <w:tcW w:w="1595"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pPr>
            <w:r>
              <w:rPr>
                <w:rFonts w:hint="eastAsia"/>
              </w:rPr>
              <w:t>扬州新长城塑业有限公司</w:t>
            </w:r>
          </w:p>
        </w:tc>
        <w:tc>
          <w:tcPr>
            <w:tcW w:w="109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288,647.39</w:t>
            </w:r>
          </w:p>
        </w:tc>
        <w:tc>
          <w:tcPr>
            <w:tcW w:w="150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296,071.18</w:t>
            </w:r>
          </w:p>
        </w:tc>
      </w:tr>
      <w:tr w:rsidR="000C5659">
        <w:tc>
          <w:tcPr>
            <w:tcW w:w="814"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rFonts w:hint="eastAsia"/>
              </w:rPr>
              <w:t>应付账款</w:t>
            </w:r>
          </w:p>
        </w:tc>
        <w:tc>
          <w:tcPr>
            <w:tcW w:w="1595"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pPr>
            <w:r>
              <w:rPr>
                <w:rFonts w:hint="eastAsia"/>
              </w:rPr>
              <w:t>扬州荣茂吉包装材料有限公司</w:t>
            </w:r>
          </w:p>
        </w:tc>
        <w:tc>
          <w:tcPr>
            <w:tcW w:w="109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4,059,943.67</w:t>
            </w:r>
          </w:p>
        </w:tc>
        <w:tc>
          <w:tcPr>
            <w:tcW w:w="150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5,672,226.41</w:t>
            </w:r>
          </w:p>
        </w:tc>
      </w:tr>
      <w:tr w:rsidR="000C5659">
        <w:tc>
          <w:tcPr>
            <w:tcW w:w="814"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rFonts w:hint="eastAsia"/>
              </w:rPr>
              <w:t>应付账款</w:t>
            </w:r>
          </w:p>
        </w:tc>
        <w:tc>
          <w:tcPr>
            <w:tcW w:w="1595"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pPr>
            <w:r>
              <w:rPr>
                <w:rFonts w:hint="eastAsia"/>
              </w:rPr>
              <w:t>扬州顶流包装制品有限公司</w:t>
            </w:r>
          </w:p>
        </w:tc>
        <w:tc>
          <w:tcPr>
            <w:tcW w:w="109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927,076.59</w:t>
            </w:r>
          </w:p>
        </w:tc>
        <w:tc>
          <w:tcPr>
            <w:tcW w:w="1501"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r>
      <w:tr w:rsidR="000C5659">
        <w:tc>
          <w:tcPr>
            <w:tcW w:w="814"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pPr>
            <w:r>
              <w:rPr>
                <w:rFonts w:hint="eastAsia"/>
              </w:rPr>
              <w:t>其他应付款</w:t>
            </w:r>
          </w:p>
        </w:tc>
        <w:tc>
          <w:tcPr>
            <w:tcW w:w="1595"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pPr>
            <w:r>
              <w:rPr>
                <w:rFonts w:hint="eastAsia"/>
              </w:rPr>
              <w:t>广州舒客科技有限公司</w:t>
            </w:r>
          </w:p>
        </w:tc>
        <w:tc>
          <w:tcPr>
            <w:tcW w:w="1091" w:type="pct"/>
            <w:tcBorders>
              <w:top w:val="single" w:sz="4" w:space="0" w:color="auto"/>
              <w:left w:val="single" w:sz="4" w:space="0" w:color="auto"/>
              <w:bottom w:val="single" w:sz="4" w:space="0" w:color="auto"/>
              <w:right w:val="single" w:sz="4" w:space="0" w:color="auto"/>
            </w:tcBorders>
          </w:tcPr>
          <w:p w:rsidR="000C5659" w:rsidRDefault="000C5659">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0C5659" w:rsidRDefault="000E33C4">
            <w:pPr>
              <w:autoSpaceDE w:val="0"/>
              <w:autoSpaceDN w:val="0"/>
              <w:adjustRightInd w:val="0"/>
              <w:jc w:val="right"/>
            </w:pPr>
            <w:r>
              <w:t>1,000,000.00</w:t>
            </w:r>
          </w:p>
        </w:tc>
      </w:tr>
    </w:tbl>
    <w:p w:rsidR="000C5659" w:rsidRDefault="000C5659">
      <w:pPr>
        <w:rPr>
          <w:rFonts w:cstheme="minorBidi"/>
          <w:color w:val="000000" w:themeColor="text1"/>
        </w:rPr>
      </w:pPr>
    </w:p>
    <w:p w:rsidR="000C5659" w:rsidRDefault="000E33C4" w:rsidP="000743DD">
      <w:pPr>
        <w:pStyle w:val="Style165"/>
        <w:numPr>
          <w:ilvl w:val="0"/>
          <w:numId w:val="108"/>
        </w:numPr>
        <w:tabs>
          <w:tab w:val="left" w:pos="616"/>
        </w:tabs>
        <w:rPr>
          <w:color w:val="000000" w:themeColor="text1"/>
        </w:rPr>
      </w:pPr>
      <w:bookmarkStart w:id="371" w:name="_Hlk167976682"/>
      <w:r>
        <w:rPr>
          <w:rFonts w:hint="eastAsia"/>
          <w:color w:val="000000" w:themeColor="text1"/>
        </w:rPr>
        <w:t>其他</w:t>
      </w:r>
      <w:r>
        <w:rPr>
          <w:rFonts w:ascii="宋体" w:hAnsi="宋体" w:cs="宋体" w:hint="eastAsia"/>
          <w:color w:val="000000" w:themeColor="text1"/>
          <w:kern w:val="0"/>
          <w:szCs w:val="24"/>
        </w:rPr>
        <w:t>项目</w:t>
      </w:r>
    </w:p>
    <w:sdt>
      <w:sdtPr>
        <w:rPr>
          <w:color w:val="000000" w:themeColor="text1"/>
        </w:rPr>
        <w:alias w:val="是否适用：关联方其他未结算项目情况[双击切换]"/>
        <w:tag w:val="_GBC_459b27789b354473a02699da087a3b51"/>
        <w:id w:val="358857959"/>
        <w:placeholder>
          <w:docPart w:val="GBC22222222222222222222222222222"/>
        </w:placeholder>
      </w:sdtPr>
      <w:sdtEndPr/>
      <w:sdtContent>
        <w:p w:rsidR="000C5659" w:rsidRDefault="000E33C4">
          <w:pPr>
            <w:rPr>
              <w:rFonts w:ascii="仿宋_GB2312" w:eastAsia="仿宋_GB2312"/>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71"/>
    <w:p w:rsidR="000C5659" w:rsidRDefault="000C5659">
      <w:pPr>
        <w:rPr>
          <w:color w:val="000000" w:themeColor="text1"/>
        </w:rPr>
      </w:pPr>
    </w:p>
    <w:p w:rsidR="000C5659" w:rsidRDefault="000E33C4" w:rsidP="000743DD">
      <w:pPr>
        <w:pStyle w:val="Style163"/>
        <w:numPr>
          <w:ilvl w:val="0"/>
          <w:numId w:val="106"/>
        </w:numPr>
        <w:rPr>
          <w:rFonts w:ascii="宋体" w:hAnsi="宋体" w:cs="Arial"/>
          <w:color w:val="000000" w:themeColor="text1"/>
          <w:szCs w:val="21"/>
        </w:rPr>
      </w:pPr>
      <w:r>
        <w:rPr>
          <w:rFonts w:ascii="宋体" w:hAnsi="宋体" w:hint="eastAsia"/>
          <w:color w:val="000000" w:themeColor="text1"/>
        </w:rPr>
        <w:t>关联方</w:t>
      </w:r>
      <w:r>
        <w:rPr>
          <w:rFonts w:ascii="宋体" w:hAnsi="宋体" w:cs="Arial" w:hint="eastAsia"/>
          <w:color w:val="000000" w:themeColor="text1"/>
          <w:szCs w:val="21"/>
        </w:rPr>
        <w:t>承诺</w:t>
      </w:r>
    </w:p>
    <w:sdt>
      <w:sdtPr>
        <w:rPr>
          <w:color w:val="000000" w:themeColor="text1"/>
        </w:rPr>
        <w:alias w:val="是否适用：关联方承诺[双击切换]"/>
        <w:tag w:val="_GBC_b906cacab2e94825966fa70e345656b5"/>
        <w:id w:val="130573111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tabs>
          <w:tab w:val="left" w:pos="1134"/>
        </w:tabs>
        <w:rPr>
          <w:rFonts w:cs="Cambria"/>
          <w:color w:val="000000" w:themeColor="text1"/>
          <w:sz w:val="20"/>
          <w:szCs w:val="20"/>
        </w:rPr>
      </w:pPr>
    </w:p>
    <w:p w:rsidR="000C5659" w:rsidRDefault="000E33C4" w:rsidP="000743DD">
      <w:pPr>
        <w:pStyle w:val="Style163"/>
        <w:numPr>
          <w:ilvl w:val="0"/>
          <w:numId w:val="106"/>
        </w:numPr>
        <w:rPr>
          <w:rFonts w:ascii="宋体" w:hAnsi="宋体" w:cs="Arial"/>
          <w:color w:val="000000" w:themeColor="text1"/>
          <w:szCs w:val="21"/>
        </w:rPr>
      </w:pPr>
      <w:r>
        <w:rPr>
          <w:rFonts w:ascii="宋体" w:hAnsi="宋体" w:cs="Arial" w:hint="eastAsia"/>
          <w:color w:val="000000" w:themeColor="text1"/>
          <w:szCs w:val="21"/>
        </w:rPr>
        <w:t>其他</w:t>
      </w:r>
    </w:p>
    <w:sdt>
      <w:sdtPr>
        <w:rPr>
          <w:color w:val="000000" w:themeColor="text1"/>
        </w:rPr>
        <w:alias w:val="是否适用：关联方及关联情况的其他说明[双击切换]"/>
        <w:tag w:val="_GBC_87161343db8b4a0b9e041c62c0df5e87"/>
        <w:id w:val="-4327494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Cambria"/>
          <w:b/>
          <w:color w:val="000000" w:themeColor="text1"/>
          <w:sz w:val="20"/>
          <w:szCs w:val="20"/>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股份支付</w:t>
      </w:r>
    </w:p>
    <w:p w:rsidR="000C5659" w:rsidRDefault="000E33C4" w:rsidP="000743DD">
      <w:pPr>
        <w:pStyle w:val="Style163"/>
        <w:numPr>
          <w:ilvl w:val="0"/>
          <w:numId w:val="109"/>
        </w:numPr>
        <w:ind w:left="450" w:hanging="450"/>
        <w:rPr>
          <w:color w:val="000000" w:themeColor="text1"/>
        </w:rPr>
      </w:pPr>
      <w:r>
        <w:rPr>
          <w:rFonts w:hint="eastAsia"/>
          <w:color w:val="000000" w:themeColor="text1"/>
        </w:rPr>
        <w:t>各项权益工具</w:t>
      </w:r>
    </w:p>
    <w:bookmarkStart w:id="372" w:name="_Hlk168492989" w:displacedByCustomXml="next"/>
    <w:sdt>
      <w:sdtPr>
        <w:rPr>
          <w:color w:val="000000" w:themeColor="text1"/>
        </w:rPr>
        <w:alias w:val="是否适用：各项权益工具[双击切换]"/>
        <w:tag w:val="_GBC_65abee0b78064363a3f4a058a40176bf"/>
        <w:id w:val="3287175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373" w:name="_Hlk168478628"/>
      <w:bookmarkStart w:id="374" w:name="_Hlk167977283"/>
      <w:bookmarkStart w:id="375" w:name="_Hlk40787153"/>
      <w:bookmarkEnd w:id="372"/>
    </w:p>
    <w:p w:rsidR="000C5659" w:rsidRDefault="000E33C4">
      <w:pPr>
        <w:rPr>
          <w:color w:val="000000" w:themeColor="text1"/>
        </w:rPr>
      </w:pPr>
      <w:r>
        <w:rPr>
          <w:rFonts w:hint="eastAsia"/>
          <w:color w:val="000000" w:themeColor="text1"/>
        </w:rPr>
        <w:t>期末发行在外的股票期权或其他权益工具</w:t>
      </w:r>
    </w:p>
    <w:bookmarkStart w:id="376" w:name="_Hlk168493917" w:displacedByCustomXml="next"/>
    <w:bookmarkStart w:id="377" w:name="_Hlk168493896" w:displacedByCustomXml="next"/>
    <w:sdt>
      <w:sdtPr>
        <w:rPr>
          <w:color w:val="000000" w:themeColor="text1"/>
        </w:rPr>
        <w:alias w:val="是否适用：期末发行在外的股票期权或其他权益工具[双击切换]"/>
        <w:tag w:val="_GBC_f17c034d860345b98ee280169a254e4a"/>
        <w:id w:val="-128194725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bookmarkStart w:id="378" w:name="_Hlk168487614"/>
      <w:bookmarkEnd w:id="373"/>
      <w:bookmarkEnd w:id="377"/>
      <w:bookmarkEnd w:id="376"/>
    </w:p>
    <w:p w:rsidR="000C5659" w:rsidRDefault="000C5659">
      <w:pPr>
        <w:rPr>
          <w:color w:val="000000" w:themeColor="text1"/>
        </w:rPr>
      </w:pPr>
    </w:p>
    <w:p w:rsidR="000C5659" w:rsidRDefault="000E33C4" w:rsidP="000743DD">
      <w:pPr>
        <w:pStyle w:val="Style163"/>
        <w:numPr>
          <w:ilvl w:val="0"/>
          <w:numId w:val="109"/>
        </w:numPr>
        <w:ind w:left="420" w:hanging="420"/>
        <w:rPr>
          <w:rFonts w:ascii="宋体" w:hAnsi="宋体"/>
          <w:color w:val="000000" w:themeColor="text1"/>
        </w:rPr>
      </w:pPr>
      <w:bookmarkStart w:id="379" w:name="_Hlk40787255"/>
      <w:bookmarkStart w:id="380" w:name="_Hlk167977424"/>
      <w:bookmarkStart w:id="381" w:name="_Hlk40787204"/>
      <w:bookmarkEnd w:id="374"/>
      <w:bookmarkEnd w:id="375"/>
      <w:bookmarkEnd w:id="378"/>
      <w:r>
        <w:rPr>
          <w:rFonts w:ascii="宋体" w:hAnsi="宋体" w:hint="eastAsia"/>
          <w:color w:val="000000" w:themeColor="text1"/>
        </w:rPr>
        <w:lastRenderedPageBreak/>
        <w:t>以权益结算的股份支付情况</w:t>
      </w:r>
    </w:p>
    <w:sdt>
      <w:sdtPr>
        <w:rPr>
          <w:color w:val="000000" w:themeColor="text1"/>
        </w:rPr>
        <w:alias w:val="是否适用：以权益结算的股份支付情况[双击切换]"/>
        <w:tag w:val="_GBC_0f681034da4f4a658951f755e647b514"/>
        <w:id w:val="-109309273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wordWrap w:val="0"/>
        <w:jc w:val="right"/>
        <w:rPr>
          <w:color w:val="000000" w:themeColor="text1"/>
        </w:rPr>
      </w:pPr>
      <w:r>
        <w:rPr>
          <w:rFonts w:hint="eastAsia"/>
          <w:color w:val="000000" w:themeColor="text1"/>
        </w:rPr>
        <w:t>单位：</w:t>
      </w:r>
      <w:sdt>
        <w:sdtPr>
          <w:rPr>
            <w:rFonts w:hint="eastAsia"/>
            <w:color w:val="000000" w:themeColor="text1"/>
          </w:rPr>
          <w:alias w:val="单位：以权益结算的股份支付情况"/>
          <w:tag w:val="_GBC_6f963fb120f44f2ea2e3f79a76bc658f"/>
          <w:id w:val="11278224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以权益结算的股份支付情况"/>
          <w:tag w:val="_GBC_3a28db0198e646dbbf9baf7bb992f37c"/>
          <w:id w:val="-15128333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0C5659">
        <w:sdt>
          <w:sdtPr>
            <w:rPr>
              <w:color w:val="000000" w:themeColor="text1"/>
            </w:rPr>
            <w:tag w:val="_PLD_1a127d7a214a4d28b48c6883e8ed2c64"/>
            <w:id w:val="504484008"/>
          </w:sdtPr>
          <w:sdtEndPr/>
          <w:sdtContent>
            <w:tc>
              <w:tcPr>
                <w:tcW w:w="256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股票期权授予日的公允价值按</w:t>
            </w:r>
            <w:r>
              <w:rPr>
                <w:color w:val="000000" w:themeColor="text1"/>
              </w:rPr>
              <w:t xml:space="preserve"> Black-Scholes期权定价模型来</w:t>
            </w:r>
          </w:p>
        </w:tc>
      </w:tr>
      <w:tr w:rsidR="000C5659">
        <w:tc>
          <w:tcPr>
            <w:tcW w:w="256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授予日权益工具公允价值的重要参数</w:t>
            </w:r>
          </w:p>
        </w:tc>
        <w:tc>
          <w:tcPr>
            <w:tcW w:w="2434" w:type="pct"/>
            <w:tcBorders>
              <w:top w:val="single" w:sz="4" w:space="0" w:color="auto"/>
              <w:left w:val="single" w:sz="4" w:space="0" w:color="auto"/>
              <w:bottom w:val="single" w:sz="4" w:space="0" w:color="auto"/>
              <w:right w:val="single" w:sz="4" w:space="0" w:color="auto"/>
            </w:tcBorders>
          </w:tcPr>
          <w:p w:rsidR="000C5659" w:rsidRDefault="000C5659">
            <w:pPr>
              <w:pStyle w:val="Style325"/>
            </w:pPr>
          </w:p>
        </w:tc>
      </w:tr>
      <w:tr w:rsidR="000C5659">
        <w:tc>
          <w:tcPr>
            <w:tcW w:w="256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可行权权益工具数量的确定依据</w:t>
            </w:r>
          </w:p>
        </w:tc>
        <w:tc>
          <w:tcPr>
            <w:tcW w:w="2434" w:type="pct"/>
            <w:tcBorders>
              <w:top w:val="single" w:sz="4" w:space="0" w:color="auto"/>
              <w:left w:val="single" w:sz="4" w:space="0" w:color="auto"/>
              <w:bottom w:val="single" w:sz="4" w:space="0" w:color="auto"/>
              <w:right w:val="single" w:sz="4" w:space="0" w:color="auto"/>
            </w:tcBorders>
          </w:tcPr>
          <w:p w:rsidR="000C5659" w:rsidRDefault="000E33C4">
            <w:pPr>
              <w:pStyle w:val="Style325"/>
            </w:pPr>
            <w:r>
              <w:rPr>
                <w:rFonts w:hint="eastAsia"/>
              </w:rPr>
              <w:t>可行权职工人数变动信息以及预期业绩达成情况作出最佳估计，修正预计可行权的权益工具数量，以作出可行权权益工具的最佳估计。</w:t>
            </w:r>
          </w:p>
        </w:tc>
      </w:tr>
      <w:tr w:rsidR="000C5659">
        <w:tc>
          <w:tcPr>
            <w:tcW w:w="256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本期估计与上期估计有重大差异的原因</w:t>
            </w:r>
          </w:p>
        </w:tc>
        <w:tc>
          <w:tcPr>
            <w:tcW w:w="2434" w:type="pct"/>
            <w:tcBorders>
              <w:top w:val="single" w:sz="4" w:space="0" w:color="auto"/>
              <w:left w:val="single" w:sz="4" w:space="0" w:color="auto"/>
              <w:bottom w:val="single" w:sz="4" w:space="0" w:color="auto"/>
              <w:right w:val="single" w:sz="4" w:space="0" w:color="auto"/>
            </w:tcBorders>
          </w:tcPr>
          <w:p w:rsidR="000C5659" w:rsidRDefault="000E33C4">
            <w:pPr>
              <w:pStyle w:val="Style325"/>
            </w:pPr>
            <w:r>
              <w:rPr>
                <w:rFonts w:hint="eastAsia"/>
              </w:rPr>
              <w:t>无</w:t>
            </w:r>
          </w:p>
        </w:tc>
      </w:tr>
      <w:tr w:rsidR="000C5659">
        <w:tc>
          <w:tcPr>
            <w:tcW w:w="256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以权益结算的股份支付计入资本公积的累计金额</w:t>
            </w:r>
          </w:p>
        </w:tc>
        <w:tc>
          <w:tcPr>
            <w:tcW w:w="2434" w:type="pct"/>
            <w:tcBorders>
              <w:top w:val="single" w:sz="4" w:space="0" w:color="auto"/>
              <w:left w:val="single" w:sz="4" w:space="0" w:color="auto"/>
              <w:bottom w:val="single" w:sz="4" w:space="0" w:color="auto"/>
              <w:right w:val="single" w:sz="4" w:space="0" w:color="auto"/>
            </w:tcBorders>
          </w:tcPr>
          <w:p w:rsidR="000C5659" w:rsidRDefault="000E33C4">
            <w:pPr>
              <w:jc w:val="right"/>
            </w:pPr>
            <w:r>
              <w:t>4,693,065.06</w:t>
            </w:r>
          </w:p>
        </w:tc>
      </w:tr>
    </w:tbl>
    <w:p w:rsidR="000C5659" w:rsidRDefault="000E33C4">
      <w:pPr>
        <w:rPr>
          <w:color w:val="000000" w:themeColor="text1"/>
        </w:rPr>
      </w:pPr>
      <w:r>
        <w:rPr>
          <w:rFonts w:hint="eastAsia"/>
          <w:color w:val="000000" w:themeColor="text1"/>
        </w:rPr>
        <w:t>其他说明</w:t>
      </w:r>
    </w:p>
    <w:sdt>
      <w:sdtPr>
        <w:rPr>
          <w:color w:val="000000" w:themeColor="text1"/>
        </w:rPr>
        <w:alias w:val="以权益结算的股份支付的说明"/>
        <w:tag w:val="_GBC_bde26230d1d2458abcd9465ebdafc44c"/>
        <w:id w:val="488598763"/>
        <w:placeholder>
          <w:docPart w:val="GBC22222222222222222222222222222"/>
        </w:placeholder>
      </w:sdtPr>
      <w:sdtEndPr/>
      <w:sdtContent>
        <w:p w:rsidR="000C5659" w:rsidRDefault="000E33C4">
          <w:pPr>
            <w:rPr>
              <w:rFonts w:cstheme="minorBidi"/>
              <w:color w:val="000000" w:themeColor="text1"/>
            </w:rPr>
          </w:pPr>
          <w:r>
            <w:rPr>
              <w:rFonts w:hint="eastAsia"/>
              <w:color w:val="000000" w:themeColor="text1"/>
            </w:rPr>
            <w:t>无</w:t>
          </w:r>
        </w:p>
      </w:sdtContent>
    </w:sdt>
    <w:p w:rsidR="000C5659" w:rsidRDefault="000C5659">
      <w:pPr>
        <w:rPr>
          <w:color w:val="000000" w:themeColor="text1"/>
        </w:rPr>
      </w:pPr>
      <w:bookmarkStart w:id="382" w:name="_Hlk40787299"/>
      <w:bookmarkEnd w:id="379"/>
      <w:bookmarkEnd w:id="380"/>
      <w:bookmarkEnd w:id="382"/>
    </w:p>
    <w:p w:rsidR="000C5659" w:rsidRDefault="000E33C4" w:rsidP="000743DD">
      <w:pPr>
        <w:pStyle w:val="Style163"/>
        <w:numPr>
          <w:ilvl w:val="0"/>
          <w:numId w:val="109"/>
        </w:numPr>
        <w:ind w:left="420" w:hanging="420"/>
        <w:rPr>
          <w:color w:val="000000" w:themeColor="text1"/>
        </w:rPr>
      </w:pPr>
      <w:bookmarkStart w:id="383" w:name="_Hlk167977563"/>
      <w:bookmarkEnd w:id="381"/>
      <w:r>
        <w:rPr>
          <w:rFonts w:hint="eastAsia"/>
          <w:color w:val="000000" w:themeColor="text1"/>
        </w:rPr>
        <w:t>以现金结算的股份支付情况</w:t>
      </w:r>
    </w:p>
    <w:sdt>
      <w:sdtPr>
        <w:rPr>
          <w:color w:val="000000" w:themeColor="text1"/>
        </w:rPr>
        <w:alias w:val="是否适用：以现金结算的股份支付情况[双击切换]"/>
        <w:tag w:val="_GBC_2a6bb5b9d8a04286865cd607e7260a60"/>
        <w:id w:val="-89359076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09"/>
        </w:numPr>
        <w:ind w:left="420" w:hanging="420"/>
        <w:rPr>
          <w:color w:val="000000" w:themeColor="text1"/>
        </w:rPr>
      </w:pPr>
      <w:r>
        <w:rPr>
          <w:color w:val="000000" w:themeColor="text1"/>
        </w:rPr>
        <w:t>本期</w:t>
      </w:r>
      <w:r>
        <w:rPr>
          <w:rFonts w:hint="eastAsia"/>
          <w:color w:val="000000" w:themeColor="text1"/>
        </w:rPr>
        <w:t>股份支付费用</w:t>
      </w:r>
    </w:p>
    <w:bookmarkStart w:id="384" w:name="_Hlk168494235" w:displacedByCustomXml="next"/>
    <w:sdt>
      <w:sdtPr>
        <w:rPr>
          <w:color w:val="000000" w:themeColor="text1"/>
        </w:rPr>
        <w:alias w:val="是否适用：股份支付费用[双击切换]"/>
        <w:tag w:val="_GBC_5b0304a006c7437ca2961c2d2bdf142a"/>
        <w:id w:val="1119183745"/>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bookmarkStart w:id="385" w:name="_Hlk168494618"/>
      <w:bookmarkEnd w:id="383"/>
      <w:bookmarkEnd w:id="384"/>
      <w:r>
        <w:rPr>
          <w:rFonts w:hint="eastAsia"/>
          <w:color w:val="000000" w:themeColor="text1"/>
          <w:szCs w:val="24"/>
        </w:rPr>
        <w:t>单</w:t>
      </w:r>
      <w:r>
        <w:rPr>
          <w:rFonts w:hint="eastAsia"/>
          <w:color w:val="000000" w:themeColor="text1"/>
        </w:rPr>
        <w:t>位：元  币种：人民币</w:t>
      </w:r>
    </w:p>
    <w:tbl>
      <w:tblPr>
        <w:tblStyle w:val="g8"/>
        <w:tblW w:w="0" w:type="auto"/>
        <w:tblLook w:val="04A0" w:firstRow="1" w:lastRow="0" w:firstColumn="1" w:lastColumn="0" w:noHBand="0" w:noVBand="1"/>
      </w:tblPr>
      <w:tblGrid>
        <w:gridCol w:w="2936"/>
        <w:gridCol w:w="2957"/>
        <w:gridCol w:w="2930"/>
      </w:tblGrid>
      <w:tr w:rsidR="000C5659">
        <w:sdt>
          <w:sdtPr>
            <w:rPr>
              <w:rFonts w:ascii="Times New Roman" w:hAnsi="Times New Roman"/>
              <w:color w:val="000000" w:themeColor="text1"/>
            </w:rPr>
            <w:tag w:val="_PLD_42c214bab60e4712a0ccc29c1a4dd974"/>
            <w:id w:val="-537898452"/>
          </w:sdtPr>
          <w:sdtEndPr/>
          <w:sdtContent>
            <w:tc>
              <w:tcPr>
                <w:tcW w:w="3016" w:type="dxa"/>
              </w:tcPr>
              <w:p w:rsidR="000C5659" w:rsidRDefault="000E33C4">
                <w:pPr>
                  <w:jc w:val="center"/>
                  <w:rPr>
                    <w:rFonts w:ascii="Times New Roman" w:hAnsi="Times New Roman"/>
                    <w:color w:val="000000" w:themeColor="text1"/>
                  </w:rPr>
                </w:pPr>
                <w:r>
                  <w:rPr>
                    <w:rFonts w:ascii="Times New Roman" w:hAnsi="Times New Roman"/>
                    <w:color w:val="000000" w:themeColor="text1"/>
                  </w:rPr>
                  <w:t>授予对象类别</w:t>
                </w:r>
              </w:p>
            </w:tc>
          </w:sdtContent>
        </w:sdt>
        <w:sdt>
          <w:sdtPr>
            <w:rPr>
              <w:rFonts w:ascii="Times New Roman" w:hAnsi="Times New Roman"/>
              <w:color w:val="000000" w:themeColor="text1"/>
            </w:rPr>
            <w:tag w:val="_PLD_1d2636b9b1864b73b347b8676aa4849d"/>
            <w:id w:val="-1397584042"/>
          </w:sdtPr>
          <w:sdtEndPr/>
          <w:sdtContent>
            <w:tc>
              <w:tcPr>
                <w:tcW w:w="3016" w:type="dxa"/>
              </w:tcPr>
              <w:p w:rsidR="000C5659" w:rsidRDefault="000E33C4">
                <w:pPr>
                  <w:jc w:val="center"/>
                  <w:rPr>
                    <w:rFonts w:ascii="Times New Roman" w:hAnsi="Times New Roman"/>
                    <w:color w:val="000000" w:themeColor="text1"/>
                  </w:rPr>
                </w:pPr>
                <w:r>
                  <w:rPr>
                    <w:rFonts w:ascii="Times New Roman" w:hAnsi="Times New Roman"/>
                    <w:color w:val="000000" w:themeColor="text1"/>
                  </w:rPr>
                  <w:t>以权益结算的股份支付费用</w:t>
                </w:r>
              </w:p>
            </w:tc>
          </w:sdtContent>
        </w:sdt>
        <w:sdt>
          <w:sdtPr>
            <w:rPr>
              <w:rFonts w:ascii="Times New Roman" w:hAnsi="Times New Roman"/>
              <w:color w:val="000000" w:themeColor="text1"/>
            </w:rPr>
            <w:tag w:val="_PLD_0d95160629a04f3eb1270b46141c8ef7"/>
            <w:id w:val="650643136"/>
          </w:sdtPr>
          <w:sdtEndPr/>
          <w:sdtContent>
            <w:tc>
              <w:tcPr>
                <w:tcW w:w="3017" w:type="dxa"/>
              </w:tcPr>
              <w:p w:rsidR="000C5659" w:rsidRDefault="000E33C4">
                <w:pPr>
                  <w:jc w:val="center"/>
                  <w:rPr>
                    <w:rFonts w:ascii="Times New Roman" w:hAnsi="Times New Roman"/>
                    <w:color w:val="000000" w:themeColor="text1"/>
                  </w:rPr>
                </w:pPr>
                <w:r>
                  <w:rPr>
                    <w:rFonts w:ascii="Times New Roman" w:hAnsi="Times New Roman"/>
                    <w:color w:val="000000" w:themeColor="text1"/>
                  </w:rPr>
                  <w:t>以现金结算的股份支付费用</w:t>
                </w:r>
              </w:p>
            </w:tc>
          </w:sdtContent>
        </w:sdt>
      </w:tr>
      <w:tr w:rsidR="000C5659">
        <w:tc>
          <w:tcPr>
            <w:tcW w:w="3016" w:type="dxa"/>
          </w:tcPr>
          <w:p w:rsidR="000C5659" w:rsidRDefault="000E33C4">
            <w:pPr>
              <w:rPr>
                <w:rFonts w:asciiTheme="minorEastAsia" w:eastAsiaTheme="minorEastAsia" w:hAnsiTheme="minorEastAsia"/>
              </w:rPr>
            </w:pPr>
            <w:r>
              <w:rPr>
                <w:rFonts w:asciiTheme="minorEastAsia" w:eastAsiaTheme="minorEastAsia" w:hAnsiTheme="minorEastAsia"/>
              </w:rPr>
              <w:t>2021 年股票期权激励计划的激励对象</w:t>
            </w:r>
          </w:p>
        </w:tc>
        <w:tc>
          <w:tcPr>
            <w:tcW w:w="3016" w:type="dxa"/>
          </w:tcPr>
          <w:p w:rsidR="000C5659" w:rsidRDefault="000E33C4">
            <w:pPr>
              <w:jc w:val="right"/>
              <w:rPr>
                <w:rFonts w:asciiTheme="minorEastAsia" w:eastAsiaTheme="minorEastAsia" w:hAnsiTheme="minorEastAsia"/>
              </w:rPr>
            </w:pPr>
            <w:r>
              <w:rPr>
                <w:rFonts w:asciiTheme="minorEastAsia" w:eastAsiaTheme="minorEastAsia" w:hAnsiTheme="minorEastAsia"/>
              </w:rPr>
              <w:t>599,440.50</w:t>
            </w:r>
          </w:p>
        </w:tc>
        <w:tc>
          <w:tcPr>
            <w:tcW w:w="3017" w:type="dxa"/>
          </w:tcPr>
          <w:p w:rsidR="000C5659" w:rsidRDefault="000C5659">
            <w:pPr>
              <w:jc w:val="right"/>
              <w:rPr>
                <w:rFonts w:asciiTheme="minorEastAsia" w:eastAsiaTheme="minorEastAsia" w:hAnsiTheme="minorEastAsia"/>
              </w:rPr>
            </w:pPr>
          </w:p>
        </w:tc>
      </w:tr>
      <w:tr w:rsidR="000C5659">
        <w:tc>
          <w:tcPr>
            <w:tcW w:w="3016" w:type="dxa"/>
          </w:tcPr>
          <w:p w:rsidR="000C5659" w:rsidRDefault="000E33C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3016" w:type="dxa"/>
          </w:tcPr>
          <w:p w:rsidR="000C5659" w:rsidRDefault="000E33C4">
            <w:pPr>
              <w:jc w:val="right"/>
              <w:rPr>
                <w:rFonts w:asciiTheme="minorEastAsia" w:eastAsiaTheme="minorEastAsia" w:hAnsiTheme="minorEastAsia"/>
              </w:rPr>
            </w:pPr>
            <w:r>
              <w:rPr>
                <w:rFonts w:asciiTheme="minorEastAsia" w:eastAsiaTheme="minorEastAsia" w:hAnsiTheme="minorEastAsia"/>
              </w:rPr>
              <w:t>599,440.50</w:t>
            </w:r>
          </w:p>
        </w:tc>
        <w:tc>
          <w:tcPr>
            <w:tcW w:w="3017" w:type="dxa"/>
          </w:tcPr>
          <w:p w:rsidR="000C5659" w:rsidRDefault="000C5659">
            <w:pPr>
              <w:jc w:val="right"/>
              <w:rPr>
                <w:rFonts w:asciiTheme="minorEastAsia" w:eastAsiaTheme="minorEastAsia" w:hAnsiTheme="minorEastAsia"/>
              </w:rPr>
            </w:pPr>
          </w:p>
        </w:tc>
      </w:tr>
    </w:tbl>
    <w:p w:rsidR="000C5659" w:rsidRDefault="000C5659">
      <w:pPr>
        <w:rPr>
          <w:color w:val="000000" w:themeColor="text1"/>
        </w:rPr>
      </w:pPr>
    </w:p>
    <w:p w:rsidR="000C5659" w:rsidRDefault="000E33C4">
      <w:pPr>
        <w:rPr>
          <w:color w:val="000000" w:themeColor="text1"/>
        </w:rPr>
      </w:pPr>
      <w:bookmarkStart w:id="386" w:name="_Hlk168494436"/>
      <w:bookmarkEnd w:id="385"/>
      <w:r>
        <w:rPr>
          <w:rFonts w:hint="eastAsia"/>
          <w:color w:val="000000" w:themeColor="text1"/>
        </w:rPr>
        <w:t>其他说明</w:t>
      </w:r>
    </w:p>
    <w:sdt>
      <w:sdtPr>
        <w:rPr>
          <w:color w:val="000000" w:themeColor="text1"/>
        </w:rPr>
        <w:alias w:val="股份支付费用的说明"/>
        <w:tag w:val="_GBC_aba3c5ba1d634b239e29a8401006840a"/>
        <w:id w:val="1178309289"/>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bookmarkEnd w:id="386"/>
    <w:p w:rsidR="000C5659" w:rsidRDefault="000E33C4" w:rsidP="000743DD">
      <w:pPr>
        <w:pStyle w:val="Style163"/>
        <w:numPr>
          <w:ilvl w:val="0"/>
          <w:numId w:val="109"/>
        </w:numPr>
        <w:rPr>
          <w:rFonts w:ascii="宋体" w:hAnsi="宋体"/>
          <w:color w:val="000000" w:themeColor="text1"/>
        </w:rPr>
      </w:pPr>
      <w:r>
        <w:rPr>
          <w:rFonts w:ascii="宋体" w:hAnsi="宋体" w:hint="eastAsia"/>
          <w:color w:val="000000" w:themeColor="text1"/>
        </w:rPr>
        <w:t>股份支付的修改、终止情况</w:t>
      </w:r>
    </w:p>
    <w:sdt>
      <w:sdtPr>
        <w:rPr>
          <w:color w:val="000000" w:themeColor="text1"/>
        </w:rPr>
        <w:alias w:val="是否适用：股份支付的修改、终止情况[双击切换]"/>
        <w:tag w:val="_GBC_794cdee9be3b4b478fa83b914d22ea66"/>
        <w:id w:val="-1286727261"/>
        <w:placeholder>
          <w:docPart w:val="GBC22222222222222222222222222222"/>
        </w:placeholder>
      </w:sdtPr>
      <w:sdtEndPr/>
      <w:sdtContent>
        <w:p w:rsidR="000C5659" w:rsidRDefault="000E33C4">
          <w:pPr>
            <w:rPr>
              <w:rFonts w:cstheme="minorBidi"/>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ind w:firstLineChars="100" w:firstLine="210"/>
        <w:rPr>
          <w:color w:val="000000" w:themeColor="text1"/>
        </w:rPr>
      </w:pPr>
    </w:p>
    <w:p w:rsidR="000C5659" w:rsidRDefault="000E33C4" w:rsidP="000743DD">
      <w:pPr>
        <w:pStyle w:val="Style163"/>
        <w:numPr>
          <w:ilvl w:val="0"/>
          <w:numId w:val="109"/>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股份支付的其他情况说明[双击切换]"/>
        <w:tag w:val="_GBC_b8be1a19715949cab94dc673580d61a2"/>
        <w:id w:val="-58661613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承诺及或有事项</w:t>
      </w:r>
    </w:p>
    <w:p w:rsidR="000C5659" w:rsidRDefault="000E33C4" w:rsidP="000743DD">
      <w:pPr>
        <w:pStyle w:val="Style163"/>
        <w:numPr>
          <w:ilvl w:val="0"/>
          <w:numId w:val="110"/>
        </w:numPr>
        <w:rPr>
          <w:rFonts w:ascii="宋体" w:hAnsi="宋体"/>
          <w:color w:val="000000" w:themeColor="text1"/>
        </w:rPr>
      </w:pPr>
      <w:r>
        <w:rPr>
          <w:rFonts w:ascii="宋体" w:hAnsi="宋体" w:hint="eastAsia"/>
          <w:color w:val="000000" w:themeColor="text1"/>
        </w:rPr>
        <w:t>重要承诺事项</w:t>
      </w:r>
    </w:p>
    <w:p w:rsidR="001A15C0" w:rsidRDefault="00220B84" w:rsidP="001A15C0">
      <w:pPr>
        <w:tabs>
          <w:tab w:val="left" w:pos="2570"/>
        </w:tabs>
        <w:rPr>
          <w:color w:val="000000" w:themeColor="text1"/>
        </w:rPr>
      </w:pPr>
      <w:sdt>
        <w:sdtPr>
          <w:rPr>
            <w:color w:val="000000" w:themeColor="text1"/>
          </w:rPr>
          <w:alias w:val="是否适用：重要承诺事项[双击切换]"/>
          <w:tag w:val="_GBC_3ee02d2bff5e4dd69f75cc6148bdda8f"/>
          <w:id w:val="-2139404378"/>
          <w:placeholder>
            <w:docPart w:val="GBC22222222222222222222222222222"/>
          </w:placeholder>
        </w:sdtPr>
        <w:sdtEndPr/>
        <w:sdtContent>
          <w:r w:rsidR="000E33C4">
            <w:rPr>
              <w:color w:val="000000" w:themeColor="text1"/>
            </w:rPr>
            <w:fldChar w:fldCharType="begin"/>
          </w:r>
          <w:r w:rsidR="001A15C0">
            <w:rPr>
              <w:color w:val="000000" w:themeColor="text1"/>
            </w:rPr>
            <w:instrText xml:space="preserve"> MACROBUTTON  SnrToggleCheckbox √适用 </w:instrText>
          </w:r>
          <w:r w:rsidR="000E33C4">
            <w:rPr>
              <w:color w:val="000000" w:themeColor="text1"/>
            </w:rPr>
            <w:fldChar w:fldCharType="end"/>
          </w:r>
          <w:r w:rsidR="000E33C4">
            <w:rPr>
              <w:color w:val="000000" w:themeColor="text1"/>
            </w:rPr>
            <w:fldChar w:fldCharType="begin"/>
          </w:r>
          <w:r w:rsidR="001A15C0">
            <w:rPr>
              <w:color w:val="000000" w:themeColor="text1"/>
            </w:rPr>
            <w:instrText xml:space="preserve"> MACROBUTTON  SnrToggleCheckbox □不适用 </w:instrText>
          </w:r>
          <w:r w:rsidR="000E33C4">
            <w:rPr>
              <w:color w:val="000000" w:themeColor="text1"/>
            </w:rPr>
            <w:fldChar w:fldCharType="end"/>
          </w:r>
        </w:sdtContent>
      </w:sdt>
    </w:p>
    <w:p w:rsidR="001A15C0" w:rsidRDefault="001A15C0" w:rsidP="001B490F">
      <w:pPr>
        <w:rPr>
          <w:color w:val="000000" w:themeColor="text1"/>
        </w:rPr>
      </w:pPr>
      <w:r>
        <w:rPr>
          <w:rFonts w:hint="eastAsia"/>
          <w:color w:val="000000" w:themeColor="text1"/>
        </w:rPr>
        <w:t>资产负债表日存在的对外重要承诺、性质、金额</w:t>
      </w:r>
    </w:p>
    <w:sdt>
      <w:sdtPr>
        <w:rPr>
          <w:rFonts w:cs="Cambria"/>
          <w:bCs/>
          <w:color w:val="000000" w:themeColor="text1"/>
        </w:rPr>
        <w:alias w:val="资产负债表日存在的重要承诺"/>
        <w:tag w:val="_GBC_b0cd6a8a93e142e5926c06e28f794da3"/>
        <w:id w:val="-867366769"/>
        <w:placeholder>
          <w:docPart w:val="52BD6B2BFAA942BC992C6163AFFF0835"/>
        </w:placeholder>
      </w:sdtPr>
      <w:sdtEndPr/>
      <w:sdtContent>
        <w:p w:rsidR="001A15C0" w:rsidRDefault="001A15C0" w:rsidP="001B490F">
          <w:pPr>
            <w:ind w:firstLineChars="200" w:firstLine="420"/>
            <w:rPr>
              <w:rFonts w:asciiTheme="minorEastAsia" w:hAnsiTheme="minorEastAsia"/>
            </w:rPr>
          </w:pPr>
          <w:r>
            <w:rPr>
              <w:rFonts w:asciiTheme="minorEastAsia" w:eastAsiaTheme="minorEastAsia" w:hAnsiTheme="minorEastAsia"/>
            </w:rPr>
            <w:t>2023</w:t>
          </w:r>
          <w:r>
            <w:rPr>
              <w:rFonts w:asciiTheme="minorEastAsia" w:eastAsiaTheme="minorEastAsia" w:hAnsiTheme="minorEastAsia" w:hint="eastAsia"/>
            </w:rPr>
            <w:t>年</w:t>
          </w:r>
          <w:r>
            <w:rPr>
              <w:rFonts w:asciiTheme="minorEastAsia" w:eastAsiaTheme="minorEastAsia" w:hAnsiTheme="minorEastAsia"/>
            </w:rPr>
            <w:t>11</w:t>
          </w:r>
          <w:r>
            <w:rPr>
              <w:rFonts w:asciiTheme="minorEastAsia" w:eastAsiaTheme="minorEastAsia" w:hAnsiTheme="minorEastAsia" w:hint="eastAsia"/>
            </w:rPr>
            <w:t>月</w:t>
          </w:r>
          <w:r>
            <w:rPr>
              <w:rFonts w:asciiTheme="minorEastAsia" w:eastAsiaTheme="minorEastAsia" w:hAnsiTheme="minorEastAsia"/>
            </w:rPr>
            <w:t>10</w:t>
          </w:r>
          <w:r>
            <w:rPr>
              <w:rFonts w:asciiTheme="minorEastAsia" w:eastAsiaTheme="minorEastAsia" w:hAnsiTheme="minorEastAsia" w:hint="eastAsia"/>
            </w:rPr>
            <w:t>日，公司与郁雪平、喻扬、李国良、刘帅、韩德亮、苏州合众立业企业管理中心（有限合伙）、昆山薪伙相传企业管理中心（有限合伙）、东台薪启佳企业管理合伙企业（有限合伙）、善恩康生物科技（苏州）有限公司签订股权转入及增资协议。</w:t>
          </w:r>
        </w:p>
        <w:p w:rsidR="001A15C0" w:rsidRDefault="001A15C0" w:rsidP="001A15C0">
          <w:pPr>
            <w:ind w:firstLineChars="200" w:firstLine="420"/>
            <w:rPr>
              <w:rFonts w:asciiTheme="minorEastAsia" w:hAnsiTheme="minorEastAsia"/>
            </w:rPr>
          </w:pPr>
          <w:r>
            <w:rPr>
              <w:rFonts w:asciiTheme="minorEastAsia" w:eastAsiaTheme="minorEastAsia" w:hAnsiTheme="minorEastAsia" w:hint="eastAsia"/>
            </w:rPr>
            <w:t>公司拟通过股权转让及增资方式，以</w:t>
          </w:r>
          <w:r>
            <w:rPr>
              <w:rFonts w:asciiTheme="minorEastAsia" w:eastAsiaTheme="minorEastAsia" w:hAnsiTheme="minorEastAsia"/>
            </w:rPr>
            <w:t>21,256.1557</w:t>
          </w:r>
          <w:r>
            <w:rPr>
              <w:rFonts w:asciiTheme="minorEastAsia" w:eastAsiaTheme="minorEastAsia" w:hAnsiTheme="minorEastAsia" w:hint="eastAsia"/>
            </w:rPr>
            <w:t>万元取得善恩康生物科技（苏州）有限公司</w:t>
          </w:r>
          <w:r>
            <w:rPr>
              <w:rFonts w:asciiTheme="minorEastAsia" w:eastAsiaTheme="minorEastAsia" w:hAnsiTheme="minorEastAsia"/>
            </w:rPr>
            <w:t>52.0006%</w:t>
          </w:r>
          <w:r>
            <w:rPr>
              <w:rFonts w:asciiTheme="minorEastAsia" w:eastAsiaTheme="minorEastAsia" w:hAnsiTheme="minorEastAsia" w:hint="eastAsia"/>
            </w:rPr>
            <w:t>股权。</w:t>
          </w:r>
        </w:p>
        <w:p w:rsidR="001A15C0" w:rsidRPr="001A15C0" w:rsidRDefault="001A15C0" w:rsidP="001A15C0">
          <w:pPr>
            <w:ind w:firstLineChars="200" w:firstLine="420"/>
            <w:rPr>
              <w:rFonts w:asciiTheme="minorEastAsia" w:hAnsiTheme="minorEastAsia"/>
            </w:rPr>
          </w:pPr>
          <w:r>
            <w:rPr>
              <w:rFonts w:asciiTheme="minorEastAsia" w:hAnsiTheme="minorEastAsia" w:hint="eastAsia"/>
            </w:rPr>
            <w:t>本次交易的付款安排分四笔：自协议生效之日起</w:t>
          </w:r>
          <w:r>
            <w:rPr>
              <w:rFonts w:asciiTheme="minorEastAsia" w:hAnsiTheme="minorEastAsia"/>
            </w:rPr>
            <w:t>10</w:t>
          </w:r>
          <w:r>
            <w:rPr>
              <w:rFonts w:asciiTheme="minorEastAsia" w:hAnsiTheme="minorEastAsia" w:hint="eastAsia"/>
            </w:rPr>
            <w:t>个工作日内，向各转让方支付第一期股权转让款</w:t>
          </w:r>
          <w:r>
            <w:rPr>
              <w:rFonts w:asciiTheme="minorEastAsia" w:hAnsiTheme="minorEastAsia"/>
            </w:rPr>
            <w:t>36,406,407.98</w:t>
          </w:r>
          <w:r>
            <w:rPr>
              <w:rFonts w:asciiTheme="minorEastAsia" w:hAnsiTheme="minorEastAsia" w:hint="eastAsia"/>
            </w:rPr>
            <w:t>元；在</w:t>
          </w:r>
          <w:r>
            <w:rPr>
              <w:rFonts w:asciiTheme="minorEastAsia" w:hAnsiTheme="minorEastAsia"/>
            </w:rPr>
            <w:t>2024</w:t>
          </w:r>
          <w:r>
            <w:rPr>
              <w:rFonts w:asciiTheme="minorEastAsia" w:hAnsiTheme="minorEastAsia" w:hint="eastAsia"/>
            </w:rPr>
            <w:t>年</w:t>
          </w:r>
          <w:r>
            <w:rPr>
              <w:rFonts w:asciiTheme="minorEastAsia" w:hAnsiTheme="minorEastAsia"/>
            </w:rPr>
            <w:t>3</w:t>
          </w:r>
          <w:r>
            <w:rPr>
              <w:rFonts w:asciiTheme="minorEastAsia" w:hAnsiTheme="minorEastAsia" w:hint="eastAsia"/>
            </w:rPr>
            <w:t>月</w:t>
          </w:r>
          <w:r>
            <w:rPr>
              <w:rFonts w:asciiTheme="minorEastAsia" w:hAnsiTheme="minorEastAsia"/>
            </w:rPr>
            <w:t>31</w:t>
          </w:r>
          <w:r>
            <w:rPr>
              <w:rFonts w:asciiTheme="minorEastAsia" w:hAnsiTheme="minorEastAsia" w:hint="eastAsia"/>
            </w:rPr>
            <w:t>日前，向转让方支付剩余股权转让款</w:t>
          </w:r>
          <w:r>
            <w:rPr>
              <w:rFonts w:asciiTheme="minorEastAsia" w:hAnsiTheme="minorEastAsia"/>
            </w:rPr>
            <w:lastRenderedPageBreak/>
            <w:t>101,746,402.57</w:t>
          </w:r>
          <w:r>
            <w:rPr>
              <w:rFonts w:asciiTheme="minorEastAsia" w:hAnsiTheme="minorEastAsia" w:hint="eastAsia"/>
            </w:rPr>
            <w:t>元；在交割日后的</w:t>
          </w:r>
          <w:r>
            <w:rPr>
              <w:rFonts w:asciiTheme="minorEastAsia" w:hAnsiTheme="minorEastAsia"/>
            </w:rPr>
            <w:t>90</w:t>
          </w:r>
          <w:r>
            <w:rPr>
              <w:rFonts w:asciiTheme="minorEastAsia" w:hAnsiTheme="minorEastAsia" w:hint="eastAsia"/>
            </w:rPr>
            <w:t>天内支付因受让东台薪启佳企业管理合伙企业（有限合伙）股权而需补缴的</w:t>
          </w:r>
          <w:r>
            <w:rPr>
              <w:rFonts w:asciiTheme="minorEastAsia" w:hAnsiTheme="minorEastAsia"/>
            </w:rPr>
            <w:t>1,296.2963</w:t>
          </w:r>
          <w:r>
            <w:rPr>
              <w:rFonts w:asciiTheme="minorEastAsia" w:hAnsiTheme="minorEastAsia" w:hint="eastAsia"/>
            </w:rPr>
            <w:t>万元注册资本出资款。在交割日后</w:t>
          </w:r>
          <w:r>
            <w:rPr>
              <w:rFonts w:asciiTheme="minorEastAsia" w:hAnsiTheme="minorEastAsia"/>
            </w:rPr>
            <w:t>1</w:t>
          </w:r>
          <w:r>
            <w:rPr>
              <w:rFonts w:asciiTheme="minorEastAsia" w:hAnsiTheme="minorEastAsia" w:hint="eastAsia"/>
            </w:rPr>
            <w:t>年内，根据标的公司经营情况向善恩康增资</w:t>
          </w:r>
          <w:r>
            <w:rPr>
              <w:rFonts w:asciiTheme="minorEastAsia" w:hAnsiTheme="minorEastAsia"/>
            </w:rPr>
            <w:t>6,144.5783</w:t>
          </w:r>
          <w:r>
            <w:rPr>
              <w:rFonts w:asciiTheme="minorEastAsia" w:hAnsiTheme="minorEastAsia" w:hint="eastAsia"/>
            </w:rPr>
            <w:t>万元。</w:t>
          </w:r>
        </w:p>
      </w:sdtContent>
    </w:sdt>
    <w:p w:rsidR="000C5659" w:rsidRDefault="000C5659">
      <w:pPr>
        <w:pStyle w:val="Style322"/>
        <w:ind w:left="0" w:firstLineChars="200" w:firstLine="420"/>
        <w:rPr>
          <w:rFonts w:asciiTheme="minorEastAsia" w:eastAsiaTheme="minorEastAsia" w:hAnsiTheme="minorEastAsia"/>
        </w:rPr>
      </w:pPr>
    </w:p>
    <w:p w:rsidR="000C5659" w:rsidRDefault="000C5659">
      <w:pPr>
        <w:rPr>
          <w:color w:val="000000" w:themeColor="text1"/>
        </w:rPr>
      </w:pPr>
    </w:p>
    <w:p w:rsidR="000C5659" w:rsidRDefault="000E33C4" w:rsidP="000743DD">
      <w:pPr>
        <w:pStyle w:val="Style163"/>
        <w:numPr>
          <w:ilvl w:val="0"/>
          <w:numId w:val="110"/>
        </w:numPr>
        <w:rPr>
          <w:rFonts w:ascii="宋体" w:hAnsi="宋体"/>
          <w:color w:val="000000" w:themeColor="text1"/>
        </w:rPr>
      </w:pPr>
      <w:r>
        <w:rPr>
          <w:rFonts w:ascii="宋体" w:hAnsi="宋体" w:hint="eastAsia"/>
          <w:color w:val="000000" w:themeColor="text1"/>
        </w:rPr>
        <w:t>或有事项</w:t>
      </w:r>
    </w:p>
    <w:p w:rsidR="000C5659" w:rsidRDefault="000E33C4" w:rsidP="000743DD">
      <w:pPr>
        <w:pStyle w:val="Style165"/>
        <w:numPr>
          <w:ilvl w:val="0"/>
          <w:numId w:val="111"/>
        </w:numPr>
        <w:tabs>
          <w:tab w:val="left" w:pos="616"/>
        </w:tabs>
        <w:rPr>
          <w:rFonts w:ascii="宋体" w:hAnsi="宋体"/>
          <w:color w:val="000000" w:themeColor="text1"/>
        </w:rPr>
      </w:pPr>
      <w:r>
        <w:rPr>
          <w:rFonts w:ascii="宋体" w:hAnsi="宋体" w:hint="eastAsia"/>
          <w:color w:val="000000" w:themeColor="text1"/>
        </w:rPr>
        <w:t>资产负债表日存在的重要或有事项</w:t>
      </w:r>
    </w:p>
    <w:sdt>
      <w:sdtPr>
        <w:rPr>
          <w:color w:val="000000" w:themeColor="text1"/>
        </w:rPr>
        <w:alias w:val="是否适用：资产负债表日存在的重要或有事项[双击切换]"/>
        <w:tag w:val="_GBC_dea854a30b4642f6b78351afe6791c32"/>
        <w:id w:val="-12994537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111"/>
        </w:numPr>
        <w:tabs>
          <w:tab w:val="left" w:pos="616"/>
        </w:tabs>
        <w:rPr>
          <w:rFonts w:ascii="宋体" w:hAnsi="宋体"/>
          <w:color w:val="000000" w:themeColor="text1"/>
        </w:rPr>
      </w:pPr>
      <w:r>
        <w:rPr>
          <w:rFonts w:ascii="宋体" w:hAnsi="宋体" w:hint="eastAsia"/>
          <w:color w:val="000000" w:themeColor="text1"/>
        </w:rPr>
        <w:t>公司没有需要披露的重要或有事项，也应予以说明：</w:t>
      </w:r>
    </w:p>
    <w:sdt>
      <w:sdtPr>
        <w:rPr>
          <w:color w:val="000000" w:themeColor="text1"/>
        </w:rPr>
        <w:alias w:val="是否适用：公司没有需要披露的重要或有事项，也应予以说明[双击切换]"/>
        <w:tag w:val="_GBC_a0545390a9694adcaaee8509e290303c"/>
        <w:id w:val="-100358628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公司没有需要披露的重要或有事项的说明"/>
        <w:tag w:val="_GBC_1e05c633c4cd4e74a64494260267ab03"/>
        <w:id w:val="-462806589"/>
        <w:placeholder>
          <w:docPart w:val="GBC22222222222222222222222222222"/>
        </w:placeholder>
      </w:sdtPr>
      <w:sdtEndPr/>
      <w:sdtContent>
        <w:p w:rsidR="000C5659" w:rsidRDefault="000E33C4">
          <w:pPr>
            <w:rPr>
              <w:color w:val="000000" w:themeColor="text1"/>
            </w:rPr>
          </w:pPr>
          <w:r>
            <w:rPr>
              <w:rFonts w:hint="eastAsia"/>
            </w:rPr>
            <w:t>公司没有需要披露的重要或有事项</w:t>
          </w:r>
        </w:p>
      </w:sdtContent>
    </w:sdt>
    <w:p w:rsidR="000C5659" w:rsidRDefault="000C5659">
      <w:pPr>
        <w:rPr>
          <w:rFonts w:cstheme="minorBidi"/>
          <w:color w:val="000000" w:themeColor="text1"/>
        </w:rPr>
      </w:pPr>
    </w:p>
    <w:p w:rsidR="000C5659" w:rsidRDefault="000E33C4" w:rsidP="000743DD">
      <w:pPr>
        <w:pStyle w:val="Style163"/>
        <w:numPr>
          <w:ilvl w:val="0"/>
          <w:numId w:val="110"/>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承诺及或有事项的其他情况说明[双击切换]"/>
        <w:tag w:val="_GBC_ff33b21a56eb4d3291f2b4875be5a2b2"/>
        <w:id w:val="-21388643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资产负债表日后事项</w:t>
      </w:r>
    </w:p>
    <w:p w:rsidR="000C5659" w:rsidRDefault="000E33C4" w:rsidP="000743DD">
      <w:pPr>
        <w:pStyle w:val="Style163"/>
        <w:numPr>
          <w:ilvl w:val="0"/>
          <w:numId w:val="112"/>
        </w:numPr>
        <w:rPr>
          <w:rFonts w:ascii="宋体" w:hAnsi="宋体"/>
          <w:color w:val="000000" w:themeColor="text1"/>
        </w:rPr>
      </w:pPr>
      <w:r>
        <w:rPr>
          <w:rFonts w:ascii="宋体" w:hAnsi="宋体" w:hint="eastAsia"/>
          <w:color w:val="000000" w:themeColor="text1"/>
        </w:rPr>
        <w:t>重要的非调整事项</w:t>
      </w:r>
    </w:p>
    <w:sdt>
      <w:sdtPr>
        <w:rPr>
          <w:color w:val="000000" w:themeColor="text1"/>
        </w:rPr>
        <w:alias w:val="是否适用：重要的非调整事项[双击切换]"/>
        <w:tag w:val="_GBC_ab366a8fb12748d6aa2a8401b360857c"/>
        <w:id w:val="-186906011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2"/>
        </w:numPr>
        <w:rPr>
          <w:rFonts w:ascii="宋体" w:hAnsi="宋体"/>
          <w:color w:val="000000" w:themeColor="text1"/>
        </w:rPr>
      </w:pPr>
      <w:r>
        <w:rPr>
          <w:rFonts w:ascii="宋体" w:hAnsi="宋体" w:hint="eastAsia"/>
          <w:color w:val="000000" w:themeColor="text1"/>
        </w:rPr>
        <w:t>利润分配情况</w:t>
      </w:r>
    </w:p>
    <w:sdt>
      <w:sdtPr>
        <w:rPr>
          <w:color w:val="000000" w:themeColor="text1"/>
        </w:rPr>
        <w:alias w:val="是否适用：利润分配情况[双击切换]"/>
        <w:tag w:val="_GBC_a2ea8cd0604f474db0e7e62eb7fc0435"/>
        <w:id w:val="139763053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2"/>
        </w:numPr>
        <w:rPr>
          <w:rFonts w:ascii="宋体" w:hAnsi="宋体"/>
          <w:color w:val="000000" w:themeColor="text1"/>
        </w:rPr>
      </w:pPr>
      <w:bookmarkStart w:id="387" w:name="_Toc241636515"/>
      <w:r>
        <w:rPr>
          <w:rFonts w:ascii="宋体" w:hAnsi="宋体" w:hint="eastAsia"/>
          <w:color w:val="000000" w:themeColor="text1"/>
          <w:szCs w:val="21"/>
        </w:rPr>
        <w:t>销售</w:t>
      </w:r>
      <w:r>
        <w:rPr>
          <w:rFonts w:ascii="宋体" w:hAnsi="宋体" w:hint="eastAsia"/>
          <w:color w:val="000000" w:themeColor="text1"/>
        </w:rPr>
        <w:t>退回</w:t>
      </w:r>
    </w:p>
    <w:sdt>
      <w:sdtPr>
        <w:rPr>
          <w:color w:val="000000" w:themeColor="text1"/>
        </w:rPr>
        <w:alias w:val="是否适用：销售退回[双击切换]"/>
        <w:tag w:val="_GBC_4175c0e820fa43cd98dd2d05c0dea8a8"/>
        <w:id w:val="132739635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2"/>
        </w:numPr>
        <w:rPr>
          <w:rFonts w:ascii="宋体" w:hAnsi="宋体"/>
          <w:color w:val="000000" w:themeColor="text1"/>
        </w:rPr>
      </w:pPr>
      <w:r>
        <w:rPr>
          <w:rFonts w:ascii="宋体" w:hAnsi="宋体" w:hint="eastAsia"/>
          <w:color w:val="000000" w:themeColor="text1"/>
        </w:rPr>
        <w:t>其他资产负债表日后事项说明</w:t>
      </w:r>
      <w:bookmarkEnd w:id="387"/>
    </w:p>
    <w:sdt>
      <w:sdtPr>
        <w:rPr>
          <w:color w:val="000000" w:themeColor="text1"/>
        </w:rPr>
        <w:alias w:val="是否适用：其他资产负债表日后事项说明[双击切换]"/>
        <w:tag w:val="_GBC_3da0e7092a0048ed9e147e2e860785f5"/>
        <w:id w:val="73443853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其他重要事项</w:t>
      </w:r>
    </w:p>
    <w:p w:rsidR="000C5659" w:rsidRDefault="000E33C4" w:rsidP="000743DD">
      <w:pPr>
        <w:pStyle w:val="Style163"/>
        <w:numPr>
          <w:ilvl w:val="0"/>
          <w:numId w:val="113"/>
        </w:numPr>
        <w:rPr>
          <w:rFonts w:ascii="宋体" w:hAnsi="宋体"/>
          <w:color w:val="000000" w:themeColor="text1"/>
        </w:rPr>
      </w:pPr>
      <w:r>
        <w:rPr>
          <w:rFonts w:ascii="宋体" w:hAnsi="宋体" w:hint="eastAsia"/>
          <w:color w:val="000000" w:themeColor="text1"/>
        </w:rPr>
        <w:t>前期会计差错更正</w:t>
      </w:r>
    </w:p>
    <w:p w:rsidR="000C5659" w:rsidRDefault="000E33C4" w:rsidP="000743DD">
      <w:pPr>
        <w:pStyle w:val="Style165"/>
        <w:numPr>
          <w:ilvl w:val="0"/>
          <w:numId w:val="114"/>
        </w:numPr>
        <w:tabs>
          <w:tab w:val="left" w:pos="602"/>
        </w:tabs>
        <w:rPr>
          <w:rFonts w:ascii="宋体" w:hAnsi="宋体"/>
          <w:color w:val="000000" w:themeColor="text1"/>
        </w:rPr>
      </w:pPr>
      <w:r>
        <w:rPr>
          <w:rFonts w:ascii="宋体" w:hAnsi="宋体" w:hint="eastAsia"/>
          <w:color w:val="000000" w:themeColor="text1"/>
        </w:rPr>
        <w:t>追溯重述法</w:t>
      </w:r>
    </w:p>
    <w:sdt>
      <w:sdtPr>
        <w:rPr>
          <w:rFonts w:hint="eastAsia"/>
          <w:color w:val="000000" w:themeColor="text1"/>
        </w:rPr>
        <w:alias w:val="是否适用：追溯重述法[双击切换]"/>
        <w:tag w:val="_GBC_9d59987ec8f64e568cc0874cd76bb5ce"/>
        <w:id w:val="-114033943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114"/>
        </w:numPr>
        <w:tabs>
          <w:tab w:val="left" w:pos="602"/>
        </w:tabs>
        <w:rPr>
          <w:rFonts w:ascii="宋体" w:hAnsi="宋体" w:cs="Cambria"/>
          <w:bCs w:val="0"/>
          <w:color w:val="000000" w:themeColor="text1"/>
        </w:rPr>
      </w:pPr>
      <w:r>
        <w:rPr>
          <w:rFonts w:ascii="宋体" w:hAnsi="宋体" w:hint="eastAsia"/>
          <w:color w:val="000000" w:themeColor="text1"/>
        </w:rPr>
        <w:t>未来</w:t>
      </w:r>
      <w:r>
        <w:rPr>
          <w:rFonts w:ascii="宋体" w:hAnsi="宋体" w:cs="Cambria" w:hint="eastAsia"/>
          <w:color w:val="000000" w:themeColor="text1"/>
        </w:rPr>
        <w:t>适用法</w:t>
      </w:r>
    </w:p>
    <w:sdt>
      <w:sdtPr>
        <w:rPr>
          <w:color w:val="000000" w:themeColor="text1"/>
        </w:rPr>
        <w:alias w:val="是否适用：未来适用法[双击切换]"/>
        <w:tag w:val="_GBC_add0977272ee43e7938e3e96c6aaa92d"/>
        <w:id w:val="-195269586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3"/>
        </w:numPr>
        <w:ind w:left="0" w:firstLine="0"/>
        <w:rPr>
          <w:color w:val="000000" w:themeColor="text1"/>
        </w:rPr>
      </w:pPr>
      <w:bookmarkStart w:id="388" w:name="_Hlk167977672"/>
      <w:r>
        <w:rPr>
          <w:rFonts w:ascii="宋体" w:hAnsi="宋体" w:cs="宋体" w:hint="eastAsia"/>
          <w:color w:val="000000" w:themeColor="text1"/>
          <w:kern w:val="0"/>
          <w:szCs w:val="24"/>
        </w:rPr>
        <w:t>重要</w:t>
      </w:r>
      <w:r>
        <w:rPr>
          <w:rFonts w:hint="eastAsia"/>
          <w:color w:val="000000" w:themeColor="text1"/>
        </w:rPr>
        <w:t>债务重组</w:t>
      </w:r>
    </w:p>
    <w:sdt>
      <w:sdtPr>
        <w:rPr>
          <w:color w:val="000000" w:themeColor="text1"/>
        </w:rPr>
        <w:alias w:val="是否适用：重要债务重组[双击切换]"/>
        <w:tag w:val="_GBC_14f62373def24b6b994f6cfe645fabcb"/>
        <w:id w:val="-356115691"/>
        <w:placeholder>
          <w:docPart w:val="GBC22222222222222222222222222222"/>
        </w:placeholder>
      </w:sdtPr>
      <w:sdtEndPr/>
      <w:sdtContent>
        <w:p w:rsidR="000C5659" w:rsidRDefault="000E33C4">
          <w:pPr>
            <w:rPr>
              <w:rFonts w:asciiTheme="minorHAnsi" w:eastAsiaTheme="minorEastAsia" w:hAnsiTheme="minorHAnsi" w:cstheme="minorBidi"/>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spacing w:line="360" w:lineRule="exact"/>
        <w:ind w:right="5"/>
        <w:rPr>
          <w:rFonts w:asciiTheme="minorHAnsi" w:eastAsiaTheme="minorEastAsia" w:hAnsiTheme="minorHAnsi" w:cstheme="minorBidi"/>
          <w:color w:val="000000" w:themeColor="text1"/>
        </w:rPr>
      </w:pPr>
    </w:p>
    <w:bookmarkEnd w:id="388"/>
    <w:p w:rsidR="000C5659" w:rsidRDefault="000C5659">
      <w:pPr>
        <w:rPr>
          <w:color w:val="000000" w:themeColor="text1"/>
        </w:rPr>
      </w:pPr>
    </w:p>
    <w:p w:rsidR="000C5659" w:rsidRDefault="000E33C4" w:rsidP="000743DD">
      <w:pPr>
        <w:pStyle w:val="Style163"/>
        <w:numPr>
          <w:ilvl w:val="0"/>
          <w:numId w:val="113"/>
        </w:numPr>
        <w:rPr>
          <w:rFonts w:ascii="宋体" w:hAnsi="宋体"/>
          <w:color w:val="000000" w:themeColor="text1"/>
        </w:rPr>
      </w:pPr>
      <w:r>
        <w:rPr>
          <w:rFonts w:ascii="宋体" w:hAnsi="宋体" w:hint="eastAsia"/>
          <w:color w:val="000000" w:themeColor="text1"/>
        </w:rPr>
        <w:t>资产置换</w:t>
      </w:r>
    </w:p>
    <w:p w:rsidR="000C5659" w:rsidRDefault="000E33C4" w:rsidP="000743DD">
      <w:pPr>
        <w:pStyle w:val="Style165"/>
        <w:numPr>
          <w:ilvl w:val="0"/>
          <w:numId w:val="115"/>
        </w:numPr>
        <w:tabs>
          <w:tab w:val="left" w:pos="644"/>
        </w:tabs>
        <w:rPr>
          <w:rFonts w:ascii="宋体" w:hAnsi="宋体"/>
          <w:color w:val="000000" w:themeColor="text1"/>
        </w:rPr>
      </w:pPr>
      <w:bookmarkStart w:id="389" w:name="_Toc161412438"/>
      <w:bookmarkStart w:id="390" w:name="_Toc241636517"/>
      <w:r>
        <w:rPr>
          <w:rFonts w:ascii="宋体" w:hAnsi="宋体" w:hint="eastAsia"/>
          <w:color w:val="000000" w:themeColor="text1"/>
        </w:rPr>
        <w:t>非货币性资产交换</w:t>
      </w:r>
      <w:bookmarkEnd w:id="389"/>
      <w:bookmarkEnd w:id="390"/>
    </w:p>
    <w:sdt>
      <w:sdtPr>
        <w:rPr>
          <w:color w:val="000000" w:themeColor="text1"/>
        </w:rPr>
        <w:alias w:val="是否适用：非货币性资产交换[双击切换]"/>
        <w:tag w:val="_GBC_1e8378570c9a4db08ad001118944af2e"/>
        <w:id w:val="127120571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0"/>
          <w:numId w:val="115"/>
        </w:numPr>
        <w:tabs>
          <w:tab w:val="left" w:pos="644"/>
        </w:tabs>
        <w:rPr>
          <w:rFonts w:ascii="宋体" w:hAnsi="宋体"/>
          <w:color w:val="000000" w:themeColor="text1"/>
        </w:rPr>
      </w:pPr>
      <w:r>
        <w:rPr>
          <w:rFonts w:ascii="宋体" w:hAnsi="宋体" w:hint="eastAsia"/>
          <w:color w:val="000000" w:themeColor="text1"/>
        </w:rPr>
        <w:t>其他资产置换</w:t>
      </w:r>
    </w:p>
    <w:sdt>
      <w:sdtPr>
        <w:rPr>
          <w:color w:val="000000" w:themeColor="text1"/>
        </w:rPr>
        <w:alias w:val="是否适用：其他资产置换[双击切换]"/>
        <w:tag w:val="_GBC_e20be5fc12b94f43a4090c14cc3aec63"/>
        <w:id w:val="3130020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3"/>
        </w:numPr>
        <w:rPr>
          <w:rFonts w:ascii="宋体" w:hAnsi="宋体"/>
          <w:color w:val="000000" w:themeColor="text1"/>
        </w:rPr>
      </w:pPr>
      <w:bookmarkStart w:id="391" w:name="_Toc247371936"/>
      <w:r>
        <w:rPr>
          <w:rFonts w:ascii="宋体" w:hAnsi="宋体" w:hint="eastAsia"/>
          <w:color w:val="000000" w:themeColor="text1"/>
        </w:rPr>
        <w:t>年金计划</w:t>
      </w:r>
      <w:bookmarkEnd w:id="391"/>
    </w:p>
    <w:sdt>
      <w:sdtPr>
        <w:rPr>
          <w:color w:val="000000" w:themeColor="text1"/>
        </w:rPr>
        <w:alias w:val="是否适用：年金计划[双击切换]"/>
        <w:tag w:val="_GBC_f69a163f78f74a54a6443aaa7388f0dd"/>
        <w:id w:val="1121585463"/>
        <w:placeholder>
          <w:docPart w:val="GBC22222222222222222222222222222"/>
        </w:placeholder>
      </w:sdtPr>
      <w:sdtEndPr/>
      <w:sdtContent>
        <w:p w:rsidR="000C5659" w:rsidRDefault="000E33C4">
          <w:pPr>
            <w:rPr>
              <w:rFonts w:cstheme="minorBidi"/>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3"/>
        </w:numPr>
        <w:rPr>
          <w:rFonts w:ascii="宋体" w:hAnsi="宋体"/>
          <w:color w:val="000000" w:themeColor="text1"/>
          <w:szCs w:val="21"/>
        </w:rPr>
      </w:pPr>
      <w:r>
        <w:rPr>
          <w:rFonts w:ascii="宋体" w:hAnsi="宋体" w:hint="eastAsia"/>
          <w:color w:val="000000" w:themeColor="text1"/>
          <w:szCs w:val="21"/>
        </w:rPr>
        <w:t>终止经营</w:t>
      </w:r>
    </w:p>
    <w:sdt>
      <w:sdtPr>
        <w:rPr>
          <w:color w:val="000000" w:themeColor="text1"/>
        </w:rPr>
        <w:alias w:val="是否适用：终止经营[双击切换]"/>
        <w:tag w:val="_GBC_8e88002e405543f593111633f63e4d8b"/>
        <w:id w:val="-1049296158"/>
        <w:placeholder>
          <w:docPart w:val="GBC22222222222222222222222222222"/>
        </w:placeholder>
      </w:sdtPr>
      <w:sdtEndPr/>
      <w:sdtContent>
        <w:p w:rsidR="000C5659" w:rsidRDefault="000E33C4">
          <w:pPr>
            <w:rPr>
              <w:rFonts w:cstheme="minorBidi"/>
              <w:color w:val="000000" w:themeColor="text1"/>
              <w:kern w:val="2"/>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rFonts w:cstheme="minorBidi"/>
          <w:color w:val="000000" w:themeColor="text1"/>
          <w:kern w:val="2"/>
        </w:rPr>
      </w:pPr>
    </w:p>
    <w:p w:rsidR="000C5659" w:rsidRDefault="000C5659">
      <w:pPr>
        <w:rPr>
          <w:color w:val="000000" w:themeColor="text1"/>
        </w:rPr>
      </w:pPr>
    </w:p>
    <w:p w:rsidR="000C5659" w:rsidRDefault="000E33C4" w:rsidP="000743DD">
      <w:pPr>
        <w:pStyle w:val="Style163"/>
        <w:numPr>
          <w:ilvl w:val="0"/>
          <w:numId w:val="113"/>
        </w:numPr>
        <w:rPr>
          <w:rFonts w:ascii="宋体" w:hAnsi="宋体"/>
          <w:color w:val="000000" w:themeColor="text1"/>
          <w:szCs w:val="21"/>
        </w:rPr>
      </w:pPr>
      <w:r>
        <w:rPr>
          <w:rFonts w:ascii="宋体" w:hAnsi="宋体" w:hint="eastAsia"/>
          <w:color w:val="000000" w:themeColor="text1"/>
          <w:szCs w:val="21"/>
        </w:rPr>
        <w:t>分部信息</w:t>
      </w:r>
    </w:p>
    <w:p w:rsidR="000C5659" w:rsidRDefault="000E33C4" w:rsidP="000743DD">
      <w:pPr>
        <w:pStyle w:val="Style165"/>
        <w:numPr>
          <w:ilvl w:val="1"/>
          <w:numId w:val="116"/>
        </w:numPr>
        <w:tabs>
          <w:tab w:val="left" w:pos="644"/>
        </w:tabs>
        <w:ind w:left="420"/>
        <w:rPr>
          <w:rFonts w:ascii="宋体" w:hAnsi="宋体"/>
          <w:color w:val="000000" w:themeColor="text1"/>
          <w:szCs w:val="21"/>
        </w:rPr>
      </w:pPr>
      <w:r>
        <w:rPr>
          <w:rFonts w:ascii="宋体" w:hAnsi="宋体" w:hint="eastAsia"/>
          <w:color w:val="000000" w:themeColor="text1"/>
          <w:szCs w:val="21"/>
        </w:rPr>
        <w:t>报告分部的确定依据与会计政策</w:t>
      </w:r>
    </w:p>
    <w:sdt>
      <w:sdtPr>
        <w:rPr>
          <w:color w:val="000000" w:themeColor="text1"/>
        </w:rPr>
        <w:alias w:val="是否适用：报告分部的确定依据与会计政策[双击切换]"/>
        <w:tag w:val="_GBC_3684a11ce06644529eba619783a75583"/>
        <w:id w:val="-56218120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报告分部的确定依据与会计政策"/>
        <w:tag w:val="_GBC_025e15951a494fa2845d296cf8db1fdb"/>
        <w:id w:val="914366994"/>
        <w:placeholder>
          <w:docPart w:val="GBC22222222222222222222222222222"/>
        </w:placeholder>
      </w:sdtPr>
      <w:sdtEndPr/>
      <w:sdtContent>
        <w:p w:rsidR="000C5659" w:rsidRDefault="000E33C4">
          <w:pPr>
            <w:rPr>
              <w:color w:val="000000" w:themeColor="text1"/>
            </w:rPr>
          </w:pPr>
          <w:r>
            <w:rPr>
              <w:rFonts w:hint="eastAsia"/>
            </w:rPr>
            <w:t>本公司以行业和业务为基础确定报告分部</w:t>
          </w:r>
        </w:p>
      </w:sdtContent>
    </w:sdt>
    <w:p w:rsidR="000C5659" w:rsidRDefault="000C5659">
      <w:pPr>
        <w:rPr>
          <w:color w:val="000000" w:themeColor="text1"/>
        </w:rPr>
      </w:pPr>
    </w:p>
    <w:p w:rsidR="000C5659" w:rsidRDefault="000E33C4" w:rsidP="000743DD">
      <w:pPr>
        <w:pStyle w:val="Style165"/>
        <w:numPr>
          <w:ilvl w:val="1"/>
          <w:numId w:val="116"/>
        </w:numPr>
        <w:tabs>
          <w:tab w:val="left" w:pos="644"/>
        </w:tabs>
        <w:ind w:left="420"/>
        <w:rPr>
          <w:rFonts w:ascii="宋体" w:hAnsi="宋体"/>
          <w:color w:val="000000" w:themeColor="text1"/>
        </w:rPr>
      </w:pPr>
      <w:r>
        <w:rPr>
          <w:rFonts w:ascii="宋体" w:hAnsi="宋体" w:hint="eastAsia"/>
          <w:color w:val="000000" w:themeColor="text1"/>
        </w:rPr>
        <w:t>报告分部的财务信息</w:t>
      </w:r>
    </w:p>
    <w:sdt>
      <w:sdtPr>
        <w:rPr>
          <w:color w:val="000000" w:themeColor="text1"/>
        </w:rPr>
        <w:alias w:val="是否适用：报告分部的财务信息[双击切换]"/>
        <w:tag w:val="_GBC_25e6ee3686524d959ae273bb5aaa9cfb"/>
        <w:id w:val="15307586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268"/>
        <w:wordWrap w:val="0"/>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报告分部的财务信息"/>
          <w:tag w:val="_GBC_bed196c2a65649e69e8eda77c9168933"/>
          <w:id w:val="11355226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报告分部的财务信息"/>
          <w:tag w:val="_GBC_22cbe62652b3461e90f84a6c3cef03c1"/>
          <w:id w:val="2106002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658"/>
        <w:gridCol w:w="1520"/>
        <w:gridCol w:w="1383"/>
        <w:gridCol w:w="1031"/>
        <w:gridCol w:w="1882"/>
      </w:tblGrid>
      <w:tr w:rsidR="000C5659" w:rsidTr="008E2649">
        <w:tc>
          <w:tcPr>
            <w:tcW w:w="1349" w:type="dxa"/>
            <w:tcBorders>
              <w:top w:val="single" w:sz="4" w:space="0" w:color="auto"/>
              <w:left w:val="single" w:sz="4" w:space="0" w:color="auto"/>
              <w:bottom w:val="single" w:sz="4" w:space="0" w:color="auto"/>
              <w:right w:val="single" w:sz="4" w:space="0" w:color="auto"/>
            </w:tcBorders>
            <w:shd w:val="clear" w:color="auto" w:fill="auto"/>
          </w:tcPr>
          <w:sdt>
            <w:sdtPr>
              <w:rPr>
                <w:color w:val="000000" w:themeColor="text1"/>
              </w:rPr>
              <w:tag w:val="_PLD_2124bd1595e9432ab250a15c084078c3"/>
              <w:id w:val="1135685953"/>
            </w:sdtPr>
            <w:sdtEndPr/>
            <w:sdtContent>
              <w:p w:rsidR="000C5659" w:rsidRDefault="000E33C4">
                <w:pPr>
                  <w:jc w:val="center"/>
                  <w:rPr>
                    <w:color w:val="000000" w:themeColor="text1"/>
                  </w:rPr>
                </w:pPr>
                <w:r>
                  <w:rPr>
                    <w:rFonts w:hint="eastAsia"/>
                    <w:color w:val="000000" w:themeColor="text1"/>
                  </w:rPr>
                  <w:t>项目</w:t>
                </w:r>
              </w:p>
            </w:sdtContent>
          </w:sdt>
          <w:p w:rsidR="000C5659" w:rsidRDefault="000C5659">
            <w:pPr>
              <w:jc w:val="center"/>
              <w:rPr>
                <w:color w:val="000000" w:themeColor="text1"/>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sdt>
            <w:sdtPr>
              <w:rPr>
                <w:color w:val="000000" w:themeColor="text1"/>
              </w:rPr>
              <w:alias w:val="分部报告科目名称"/>
              <w:tag w:val="_GBC_24843a4914494260b42de1b13e529c2d"/>
              <w:id w:val="-765065358"/>
            </w:sdtPr>
            <w:sdtEndPr/>
            <w:sdtContent>
              <w:p w:rsidR="000C5659" w:rsidRDefault="000E33C4">
                <w:pPr>
                  <w:jc w:val="center"/>
                  <w:rPr>
                    <w:color w:val="000000" w:themeColor="text1"/>
                  </w:rPr>
                </w:pPr>
                <w:r>
                  <w:rPr>
                    <w:rFonts w:hint="eastAsia"/>
                    <w:color w:val="000000" w:themeColor="text1"/>
                  </w:rPr>
                  <w:t>日用品业务</w:t>
                </w:r>
              </w:p>
            </w:sdtContent>
          </w:sdt>
          <w:p w:rsidR="000C5659" w:rsidRDefault="000C5659">
            <w:pPr>
              <w:jc w:val="center"/>
              <w:rPr>
                <w:color w:val="000000" w:themeColor="text1"/>
              </w:rPr>
            </w:pP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益生菌业务</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center"/>
              <w:rPr>
                <w:color w:val="000000" w:themeColor="text1"/>
              </w:rPr>
            </w:pPr>
            <w:r>
              <w:rPr>
                <w:rFonts w:hint="eastAsia"/>
                <w:color w:val="000000" w:themeColor="text1"/>
              </w:rPr>
              <w:t>投资业务</w:t>
            </w:r>
          </w:p>
        </w:tc>
        <w:tc>
          <w:tcPr>
            <w:tcW w:w="1031" w:type="dxa"/>
            <w:tcBorders>
              <w:top w:val="single" w:sz="4" w:space="0" w:color="auto"/>
              <w:left w:val="single" w:sz="4" w:space="0" w:color="auto"/>
              <w:bottom w:val="single" w:sz="4" w:space="0" w:color="auto"/>
              <w:right w:val="single" w:sz="4" w:space="0" w:color="auto"/>
            </w:tcBorders>
            <w:shd w:val="clear" w:color="auto" w:fill="auto"/>
          </w:tcPr>
          <w:sdt>
            <w:sdtPr>
              <w:rPr>
                <w:color w:val="000000" w:themeColor="text1"/>
              </w:rPr>
              <w:tag w:val="_PLD_bbb5338509514804b5ec1d4ec145b14b"/>
              <w:id w:val="-475607754"/>
            </w:sdtPr>
            <w:sdtEndPr/>
            <w:sdtContent>
              <w:p w:rsidR="000C5659" w:rsidRDefault="000E33C4">
                <w:pPr>
                  <w:jc w:val="center"/>
                  <w:rPr>
                    <w:color w:val="000000" w:themeColor="text1"/>
                  </w:rPr>
                </w:pPr>
                <w:r>
                  <w:rPr>
                    <w:rFonts w:hint="eastAsia"/>
                    <w:color w:val="000000" w:themeColor="text1"/>
                  </w:rPr>
                  <w:t>分部间抵销</w:t>
                </w:r>
              </w:p>
            </w:sdtContent>
          </w:sdt>
          <w:p w:rsidR="000C5659" w:rsidRDefault="000C5659">
            <w:pPr>
              <w:jc w:val="center"/>
              <w:rPr>
                <w:color w:val="000000" w:themeColor="text1"/>
              </w:rPr>
            </w:pPr>
          </w:p>
        </w:tc>
        <w:tc>
          <w:tcPr>
            <w:tcW w:w="1882" w:type="dxa"/>
            <w:tcBorders>
              <w:top w:val="single" w:sz="4" w:space="0" w:color="auto"/>
              <w:left w:val="single" w:sz="4" w:space="0" w:color="auto"/>
              <w:bottom w:val="single" w:sz="4" w:space="0" w:color="auto"/>
              <w:right w:val="single" w:sz="4" w:space="0" w:color="auto"/>
            </w:tcBorders>
            <w:shd w:val="clear" w:color="auto" w:fill="auto"/>
          </w:tcPr>
          <w:sdt>
            <w:sdtPr>
              <w:rPr>
                <w:color w:val="000000" w:themeColor="text1"/>
              </w:rPr>
              <w:tag w:val="_PLD_fa3be9e49ff54f5f94b69f487029a441"/>
              <w:id w:val="42180669"/>
            </w:sdtPr>
            <w:sdtEndPr/>
            <w:sdtContent>
              <w:p w:rsidR="000C5659" w:rsidRDefault="000E33C4">
                <w:pPr>
                  <w:jc w:val="center"/>
                  <w:rPr>
                    <w:color w:val="000000" w:themeColor="text1"/>
                  </w:rPr>
                </w:pPr>
                <w:r>
                  <w:rPr>
                    <w:rFonts w:hint="eastAsia"/>
                    <w:color w:val="000000" w:themeColor="text1"/>
                  </w:rPr>
                  <w:t>合计</w:t>
                </w:r>
              </w:p>
            </w:sdtContent>
          </w:sdt>
          <w:p w:rsidR="000C5659" w:rsidRDefault="000C5659">
            <w:pPr>
              <w:jc w:val="center"/>
              <w:rPr>
                <w:color w:val="000000" w:themeColor="text1"/>
              </w:rPr>
            </w:pPr>
          </w:p>
        </w:tc>
      </w:tr>
      <w:tr w:rsidR="000C5659" w:rsidTr="008E2649">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color w:val="000000"/>
              </w:rPr>
            </w:pPr>
            <w:r>
              <w:rPr>
                <w:rFonts w:hint="eastAsia"/>
                <w:color w:val="000000"/>
              </w:rPr>
              <w:t>营业收入</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604,980,013.85</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15,180,508.97</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620,160,522.82</w:t>
            </w:r>
          </w:p>
        </w:tc>
      </w:tr>
      <w:tr w:rsidR="000C5659" w:rsidTr="008E2649">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color w:val="000000"/>
              </w:rPr>
            </w:pPr>
            <w:r>
              <w:rPr>
                <w:rFonts w:hint="eastAsia"/>
                <w:color w:val="000000"/>
              </w:rPr>
              <w:t>营业成本</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451,346,706.64</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12,102,226.24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463,448,932.88</w:t>
            </w:r>
          </w:p>
        </w:tc>
      </w:tr>
      <w:tr w:rsidR="000C5659" w:rsidTr="008E2649">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color w:val="000000"/>
              </w:rPr>
            </w:pPr>
            <w:r>
              <w:rPr>
                <w:rFonts w:hint="eastAsia"/>
                <w:color w:val="000000"/>
              </w:rPr>
              <w:t>投资收益</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-15,122,993.10</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-15,122,993.10</w:t>
            </w:r>
          </w:p>
        </w:tc>
      </w:tr>
      <w:tr w:rsidR="000C5659" w:rsidTr="008E2649">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color w:val="000000"/>
              </w:rPr>
            </w:pPr>
            <w:r>
              <w:rPr>
                <w:rFonts w:hint="eastAsia"/>
                <w:color w:val="000000"/>
              </w:rPr>
              <w:t>资产总额</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1,003,208,840.64</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228,732,636.97</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1,033,732,735.20</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2,265,674,212.81</w:t>
            </w:r>
          </w:p>
        </w:tc>
      </w:tr>
      <w:tr w:rsidR="000C5659" w:rsidTr="008E2649">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rPr>
                <w:color w:val="000000"/>
              </w:rPr>
            </w:pPr>
            <w:r>
              <w:rPr>
                <w:rFonts w:hint="eastAsia"/>
                <w:color w:val="000000"/>
              </w:rPr>
              <w:t>负债总额</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762,088,092.78</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51,646,023.86</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272,222,300.99</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C5659">
            <w:pPr>
              <w:jc w:val="right"/>
              <w:rPr>
                <w:color w:val="000000"/>
                <w:sz w:val="18"/>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C5659" w:rsidRPr="008E2649" w:rsidRDefault="000E33C4">
            <w:pPr>
              <w:jc w:val="right"/>
              <w:textAlignment w:val="center"/>
              <w:rPr>
                <w:color w:val="000000"/>
                <w:sz w:val="18"/>
              </w:rPr>
            </w:pPr>
            <w:r w:rsidRPr="008E2649">
              <w:rPr>
                <w:rFonts w:hint="eastAsia"/>
                <w:color w:val="000000"/>
                <w:sz w:val="18"/>
                <w:lang w:bidi="ar"/>
              </w:rPr>
              <w:t>1,085,956,417.63</w:t>
            </w:r>
          </w:p>
        </w:tc>
      </w:tr>
    </w:tbl>
    <w:p w:rsidR="000C5659" w:rsidRDefault="000C5659">
      <w:pPr>
        <w:rPr>
          <w:color w:val="000000" w:themeColor="text1"/>
        </w:rPr>
      </w:pPr>
    </w:p>
    <w:p w:rsidR="000C5659" w:rsidRDefault="000E33C4" w:rsidP="000743DD">
      <w:pPr>
        <w:pStyle w:val="Style165"/>
        <w:numPr>
          <w:ilvl w:val="1"/>
          <w:numId w:val="116"/>
        </w:numPr>
        <w:tabs>
          <w:tab w:val="left" w:pos="644"/>
        </w:tabs>
        <w:ind w:left="420"/>
        <w:rPr>
          <w:rFonts w:ascii="宋体" w:hAnsi="宋体"/>
          <w:color w:val="000000" w:themeColor="text1"/>
          <w:szCs w:val="21"/>
        </w:rPr>
      </w:pPr>
      <w:r>
        <w:rPr>
          <w:rFonts w:ascii="宋体" w:hAnsi="宋体"/>
          <w:color w:val="000000" w:themeColor="text1"/>
          <w:szCs w:val="21"/>
        </w:rPr>
        <w:t>公司无报告分部的，或者不能披露各报告分部的资产总额和负债总额的，应说明原因</w:t>
      </w:r>
    </w:p>
    <w:sdt>
      <w:sdtPr>
        <w:rPr>
          <w:rFonts w:hint="eastAsia"/>
          <w:color w:val="000000" w:themeColor="text1"/>
        </w:rPr>
        <w:alias w:val="是否适用：公司无报告分部的，或者不能披露各报告分部的资产总额和负债总额的，应说明原因[双击切换]"/>
        <w:tag w:val="_GBC_de327191b263431db97d3ba75838aba8"/>
        <w:id w:val="-175411143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5"/>
        <w:numPr>
          <w:ilvl w:val="1"/>
          <w:numId w:val="116"/>
        </w:numPr>
        <w:tabs>
          <w:tab w:val="left" w:pos="644"/>
        </w:tabs>
        <w:ind w:left="420"/>
        <w:rPr>
          <w:rFonts w:ascii="宋体" w:hAnsi="宋体"/>
          <w:color w:val="000000" w:themeColor="text1"/>
          <w:szCs w:val="21"/>
        </w:rPr>
      </w:pPr>
      <w:r>
        <w:rPr>
          <w:rFonts w:ascii="宋体" w:hAnsi="宋体" w:hint="eastAsia"/>
          <w:color w:val="000000" w:themeColor="text1"/>
          <w:szCs w:val="21"/>
        </w:rPr>
        <w:t>其他</w:t>
      </w:r>
      <w:r>
        <w:rPr>
          <w:rFonts w:ascii="宋体" w:hAnsi="宋体" w:hint="eastAsia"/>
          <w:color w:val="000000" w:themeColor="text1"/>
        </w:rPr>
        <w:t>说明</w:t>
      </w:r>
    </w:p>
    <w:sdt>
      <w:sdtPr>
        <w:rPr>
          <w:color w:val="000000" w:themeColor="text1"/>
        </w:rPr>
        <w:alias w:val="是否适用：分部信息的其他说明[双击切换]"/>
        <w:tag w:val="_GBC_d4186588d0fd49e5b2642a9422c2353f"/>
        <w:id w:val="-91023504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3"/>
        </w:numPr>
        <w:rPr>
          <w:rFonts w:ascii="宋体" w:hAnsi="宋体" w:cs="宋体"/>
          <w:bCs w:val="0"/>
          <w:color w:val="000000" w:themeColor="text1"/>
          <w:kern w:val="0"/>
          <w:szCs w:val="21"/>
        </w:rPr>
      </w:pPr>
      <w:bookmarkStart w:id="392" w:name="_Toc241636520"/>
      <w:bookmarkEnd w:id="392"/>
      <w:r>
        <w:rPr>
          <w:rFonts w:ascii="宋体" w:hAnsi="宋体" w:cs="宋体" w:hint="eastAsia"/>
          <w:color w:val="000000" w:themeColor="text1"/>
          <w:kern w:val="0"/>
          <w:szCs w:val="21"/>
        </w:rPr>
        <w:t>其他对投资者决策有影响的重要交易和事项</w:t>
      </w:r>
    </w:p>
    <w:sdt>
      <w:sdtPr>
        <w:rPr>
          <w:color w:val="000000" w:themeColor="text1"/>
        </w:rPr>
        <w:alias w:val="是否适用：其他对投资者决策有影响的重要交易和事项[双击切换]"/>
        <w:tag w:val="_GBC_6bb0ea1e73f644b99b2bccc9d2ea19e9"/>
        <w:id w:val="55567043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63"/>
        <w:numPr>
          <w:ilvl w:val="0"/>
          <w:numId w:val="113"/>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其他重要事项的说明[双击切换]"/>
        <w:tag w:val="_GBC_518cb9b615c44ff597f57c3bba95c7fa"/>
        <w:id w:val="4203597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lastRenderedPageBreak/>
        <w:t>母公司财务报表主要项目注释</w:t>
      </w:r>
    </w:p>
    <w:p w:rsidR="000C5659" w:rsidRDefault="000E33C4" w:rsidP="000743DD">
      <w:pPr>
        <w:pStyle w:val="35"/>
        <w:numPr>
          <w:ilvl w:val="0"/>
          <w:numId w:val="117"/>
        </w:numPr>
        <w:rPr>
          <w:rFonts w:ascii="宋体" w:hAnsi="宋体"/>
          <w:color w:val="000000" w:themeColor="text1"/>
          <w:szCs w:val="21"/>
        </w:rPr>
      </w:pPr>
      <w:r>
        <w:rPr>
          <w:rFonts w:ascii="宋体" w:hAnsi="宋体" w:hint="eastAsia"/>
          <w:color w:val="000000" w:themeColor="text1"/>
          <w:szCs w:val="21"/>
        </w:rPr>
        <w:t>应收账款</w:t>
      </w:r>
    </w:p>
    <w:p w:rsidR="000C5659" w:rsidRDefault="000E33C4" w:rsidP="000743DD">
      <w:pPr>
        <w:pStyle w:val="43"/>
        <w:numPr>
          <w:ilvl w:val="3"/>
          <w:numId w:val="118"/>
        </w:numPr>
        <w:ind w:left="426" w:hangingChars="202" w:hanging="426"/>
        <w:rPr>
          <w:color w:val="000000" w:themeColor="text1"/>
        </w:rPr>
      </w:pPr>
      <w:bookmarkStart w:id="393" w:name="_Hlk167980323"/>
      <w:bookmarkStart w:id="394" w:name="_Hlk533796665"/>
      <w:r>
        <w:rPr>
          <w:rFonts w:hint="eastAsia"/>
          <w:color w:val="000000" w:themeColor="text1"/>
        </w:rPr>
        <w:t>按账龄披露</w:t>
      </w:r>
    </w:p>
    <w:sdt>
      <w:sdtPr>
        <w:rPr>
          <w:color w:val="000000" w:themeColor="text1"/>
        </w:rPr>
        <w:alias w:val="是否适用：母公司应收账款按账龄披露[双击切换]"/>
        <w:tag w:val="_GBC_801584c2698f4c75b9eab05c08a26afd"/>
        <w:id w:val="-54698987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母公司应收账款按账龄披露"/>
          <w:tag w:val="_GBC_308a90728c1f4859ad3f446cb4ef9717"/>
          <w:id w:val="-787508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应收账款按账龄披露"/>
          <w:tag w:val="_GBC_777a884d0a3b4955b2e9309a1049a937"/>
          <w:id w:val="-11321692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973"/>
        <w:gridCol w:w="2979"/>
      </w:tblGrid>
      <w:tr w:rsidR="000C5659">
        <w:trPr>
          <w:cantSplit/>
        </w:trPr>
        <w:sdt>
          <w:sdtPr>
            <w:rPr>
              <w:color w:val="000000" w:themeColor="text1"/>
            </w:rPr>
            <w:tag w:val="_PLD_cce686fc6c1f4a00a0687060595ff873"/>
            <w:id w:val="-1924100506"/>
          </w:sdtPr>
          <w:sdtEndPr/>
          <w:sdtContent>
            <w:tc>
              <w:tcPr>
                <w:tcW w:w="1627"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账龄</w:t>
                </w:r>
              </w:p>
            </w:tc>
          </w:sdtContent>
        </w:sdt>
        <w:sdt>
          <w:sdtPr>
            <w:rPr>
              <w:color w:val="000000" w:themeColor="text1"/>
            </w:rPr>
            <w:tag w:val="_PLD_9fa8767136b3432ba1d3bea327b3af33"/>
            <w:id w:val="1001784046"/>
          </w:sdtPr>
          <w:sdtEndPr/>
          <w:sdtContent>
            <w:tc>
              <w:tcPr>
                <w:tcW w:w="1685"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期末账面余额</w:t>
                </w:r>
              </w:p>
            </w:tc>
          </w:sdtContent>
        </w:sdt>
        <w:sdt>
          <w:sdtPr>
            <w:rPr>
              <w:rFonts w:hint="eastAsia"/>
              <w:color w:val="000000" w:themeColor="text1"/>
            </w:rPr>
            <w:tag w:val="_PLD_4053bba84d8a45f8a51648bc15113d5d"/>
            <w:id w:val="-1325274703"/>
          </w:sdtPr>
          <w:sdtEndPr/>
          <w:sdtContent>
            <w:tc>
              <w:tcPr>
                <w:tcW w:w="1686"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期初账面余额</w:t>
                </w:r>
              </w:p>
            </w:tc>
          </w:sdtContent>
        </w:sdt>
      </w:tr>
      <w:tr w:rsidR="000C5659">
        <w:trPr>
          <w:cantSplit/>
        </w:trPr>
        <w:sdt>
          <w:sdtPr>
            <w:rPr>
              <w:color w:val="000000" w:themeColor="text1"/>
            </w:rPr>
            <w:tag w:val="_PLD_4114a0654a6a488abf020e15edd74380"/>
            <w:id w:val="-2021771403"/>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1年以内</w:t>
                </w:r>
              </w:p>
            </w:tc>
          </w:sdtContent>
        </w:sdt>
      </w:tr>
      <w:tr w:rsidR="000C5659">
        <w:trPr>
          <w:cantSplit/>
        </w:trPr>
        <w:sdt>
          <w:sdtPr>
            <w:rPr>
              <w:color w:val="000000" w:themeColor="text1"/>
            </w:rPr>
            <w:tag w:val="_PLD_5ad6691a38c74e09b4f2ffc472a1655b"/>
            <w:id w:val="-621606340"/>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其中：1年以内分项</w:t>
                </w:r>
              </w:p>
            </w:tc>
          </w:sdtContent>
        </w:sdt>
      </w:tr>
      <w:tr w:rsidR="000C5659">
        <w:trPr>
          <w:cantSplit/>
        </w:trPr>
        <w:tc>
          <w:tcPr>
            <w:tcW w:w="1627" w:type="pct"/>
            <w:tcBorders>
              <w:top w:val="single" w:sz="4" w:space="0" w:color="auto"/>
              <w:left w:val="single" w:sz="4" w:space="0" w:color="auto"/>
              <w:bottom w:val="single" w:sz="4" w:space="0" w:color="auto"/>
              <w:right w:val="single" w:sz="4" w:space="0" w:color="auto"/>
            </w:tcBorders>
          </w:tcPr>
          <w:p w:rsidR="000C5659" w:rsidRDefault="000C5659">
            <w:pPr>
              <w:pStyle w:val="Style325"/>
            </w:pP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149,404,906.37</w:t>
            </w:r>
          </w:p>
        </w:tc>
        <w:tc>
          <w:tcPr>
            <w:tcW w:w="1686" w:type="pct"/>
            <w:tcBorders>
              <w:top w:val="single" w:sz="4" w:space="0" w:color="auto"/>
              <w:left w:val="single" w:sz="4" w:space="0" w:color="auto"/>
              <w:bottom w:val="single" w:sz="4" w:space="0" w:color="auto"/>
              <w:right w:val="single" w:sz="4" w:space="0" w:color="auto"/>
            </w:tcBorders>
          </w:tcPr>
          <w:p w:rsidR="000C5659" w:rsidRDefault="000E33C4">
            <w:pPr>
              <w:jc w:val="right"/>
            </w:pPr>
            <w:r>
              <w:t>131,315,024.49</w:t>
            </w:r>
          </w:p>
        </w:tc>
      </w:tr>
      <w:tr w:rsidR="000C5659">
        <w:trPr>
          <w:cantSplit/>
        </w:trPr>
        <w:tc>
          <w:tcPr>
            <w:tcW w:w="1627" w:type="pct"/>
            <w:tcBorders>
              <w:top w:val="single" w:sz="4" w:space="0" w:color="auto"/>
              <w:left w:val="single" w:sz="4" w:space="0" w:color="auto"/>
              <w:bottom w:val="single" w:sz="4" w:space="0" w:color="auto"/>
              <w:right w:val="single" w:sz="4" w:space="0" w:color="auto"/>
            </w:tcBorders>
          </w:tcPr>
          <w:p w:rsidR="000C5659" w:rsidRDefault="000C5659">
            <w:pPr>
              <w:pStyle w:val="Style325"/>
            </w:pPr>
          </w:p>
        </w:tc>
        <w:tc>
          <w:tcPr>
            <w:tcW w:w="1685"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1686"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rPr>
          <w:cantSplit/>
        </w:trPr>
        <w:tc>
          <w:tcPr>
            <w:tcW w:w="1627"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1年以内小计</w:t>
            </w: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149,404,906.37</w:t>
            </w:r>
          </w:p>
        </w:tc>
        <w:tc>
          <w:tcPr>
            <w:tcW w:w="1686" w:type="pct"/>
            <w:tcBorders>
              <w:top w:val="single" w:sz="4" w:space="0" w:color="auto"/>
              <w:left w:val="single" w:sz="4" w:space="0" w:color="auto"/>
              <w:bottom w:val="single" w:sz="4" w:space="0" w:color="auto"/>
              <w:right w:val="single" w:sz="4" w:space="0" w:color="auto"/>
            </w:tcBorders>
          </w:tcPr>
          <w:p w:rsidR="000C5659" w:rsidRDefault="000E33C4">
            <w:pPr>
              <w:jc w:val="right"/>
            </w:pPr>
            <w:r>
              <w:t>131,315,024.49</w:t>
            </w:r>
          </w:p>
        </w:tc>
      </w:tr>
      <w:tr w:rsidR="000C5659">
        <w:trPr>
          <w:cantSplit/>
        </w:trPr>
        <w:tc>
          <w:tcPr>
            <w:tcW w:w="1627"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1至2年</w:t>
            </w: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2,023,681.07</w:t>
            </w:r>
          </w:p>
        </w:tc>
        <w:tc>
          <w:tcPr>
            <w:tcW w:w="1686" w:type="pct"/>
            <w:tcBorders>
              <w:top w:val="single" w:sz="4" w:space="0" w:color="auto"/>
              <w:left w:val="single" w:sz="4" w:space="0" w:color="auto"/>
              <w:bottom w:val="single" w:sz="4" w:space="0" w:color="auto"/>
              <w:right w:val="single" w:sz="4" w:space="0" w:color="auto"/>
            </w:tcBorders>
          </w:tcPr>
          <w:p w:rsidR="000C5659" w:rsidRDefault="000E33C4">
            <w:pPr>
              <w:jc w:val="right"/>
            </w:pPr>
            <w:r>
              <w:t>488,860.83</w:t>
            </w:r>
          </w:p>
        </w:tc>
      </w:tr>
      <w:tr w:rsidR="000C5659">
        <w:trPr>
          <w:cantSplit/>
        </w:trPr>
        <w:tc>
          <w:tcPr>
            <w:tcW w:w="1627"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2至3年</w:t>
            </w: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393,997.32</w:t>
            </w:r>
          </w:p>
        </w:tc>
        <w:tc>
          <w:tcPr>
            <w:tcW w:w="1686" w:type="pct"/>
            <w:tcBorders>
              <w:top w:val="single" w:sz="4" w:space="0" w:color="auto"/>
              <w:left w:val="single" w:sz="4" w:space="0" w:color="auto"/>
              <w:bottom w:val="single" w:sz="4" w:space="0" w:color="auto"/>
              <w:right w:val="single" w:sz="4" w:space="0" w:color="auto"/>
            </w:tcBorders>
          </w:tcPr>
          <w:p w:rsidR="000C5659" w:rsidRDefault="000E33C4">
            <w:pPr>
              <w:jc w:val="right"/>
            </w:pPr>
            <w:r>
              <w:t>13,369.48</w:t>
            </w:r>
          </w:p>
        </w:tc>
      </w:tr>
      <w:tr w:rsidR="000C5659">
        <w:trPr>
          <w:cantSplit/>
        </w:trPr>
        <w:tc>
          <w:tcPr>
            <w:tcW w:w="1627"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3年以上</w:t>
            </w: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13,369.48</w:t>
            </w:r>
          </w:p>
        </w:tc>
        <w:tc>
          <w:tcPr>
            <w:tcW w:w="1686" w:type="pct"/>
            <w:tcBorders>
              <w:top w:val="single" w:sz="4" w:space="0" w:color="auto"/>
              <w:left w:val="single" w:sz="4" w:space="0" w:color="auto"/>
              <w:bottom w:val="single" w:sz="4" w:space="0" w:color="auto"/>
              <w:right w:val="single" w:sz="4" w:space="0" w:color="auto"/>
            </w:tcBorders>
          </w:tcPr>
          <w:p w:rsidR="000C5659" w:rsidRDefault="000E33C4">
            <w:pPr>
              <w:jc w:val="right"/>
            </w:pPr>
            <w:r>
              <w:t>56,004.90</w:t>
            </w:r>
          </w:p>
        </w:tc>
      </w:tr>
      <w:tr w:rsidR="000C5659">
        <w:trPr>
          <w:cantSplit/>
        </w:trPr>
        <w:tc>
          <w:tcPr>
            <w:tcW w:w="1627"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tc>
          <w:tcPr>
            <w:tcW w:w="1685"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151,835,954.24</w:t>
            </w:r>
          </w:p>
        </w:tc>
        <w:tc>
          <w:tcPr>
            <w:tcW w:w="1686" w:type="pct"/>
            <w:tcBorders>
              <w:top w:val="single" w:sz="4" w:space="0" w:color="auto"/>
              <w:left w:val="single" w:sz="4" w:space="0" w:color="auto"/>
              <w:bottom w:val="single" w:sz="4" w:space="0" w:color="auto"/>
              <w:right w:val="single" w:sz="4" w:space="0" w:color="auto"/>
            </w:tcBorders>
          </w:tcPr>
          <w:p w:rsidR="000C5659" w:rsidRDefault="000E33C4">
            <w:pPr>
              <w:jc w:val="right"/>
            </w:pPr>
            <w:r>
              <w:t>131,873,259.70</w:t>
            </w:r>
          </w:p>
        </w:tc>
      </w:tr>
    </w:tbl>
    <w:p w:rsidR="000C5659" w:rsidRDefault="000C5659">
      <w:pPr>
        <w:pStyle w:val="Style325"/>
      </w:pPr>
    </w:p>
    <w:p w:rsidR="000C5659" w:rsidRDefault="000C5659" w:rsidP="000743DD">
      <w:pPr>
        <w:pStyle w:val="43"/>
        <w:numPr>
          <w:ilvl w:val="3"/>
          <w:numId w:val="118"/>
        </w:numPr>
        <w:ind w:left="426" w:hangingChars="202" w:hanging="426"/>
        <w:rPr>
          <w:color w:val="000000" w:themeColor="text1"/>
        </w:rPr>
        <w:sectPr w:rsidR="000C5659">
          <w:pgSz w:w="11906" w:h="16838"/>
          <w:pgMar w:top="1525" w:right="1276" w:bottom="1440" w:left="1797" w:header="856" w:footer="992" w:gutter="0"/>
          <w:cols w:space="425"/>
          <w:docGrid w:linePitch="312"/>
        </w:sectPr>
      </w:pPr>
      <w:bookmarkStart w:id="395" w:name="_Hlk10540024"/>
      <w:bookmarkEnd w:id="393"/>
      <w:bookmarkEnd w:id="394"/>
    </w:p>
    <w:p w:rsidR="000C5659" w:rsidRDefault="000E33C4" w:rsidP="000743DD">
      <w:pPr>
        <w:pStyle w:val="43"/>
        <w:numPr>
          <w:ilvl w:val="3"/>
          <w:numId w:val="118"/>
        </w:numPr>
        <w:ind w:left="426" w:hangingChars="202" w:hanging="426"/>
        <w:rPr>
          <w:color w:val="000000" w:themeColor="text1"/>
        </w:rPr>
      </w:pPr>
      <w:r>
        <w:rPr>
          <w:rFonts w:hint="eastAsia"/>
          <w:color w:val="000000" w:themeColor="text1"/>
        </w:rPr>
        <w:lastRenderedPageBreak/>
        <w:t>按坏账计提方法分类披露</w:t>
      </w:r>
    </w:p>
    <w:sdt>
      <w:sdtPr>
        <w:rPr>
          <w:color w:val="000000" w:themeColor="text1"/>
        </w:rPr>
        <w:alias w:val="是否适用：母公司应收账款按坏账计提方法分类披露[双击切换]"/>
        <w:tag w:val="_GBC_bd7fb52eb7f647d5aa6c10677b261ee1"/>
        <w:id w:val="-148601571"/>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按坏账计提方法分类披露"/>
          <w:tag w:val="_GBC_03786e76a9b246d5a93eac5a8936de3a"/>
          <w:id w:val="3541563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应收账款按坏账计提方法分类披露"/>
          <w:tag w:val="_GBC_1360c31492654a38991cae4cf45e7b4a"/>
          <w:id w:val="-3356047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815"/>
        <w:gridCol w:w="1532"/>
        <w:gridCol w:w="814"/>
        <w:gridCol w:w="1322"/>
        <w:gridCol w:w="842"/>
        <w:gridCol w:w="1532"/>
        <w:gridCol w:w="1532"/>
        <w:gridCol w:w="842"/>
        <w:gridCol w:w="1322"/>
        <w:gridCol w:w="778"/>
        <w:gridCol w:w="1532"/>
      </w:tblGrid>
      <w:tr w:rsidR="000C5659">
        <w:trPr>
          <w:cantSplit/>
          <w:trHeight w:val="259"/>
        </w:trPr>
        <w:sdt>
          <w:sdtPr>
            <w:rPr>
              <w:color w:val="000000" w:themeColor="text1"/>
            </w:rPr>
            <w:tag w:val="_PLD_2f021e03341f49af95f8857da6272a92"/>
            <w:id w:val="-1287272180"/>
          </w:sdtPr>
          <w:sdtEndPr/>
          <w:sdtContent>
            <w:tc>
              <w:tcPr>
                <w:tcW w:w="700"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类别</w:t>
                </w:r>
              </w:p>
            </w:tc>
          </w:sdtContent>
        </w:sdt>
        <w:sdt>
          <w:sdtPr>
            <w:rPr>
              <w:color w:val="000000" w:themeColor="text1"/>
            </w:rPr>
            <w:tag w:val="_PLD_468e18ccdf48449f8e43799e7c3f622e"/>
            <w:id w:val="936025330"/>
          </w:sdtPr>
          <w:sdtEndPr/>
          <w:sdtContent>
            <w:tc>
              <w:tcPr>
                <w:tcW w:w="2050" w:type="pct"/>
                <w:gridSpan w:val="5"/>
                <w:tcBorders>
                  <w:top w:val="single" w:sz="4" w:space="0" w:color="auto"/>
                  <w:left w:val="single" w:sz="4" w:space="0" w:color="auto"/>
                  <w:right w:val="single" w:sz="4"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e387c0f70bd6484cafb1ada234d075bd"/>
            <w:id w:val="1591043328"/>
          </w:sdtPr>
          <w:sdtEndPr/>
          <w:sdtContent>
            <w:tc>
              <w:tcPr>
                <w:tcW w:w="2249" w:type="pct"/>
                <w:gridSpan w:val="5"/>
                <w:tcBorders>
                  <w:top w:val="single" w:sz="4" w:space="0" w:color="auto"/>
                  <w:left w:val="single" w:sz="4" w:space="0" w:color="auto"/>
                  <w:right w:val="single" w:sz="4" w:space="0" w:color="auto"/>
                </w:tcBorders>
                <w:vAlign w:val="center"/>
              </w:tcPr>
              <w:p w:rsidR="000C5659" w:rsidRDefault="000E33C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0C5659">
        <w:trPr>
          <w:cantSplit/>
          <w:trHeight w:val="227"/>
        </w:trPr>
        <w:tc>
          <w:tcPr>
            <w:tcW w:w="700" w:type="pct"/>
            <w:vMerge/>
            <w:tcBorders>
              <w:left w:val="single" w:sz="4" w:space="0" w:color="auto"/>
              <w:right w:val="single" w:sz="4" w:space="0" w:color="auto"/>
            </w:tcBorders>
            <w:vAlign w:val="center"/>
          </w:tcPr>
          <w:p w:rsidR="000C5659" w:rsidRDefault="000C5659">
            <w:pPr>
              <w:rPr>
                <w:color w:val="000000" w:themeColor="text1"/>
              </w:rPr>
            </w:pPr>
          </w:p>
        </w:tc>
        <w:sdt>
          <w:sdtPr>
            <w:rPr>
              <w:color w:val="000000" w:themeColor="text1"/>
            </w:rPr>
            <w:tag w:val="_PLD_73365edbfe354cb683cc42de4c1c9f49"/>
            <w:id w:val="94374666"/>
          </w:sdtPr>
          <w:sdtEndPr/>
          <w:sdtContent>
            <w:tc>
              <w:tcPr>
                <w:tcW w:w="888"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11f34c9ee2d5429280d0d85b2c50756a"/>
            <w:id w:val="-711346578"/>
          </w:sdtPr>
          <w:sdtEndPr/>
          <w:sdtContent>
            <w:tc>
              <w:tcPr>
                <w:tcW w:w="823"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坏账准备</w:t>
                </w:r>
              </w:p>
            </w:tc>
          </w:sdtContent>
        </w:sdt>
        <w:sdt>
          <w:sdtPr>
            <w:rPr>
              <w:color w:val="000000" w:themeColor="text1"/>
            </w:rPr>
            <w:tag w:val="_PLD_6ade046afd0c47c0aae9506cc9d47486"/>
            <w:id w:val="-245267388"/>
          </w:sdtPr>
          <w:sdtEndPr/>
          <w:sdtContent>
            <w:tc>
              <w:tcPr>
                <w:tcW w:w="338"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w:t>
                </w:r>
              </w:p>
              <w:p w:rsidR="000C5659" w:rsidRDefault="000E33C4">
                <w:pPr>
                  <w:jc w:val="center"/>
                  <w:rPr>
                    <w:color w:val="000000" w:themeColor="text1"/>
                  </w:rPr>
                </w:pPr>
                <w:r>
                  <w:rPr>
                    <w:rFonts w:hint="eastAsia"/>
                    <w:color w:val="000000" w:themeColor="text1"/>
                  </w:rPr>
                  <w:t>价值</w:t>
                </w:r>
              </w:p>
            </w:tc>
          </w:sdtContent>
        </w:sdt>
        <w:sdt>
          <w:sdtPr>
            <w:rPr>
              <w:color w:val="000000" w:themeColor="text1"/>
            </w:rPr>
            <w:tag w:val="_PLD_abd9bd4831b9473aabae7411a299a204"/>
            <w:id w:val="1971016674"/>
          </w:sdtPr>
          <w:sdtEndPr/>
          <w:sdtContent>
            <w:tc>
              <w:tcPr>
                <w:tcW w:w="898" w:type="pct"/>
                <w:gridSpan w:val="2"/>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76d8f3a48cba41949b5870f6cbb124af"/>
            <w:id w:val="1205517572"/>
          </w:sdtPr>
          <w:sdtEndPr/>
          <w:sdtContent>
            <w:tc>
              <w:tcPr>
                <w:tcW w:w="800" w:type="pct"/>
                <w:gridSpan w:val="2"/>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坏账准备</w:t>
                </w:r>
              </w:p>
            </w:tc>
          </w:sdtContent>
        </w:sdt>
        <w:sdt>
          <w:sdtPr>
            <w:rPr>
              <w:color w:val="000000" w:themeColor="text1"/>
            </w:rPr>
            <w:tag w:val="_PLD_5062ab8e678b49c0bba488dc029ff27b"/>
            <w:id w:val="-1499726474"/>
          </w:sdtPr>
          <w:sdtEndPr/>
          <w:sdtContent>
            <w:tc>
              <w:tcPr>
                <w:tcW w:w="549"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账面</w:t>
                </w:r>
              </w:p>
              <w:p w:rsidR="000C5659" w:rsidRDefault="000E33C4">
                <w:pPr>
                  <w:jc w:val="center"/>
                  <w:rPr>
                    <w:color w:val="000000" w:themeColor="text1"/>
                  </w:rPr>
                </w:pPr>
                <w:r>
                  <w:rPr>
                    <w:rFonts w:hint="eastAsia"/>
                    <w:color w:val="000000" w:themeColor="text1"/>
                  </w:rPr>
                  <w:t>价值</w:t>
                </w:r>
              </w:p>
            </w:tc>
          </w:sdtContent>
        </w:sdt>
      </w:tr>
      <w:tr w:rsidR="000C5659">
        <w:trPr>
          <w:cantSplit/>
          <w:trHeight w:val="375"/>
        </w:trPr>
        <w:tc>
          <w:tcPr>
            <w:tcW w:w="700" w:type="pct"/>
            <w:vMerge/>
            <w:tcBorders>
              <w:left w:val="single" w:sz="4" w:space="0" w:color="auto"/>
              <w:bottom w:val="single" w:sz="4" w:space="0" w:color="auto"/>
              <w:right w:val="single" w:sz="4" w:space="0" w:color="auto"/>
            </w:tcBorders>
            <w:vAlign w:val="center"/>
          </w:tcPr>
          <w:p w:rsidR="000C5659" w:rsidRDefault="000C5659">
            <w:pPr>
              <w:rPr>
                <w:color w:val="000000" w:themeColor="text1"/>
              </w:rPr>
            </w:pPr>
          </w:p>
        </w:tc>
        <w:sdt>
          <w:sdtPr>
            <w:rPr>
              <w:color w:val="000000" w:themeColor="text1"/>
            </w:rPr>
            <w:tag w:val="_PLD_f6bdd572740240b5a7a2e643c29db5eb"/>
            <w:id w:val="209768158"/>
          </w:sdtPr>
          <w:sdtEndPr/>
          <w:sdtContent>
            <w:tc>
              <w:tcPr>
                <w:tcW w:w="549"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0a09779b6e354e32b6df9b1e891e1509"/>
            <w:id w:val="-2070491853"/>
          </w:sdtPr>
          <w:sdtEndPr/>
          <w:sdtContent>
            <w:tc>
              <w:tcPr>
                <w:tcW w:w="339"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比例</w:t>
                </w:r>
                <w:r>
                  <w:rPr>
                    <w:color w:val="000000" w:themeColor="text1"/>
                  </w:rPr>
                  <w:t>(%)</w:t>
                </w:r>
              </w:p>
            </w:tc>
          </w:sdtContent>
        </w:sdt>
        <w:sdt>
          <w:sdtPr>
            <w:rPr>
              <w:color w:val="000000" w:themeColor="text1"/>
            </w:rPr>
            <w:tag w:val="_PLD_dd9c9061f11b453c8775ca1a11382d92"/>
            <w:id w:val="-2125520540"/>
          </w:sdtPr>
          <w:sdtEndPr/>
          <w:sdtContent>
            <w:tc>
              <w:tcPr>
                <w:tcW w:w="474"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988b69362ac14c0e94c26191e76b1e3a"/>
            <w:id w:val="915129853"/>
          </w:sdtPr>
          <w:sdtEndPr/>
          <w:sdtContent>
            <w:tc>
              <w:tcPr>
                <w:tcW w:w="349"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计提比例</w:t>
                </w:r>
                <w:r>
                  <w:rPr>
                    <w:color w:val="000000" w:themeColor="text1"/>
                  </w:rPr>
                  <w:t>(%)</w:t>
                </w:r>
              </w:p>
            </w:tc>
          </w:sdtContent>
        </w:sdt>
        <w:tc>
          <w:tcPr>
            <w:tcW w:w="338" w:type="pct"/>
            <w:vMerge/>
            <w:tcBorders>
              <w:left w:val="single" w:sz="4" w:space="0" w:color="auto"/>
              <w:bottom w:val="single" w:sz="4" w:space="0" w:color="auto"/>
              <w:right w:val="single" w:sz="4" w:space="0" w:color="auto"/>
            </w:tcBorders>
            <w:vAlign w:val="center"/>
          </w:tcPr>
          <w:p w:rsidR="000C5659" w:rsidRDefault="000C5659">
            <w:pPr>
              <w:jc w:val="center"/>
              <w:rPr>
                <w:color w:val="000000" w:themeColor="text1"/>
              </w:rPr>
            </w:pPr>
          </w:p>
        </w:tc>
        <w:sdt>
          <w:sdtPr>
            <w:rPr>
              <w:color w:val="000000" w:themeColor="text1"/>
            </w:rPr>
            <w:tag w:val="_PLD_a5c1af5c86d545b993971c3da029159d"/>
            <w:id w:val="-285285226"/>
          </w:sdtPr>
          <w:sdtEndPr/>
          <w:sdtContent>
            <w:tc>
              <w:tcPr>
                <w:tcW w:w="549"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fd80073c74724a799d0de2171d95f241"/>
            <w:id w:val="-1234542494"/>
          </w:sdtPr>
          <w:sdtEndPr/>
          <w:sdtContent>
            <w:tc>
              <w:tcPr>
                <w:tcW w:w="349"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比例</w:t>
                </w:r>
                <w:r>
                  <w:rPr>
                    <w:color w:val="000000" w:themeColor="text1"/>
                  </w:rPr>
                  <w:t>(%)</w:t>
                </w:r>
              </w:p>
            </w:tc>
          </w:sdtContent>
        </w:sdt>
        <w:sdt>
          <w:sdtPr>
            <w:rPr>
              <w:color w:val="000000" w:themeColor="text1"/>
            </w:rPr>
            <w:tag w:val="_PLD_917059b3ee7f4b52afe8c3fa58f3e369"/>
            <w:id w:val="-654609379"/>
          </w:sdtPr>
          <w:sdtEndPr/>
          <w:sdtContent>
            <w:tc>
              <w:tcPr>
                <w:tcW w:w="474"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金额</w:t>
                </w:r>
              </w:p>
            </w:tc>
          </w:sdtContent>
        </w:sdt>
        <w:sdt>
          <w:sdtPr>
            <w:rPr>
              <w:color w:val="000000" w:themeColor="text1"/>
            </w:rPr>
            <w:tag w:val="_PLD_ea90ccc029834397956c79bbe869d343"/>
            <w:id w:val="-427965393"/>
          </w:sdtPr>
          <w:sdtEndPr/>
          <w:sdtContent>
            <w:tc>
              <w:tcPr>
                <w:tcW w:w="326" w:type="pct"/>
                <w:tcBorders>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计提比例</w:t>
                </w:r>
                <w:r>
                  <w:rPr>
                    <w:color w:val="000000" w:themeColor="text1"/>
                  </w:rPr>
                  <w:t>(%)</w:t>
                </w:r>
              </w:p>
            </w:tc>
          </w:sdtContent>
        </w:sdt>
        <w:tc>
          <w:tcPr>
            <w:tcW w:w="549" w:type="pct"/>
            <w:vMerge/>
            <w:tcBorders>
              <w:left w:val="single" w:sz="4" w:space="0" w:color="auto"/>
              <w:bottom w:val="single" w:sz="4" w:space="0" w:color="auto"/>
              <w:right w:val="single" w:sz="4" w:space="0" w:color="auto"/>
            </w:tcBorders>
          </w:tcPr>
          <w:p w:rsidR="000C5659" w:rsidRDefault="000C5659">
            <w:pPr>
              <w:jc w:val="center"/>
              <w:rPr>
                <w:color w:val="000000" w:themeColor="text1"/>
              </w:rPr>
            </w:pPr>
          </w:p>
        </w:tc>
      </w:tr>
      <w:tr w:rsidR="000C5659">
        <w:trPr>
          <w:cantSplit/>
        </w:trPr>
        <w:tc>
          <w:tcPr>
            <w:tcW w:w="700"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按单项计提坏账准备</w:t>
            </w:r>
          </w:p>
        </w:tc>
        <w:tc>
          <w:tcPr>
            <w:tcW w:w="549"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339"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474"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349"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338"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549"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349"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474"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326"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c>
          <w:tcPr>
            <w:tcW w:w="549" w:type="pct"/>
            <w:tcBorders>
              <w:top w:val="single" w:sz="4" w:space="0" w:color="auto"/>
              <w:left w:val="single" w:sz="4" w:space="0" w:color="auto"/>
              <w:bottom w:val="single" w:sz="4" w:space="0" w:color="auto"/>
              <w:right w:val="single" w:sz="4" w:space="0" w:color="auto"/>
            </w:tcBorders>
            <w:vAlign w:val="center"/>
          </w:tcPr>
          <w:p w:rsidR="000C5659" w:rsidRDefault="000C5659">
            <w:pPr>
              <w:jc w:val="right"/>
            </w:pPr>
          </w:p>
        </w:tc>
      </w:tr>
      <w:tr w:rsidR="000C5659">
        <w:trPr>
          <w:cantSplit/>
        </w:trPr>
        <w:sdt>
          <w:sdtPr>
            <w:rPr>
              <w:color w:val="000000" w:themeColor="text1"/>
            </w:rPr>
            <w:tag w:val="_PLD_8ec8b92b0ab24a78ae82ff991696133e"/>
            <w:id w:val="-1509054482"/>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其中：</w:t>
                </w:r>
              </w:p>
            </w:tc>
          </w:sdtContent>
        </w:sdt>
      </w:tr>
      <w:tr w:rsidR="000C5659">
        <w:trPr>
          <w:cantSplit/>
        </w:trPr>
        <w:sdt>
          <w:sdtPr>
            <w:rPr>
              <w:color w:val="000000" w:themeColor="text1"/>
            </w:rPr>
            <w:alias w:val="按单项计提坏账准备的应收账款明细-类别"/>
            <w:tag w:val="_GBC_d2aff18c0a9246d69b8b1f262666166e"/>
            <w:id w:val="-1076424709"/>
            <w:showingPlcHdr/>
          </w:sdtPr>
          <w:sdtEndPr/>
          <w:sdtContent>
            <w:tc>
              <w:tcPr>
                <w:tcW w:w="700"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 xml:space="preserve">　</w:t>
                </w:r>
              </w:p>
            </w:tc>
          </w:sdtContent>
        </w:sdt>
        <w:tc>
          <w:tcPr>
            <w:tcW w:w="5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3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38"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26"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49"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rPr>
          <w:cantSplit/>
        </w:trPr>
        <w:sdt>
          <w:sdtPr>
            <w:rPr>
              <w:color w:val="000000" w:themeColor="text1"/>
            </w:rPr>
            <w:alias w:val="按单项计提坏账准备的应收账款明细-类别"/>
            <w:tag w:val="_GBC_d2aff18c0a9246d69b8b1f262666166e"/>
            <w:id w:val="1762335409"/>
            <w:showingPlcHdr/>
          </w:sdtPr>
          <w:sdtEndPr/>
          <w:sdtContent>
            <w:tc>
              <w:tcPr>
                <w:tcW w:w="700"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rFonts w:hint="eastAsia"/>
                    <w:color w:val="000000" w:themeColor="text1"/>
                  </w:rPr>
                  <w:t xml:space="preserve">　</w:t>
                </w:r>
              </w:p>
            </w:tc>
          </w:sdtContent>
        </w:sdt>
        <w:tc>
          <w:tcPr>
            <w:tcW w:w="5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3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38"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26"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49"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rPr>
          <w:cantSplit/>
        </w:trPr>
        <w:tc>
          <w:tcPr>
            <w:tcW w:w="700" w:type="pct"/>
            <w:tcBorders>
              <w:top w:val="single" w:sz="4" w:space="0" w:color="auto"/>
              <w:left w:val="single" w:sz="4" w:space="0" w:color="auto"/>
              <w:bottom w:val="single" w:sz="4" w:space="0" w:color="auto"/>
              <w:right w:val="single" w:sz="4" w:space="0" w:color="auto"/>
            </w:tcBorders>
            <w:vAlign w:val="center"/>
          </w:tcPr>
          <w:p w:rsidR="000C5659" w:rsidRDefault="000E33C4">
            <w:pPr>
              <w:jc w:val="both"/>
              <w:rPr>
                <w:color w:val="000000" w:themeColor="text1"/>
              </w:rPr>
            </w:pPr>
            <w:r>
              <w:rPr>
                <w:rFonts w:hint="eastAsia"/>
                <w:color w:val="000000" w:themeColor="text1"/>
              </w:rPr>
              <w:t>按组合计提坏账准备</w:t>
            </w:r>
          </w:p>
        </w:tc>
        <w:tc>
          <w:tcPr>
            <w:tcW w:w="5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rPr>
              <w:t>151,835,954.24</w:t>
            </w:r>
          </w:p>
        </w:tc>
        <w:tc>
          <w:tcPr>
            <w:tcW w:w="33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rPr>
              <w:t>100.00</w:t>
            </w:r>
          </w:p>
        </w:tc>
        <w:tc>
          <w:tcPr>
            <w:tcW w:w="47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rPr>
              <w:t>5,259,666.18</w:t>
            </w:r>
          </w:p>
        </w:tc>
        <w:tc>
          <w:tcPr>
            <w:tcW w:w="3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rPr>
              <w:t>3.46</w:t>
            </w:r>
          </w:p>
        </w:tc>
        <w:tc>
          <w:tcPr>
            <w:tcW w:w="338"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rPr>
                <w:rFonts w:hint="eastAsia"/>
              </w:rPr>
              <w:t>146,576,288.06</w:t>
            </w:r>
          </w:p>
        </w:tc>
        <w:tc>
          <w:tcPr>
            <w:tcW w:w="5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t>131,873,259.70</w:t>
            </w:r>
          </w:p>
        </w:tc>
        <w:tc>
          <w:tcPr>
            <w:tcW w:w="3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t>100.00</w:t>
            </w:r>
          </w:p>
        </w:tc>
        <w:tc>
          <w:tcPr>
            <w:tcW w:w="474"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t>4,397,890.50</w:t>
            </w:r>
          </w:p>
        </w:tc>
        <w:tc>
          <w:tcPr>
            <w:tcW w:w="326"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t>3.33</w:t>
            </w:r>
          </w:p>
        </w:tc>
        <w:tc>
          <w:tcPr>
            <w:tcW w:w="549" w:type="pct"/>
            <w:tcBorders>
              <w:top w:val="single" w:sz="4" w:space="0" w:color="auto"/>
              <w:left w:val="single" w:sz="4" w:space="0" w:color="auto"/>
              <w:bottom w:val="single" w:sz="4" w:space="0" w:color="auto"/>
              <w:right w:val="single" w:sz="4" w:space="0" w:color="auto"/>
            </w:tcBorders>
            <w:vAlign w:val="center"/>
          </w:tcPr>
          <w:p w:rsidR="000C5659" w:rsidRDefault="000E33C4">
            <w:pPr>
              <w:jc w:val="right"/>
            </w:pPr>
            <w:r>
              <w:t>127,475,369.20</w:t>
            </w:r>
          </w:p>
        </w:tc>
      </w:tr>
      <w:tr w:rsidR="000C5659">
        <w:trPr>
          <w:cantSplit/>
        </w:trPr>
        <w:sdt>
          <w:sdtPr>
            <w:rPr>
              <w:color w:val="000000" w:themeColor="text1"/>
            </w:rPr>
            <w:tag w:val="_PLD_bd68cdc38a0e426ea1ec99be844140b3"/>
            <w:id w:val="886606436"/>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其中：</w:t>
                </w:r>
              </w:p>
            </w:tc>
          </w:sdtContent>
        </w:sdt>
      </w:tr>
      <w:tr w:rsidR="000C5659">
        <w:trPr>
          <w:cantSplit/>
        </w:trPr>
        <w:sdt>
          <w:sdtPr>
            <w:rPr>
              <w:color w:val="000000" w:themeColor="text1"/>
            </w:rPr>
            <w:alias w:val="按组合计提坏账准备的应收账款明细-组合名称"/>
            <w:tag w:val="_GBC_1d1150cff5254d829cba03da56c2e941"/>
            <w:id w:val="1904099037"/>
          </w:sdtPr>
          <w:sdtEndPr/>
          <w:sdtContent>
            <w:tc>
              <w:tcPr>
                <w:tcW w:w="700"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color w:val="000000" w:themeColor="text1"/>
                  </w:rPr>
                  <w:t>账龄组合</w:t>
                </w:r>
              </w:p>
            </w:tc>
          </w:sdtContent>
        </w:sdt>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96,813,406.08</w:t>
            </w:r>
          </w:p>
        </w:tc>
        <w:tc>
          <w:tcPr>
            <w:tcW w:w="33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63.76</w:t>
            </w:r>
          </w:p>
        </w:tc>
        <w:tc>
          <w:tcPr>
            <w:tcW w:w="474"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5,259,666.18</w:t>
            </w:r>
          </w:p>
        </w:tc>
        <w:tc>
          <w:tcPr>
            <w:tcW w:w="34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5.43</w:t>
            </w:r>
          </w:p>
        </w:tc>
        <w:tc>
          <w:tcPr>
            <w:tcW w:w="338"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91,553,739.90</w:t>
            </w:r>
          </w:p>
        </w:tc>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t>83,297,887.78</w:t>
            </w:r>
          </w:p>
        </w:tc>
        <w:tc>
          <w:tcPr>
            <w:tcW w:w="349" w:type="pct"/>
            <w:tcBorders>
              <w:top w:val="single" w:sz="4" w:space="0" w:color="auto"/>
              <w:left w:val="single" w:sz="4" w:space="0" w:color="auto"/>
              <w:bottom w:val="single" w:sz="4" w:space="0" w:color="auto"/>
              <w:right w:val="single" w:sz="4" w:space="0" w:color="auto"/>
            </w:tcBorders>
          </w:tcPr>
          <w:p w:rsidR="000C5659" w:rsidRDefault="000E33C4">
            <w:pPr>
              <w:jc w:val="right"/>
            </w:pPr>
            <w:r>
              <w:t>63.17</w:t>
            </w:r>
          </w:p>
        </w:tc>
        <w:tc>
          <w:tcPr>
            <w:tcW w:w="474" w:type="pct"/>
            <w:tcBorders>
              <w:top w:val="single" w:sz="4" w:space="0" w:color="auto"/>
              <w:left w:val="single" w:sz="4" w:space="0" w:color="auto"/>
              <w:bottom w:val="single" w:sz="4" w:space="0" w:color="auto"/>
              <w:right w:val="single" w:sz="4" w:space="0" w:color="auto"/>
            </w:tcBorders>
          </w:tcPr>
          <w:p w:rsidR="000C5659" w:rsidRDefault="000E33C4">
            <w:pPr>
              <w:jc w:val="right"/>
            </w:pPr>
            <w:r>
              <w:t>4,397,890.50</w:t>
            </w:r>
          </w:p>
        </w:tc>
        <w:tc>
          <w:tcPr>
            <w:tcW w:w="326" w:type="pct"/>
            <w:tcBorders>
              <w:top w:val="single" w:sz="4" w:space="0" w:color="auto"/>
              <w:left w:val="single" w:sz="4" w:space="0" w:color="auto"/>
              <w:bottom w:val="single" w:sz="4" w:space="0" w:color="auto"/>
              <w:right w:val="single" w:sz="4" w:space="0" w:color="auto"/>
            </w:tcBorders>
          </w:tcPr>
          <w:p w:rsidR="000C5659" w:rsidRDefault="000E33C4">
            <w:pPr>
              <w:jc w:val="right"/>
            </w:pPr>
            <w:r>
              <w:t>5.28</w:t>
            </w:r>
          </w:p>
        </w:tc>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t>78,899,997.28</w:t>
            </w:r>
          </w:p>
        </w:tc>
      </w:tr>
      <w:tr w:rsidR="000C5659">
        <w:trPr>
          <w:cantSplit/>
        </w:trPr>
        <w:sdt>
          <w:sdtPr>
            <w:rPr>
              <w:color w:val="000000" w:themeColor="text1"/>
            </w:rPr>
            <w:alias w:val="按组合计提坏账准备的应收账款明细-组合名称"/>
            <w:tag w:val="_GBC_1d1150cff5254d829cba03da56c2e941"/>
            <w:id w:val="-211892915"/>
          </w:sdtPr>
          <w:sdtEndPr/>
          <w:sdtContent>
            <w:tc>
              <w:tcPr>
                <w:tcW w:w="700" w:type="pct"/>
                <w:tcBorders>
                  <w:top w:val="single" w:sz="4" w:space="0" w:color="auto"/>
                  <w:left w:val="single" w:sz="4" w:space="0" w:color="auto"/>
                  <w:bottom w:val="single" w:sz="4" w:space="0" w:color="auto"/>
                  <w:right w:val="single" w:sz="4" w:space="0" w:color="auto"/>
                </w:tcBorders>
              </w:tcPr>
              <w:p w:rsidR="000C5659" w:rsidRDefault="000E33C4">
                <w:pPr>
                  <w:jc w:val="both"/>
                  <w:rPr>
                    <w:color w:val="000000" w:themeColor="text1"/>
                  </w:rPr>
                </w:pPr>
                <w:r>
                  <w:rPr>
                    <w:color w:val="000000" w:themeColor="text1"/>
                  </w:rPr>
                  <w:t>合并范围内关联方</w:t>
                </w:r>
              </w:p>
            </w:tc>
          </w:sdtContent>
        </w:sdt>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55,022,548.16</w:t>
            </w:r>
          </w:p>
        </w:tc>
        <w:tc>
          <w:tcPr>
            <w:tcW w:w="33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36.24</w:t>
            </w:r>
          </w:p>
        </w:tc>
        <w:tc>
          <w:tcPr>
            <w:tcW w:w="4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49"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38"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55,022,548.16</w:t>
            </w:r>
          </w:p>
        </w:tc>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t>48,575,371.92</w:t>
            </w:r>
          </w:p>
        </w:tc>
        <w:tc>
          <w:tcPr>
            <w:tcW w:w="349" w:type="pct"/>
            <w:tcBorders>
              <w:top w:val="single" w:sz="4" w:space="0" w:color="auto"/>
              <w:left w:val="single" w:sz="4" w:space="0" w:color="auto"/>
              <w:bottom w:val="single" w:sz="4" w:space="0" w:color="auto"/>
              <w:right w:val="single" w:sz="4" w:space="0" w:color="auto"/>
            </w:tcBorders>
          </w:tcPr>
          <w:p w:rsidR="000C5659" w:rsidRDefault="000E33C4">
            <w:pPr>
              <w:jc w:val="right"/>
            </w:pPr>
            <w:r>
              <w:t>36.83</w:t>
            </w:r>
          </w:p>
        </w:tc>
        <w:tc>
          <w:tcPr>
            <w:tcW w:w="474"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326"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t>48,575,371.92</w:t>
            </w:r>
          </w:p>
        </w:tc>
      </w:tr>
      <w:tr w:rsidR="000C5659">
        <w:trPr>
          <w:cantSplit/>
        </w:trPr>
        <w:tc>
          <w:tcPr>
            <w:tcW w:w="700" w:type="pct"/>
            <w:tcBorders>
              <w:top w:val="single" w:sz="4" w:space="0" w:color="auto"/>
              <w:left w:val="single" w:sz="4" w:space="0" w:color="auto"/>
              <w:bottom w:val="single" w:sz="4" w:space="0" w:color="auto"/>
              <w:right w:val="single" w:sz="4" w:space="0" w:color="auto"/>
            </w:tcBorders>
            <w:vAlign w:val="center"/>
          </w:tcPr>
          <w:p w:rsidR="000C5659" w:rsidRDefault="000E33C4">
            <w:pPr>
              <w:autoSpaceDE w:val="0"/>
              <w:autoSpaceDN w:val="0"/>
              <w:adjustRightInd w:val="0"/>
              <w:jc w:val="center"/>
              <w:rPr>
                <w:color w:val="000000" w:themeColor="text1"/>
              </w:rPr>
            </w:pPr>
            <w:r>
              <w:rPr>
                <w:rFonts w:hint="eastAsia"/>
                <w:color w:val="000000" w:themeColor="text1"/>
              </w:rPr>
              <w:t>合计</w:t>
            </w:r>
          </w:p>
        </w:tc>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151,835,954.24</w:t>
            </w:r>
          </w:p>
        </w:tc>
        <w:tc>
          <w:tcPr>
            <w:tcW w:w="339"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100.00</w:t>
            </w:r>
          </w:p>
        </w:tc>
        <w:tc>
          <w:tcPr>
            <w:tcW w:w="474"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5,259,666.18</w:t>
            </w:r>
          </w:p>
        </w:tc>
        <w:tc>
          <w:tcPr>
            <w:tcW w:w="349"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w:t>
            </w:r>
          </w:p>
        </w:tc>
        <w:tc>
          <w:tcPr>
            <w:tcW w:w="338"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146,576,288.06</w:t>
            </w:r>
          </w:p>
        </w:tc>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t>131,873,259.70</w:t>
            </w:r>
          </w:p>
        </w:tc>
        <w:tc>
          <w:tcPr>
            <w:tcW w:w="349"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100.00</w:t>
            </w:r>
          </w:p>
        </w:tc>
        <w:tc>
          <w:tcPr>
            <w:tcW w:w="474" w:type="pct"/>
            <w:tcBorders>
              <w:top w:val="single" w:sz="4" w:space="0" w:color="auto"/>
              <w:left w:val="single" w:sz="4" w:space="0" w:color="auto"/>
              <w:bottom w:val="single" w:sz="4" w:space="0" w:color="auto"/>
              <w:right w:val="single" w:sz="4" w:space="0" w:color="auto"/>
            </w:tcBorders>
          </w:tcPr>
          <w:p w:rsidR="000C5659" w:rsidRDefault="000E33C4">
            <w:pPr>
              <w:jc w:val="right"/>
            </w:pPr>
            <w:r>
              <w:t>4,397,890.50</w:t>
            </w:r>
          </w:p>
        </w:tc>
        <w:tc>
          <w:tcPr>
            <w:tcW w:w="326" w:type="pct"/>
            <w:tcBorders>
              <w:top w:val="single" w:sz="4" w:space="0" w:color="auto"/>
              <w:left w:val="single" w:sz="4" w:space="0" w:color="auto"/>
              <w:bottom w:val="single" w:sz="4" w:space="0" w:color="auto"/>
              <w:right w:val="single" w:sz="4" w:space="0" w:color="auto"/>
            </w:tcBorders>
          </w:tcPr>
          <w:p w:rsidR="000C5659" w:rsidRDefault="000C5659">
            <w:pPr>
              <w:jc w:val="center"/>
              <w:rPr>
                <w:color w:val="000000" w:themeColor="text1"/>
              </w:rPr>
            </w:pPr>
          </w:p>
        </w:tc>
        <w:tc>
          <w:tcPr>
            <w:tcW w:w="549" w:type="pct"/>
            <w:tcBorders>
              <w:top w:val="single" w:sz="4" w:space="0" w:color="auto"/>
              <w:left w:val="single" w:sz="4" w:space="0" w:color="auto"/>
              <w:bottom w:val="single" w:sz="4" w:space="0" w:color="auto"/>
              <w:right w:val="single" w:sz="4" w:space="0" w:color="auto"/>
            </w:tcBorders>
          </w:tcPr>
          <w:p w:rsidR="000C5659" w:rsidRDefault="000E33C4">
            <w:pPr>
              <w:jc w:val="right"/>
            </w:pPr>
            <w:r>
              <w:t>127,475,369.20</w:t>
            </w:r>
          </w:p>
        </w:tc>
      </w:tr>
    </w:tbl>
    <w:p w:rsidR="000C5659" w:rsidRDefault="000C5659">
      <w:pPr>
        <w:pStyle w:val="Style325"/>
      </w:pPr>
    </w:p>
    <w:p w:rsidR="000C5659" w:rsidRDefault="000C5659">
      <w:pPr>
        <w:pStyle w:val="Style325"/>
        <w:sectPr w:rsidR="000C5659">
          <w:pgSz w:w="16838" w:h="11906" w:orient="landscape"/>
          <w:pgMar w:top="1797" w:right="1525" w:bottom="1276" w:left="1440" w:header="856" w:footer="992" w:gutter="0"/>
          <w:cols w:space="425"/>
          <w:docGrid w:linePitch="312"/>
        </w:sectPr>
      </w:pPr>
    </w:p>
    <w:p w:rsidR="000C5659" w:rsidRDefault="000E33C4">
      <w:pPr>
        <w:rPr>
          <w:color w:val="000000" w:themeColor="text1"/>
        </w:rPr>
      </w:pPr>
      <w:bookmarkStart w:id="396" w:name="_Hlk10540045"/>
      <w:bookmarkStart w:id="397" w:name="_Hlk10540056"/>
      <w:bookmarkEnd w:id="395"/>
      <w:r>
        <w:rPr>
          <w:rFonts w:hint="eastAsia"/>
          <w:color w:val="000000" w:themeColor="text1"/>
        </w:rPr>
        <w:lastRenderedPageBreak/>
        <w:t>按单项计提坏账准备：</w:t>
      </w:r>
      <w:bookmarkEnd w:id="396"/>
    </w:p>
    <w:sdt>
      <w:sdtPr>
        <w:rPr>
          <w:color w:val="000000" w:themeColor="text1"/>
        </w:rPr>
        <w:alias w:val="是否适用：母公司应收账款按单项计提坏账准备[双击切换]"/>
        <w:tag w:val="_GBC_6aa7698e624f4481b0cf894058a63961"/>
        <w:id w:val="-181895737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398" w:name="_Hlk10540079"/>
      <w:bookmarkEnd w:id="397"/>
      <w:r>
        <w:rPr>
          <w:rFonts w:hint="eastAsia"/>
          <w:color w:val="000000" w:themeColor="text1"/>
        </w:rPr>
        <w:t>按组合计提坏账准备：</w:t>
      </w:r>
    </w:p>
    <w:sdt>
      <w:sdtPr>
        <w:rPr>
          <w:color w:val="000000" w:themeColor="text1"/>
        </w:rPr>
        <w:alias w:val="是否适用：母公司应收账款按组合计提坏账准备[双击切换]"/>
        <w:tag w:val="_GBC_bf96e631f2cf4f6a876dff49863ee9d3"/>
        <w:id w:val="2114237564"/>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rPr>
          <w:color w:val="000000" w:themeColor="text1"/>
        </w:rPr>
      </w:pPr>
      <w:r>
        <w:rPr>
          <w:rFonts w:hint="eastAsia"/>
          <w:color w:val="000000" w:themeColor="text1"/>
        </w:rPr>
        <w:t>组合计提项目：</w:t>
      </w:r>
      <w:sdt>
        <w:sdtPr>
          <w:rPr>
            <w:rFonts w:hint="eastAsia"/>
            <w:color w:val="000000" w:themeColor="text1"/>
          </w:rPr>
          <w:alias w:val="按组合计提坏账准备的应收账款明细-组合名称"/>
          <w:tag w:val="_GBC_c2c49e08c13c49f5b854cd65f748bccc"/>
          <w:id w:val="1390767008"/>
          <w:placeholder>
            <w:docPart w:val="GBC22222222222222222222222222222"/>
          </w:placeholder>
          <w:comboBox>
            <w:listItem w:displayText="合并范围内关联方" w:value="合并范围内关联方"/>
            <w:listItem w:displayText="账龄组合" w:value="账龄组合"/>
          </w:comboBox>
        </w:sdtPr>
        <w:sdtEndPr/>
        <w:sdtContent>
          <w:r w:rsidR="00B708C8">
            <w:rPr>
              <w:rFonts w:hint="eastAsia"/>
              <w:color w:val="000000" w:themeColor="text1"/>
            </w:rPr>
            <w:t>账龄组合</w:t>
          </w:r>
        </w:sdtContent>
      </w:sdt>
    </w:p>
    <w:p w:rsidR="000C5659" w:rsidRDefault="000E33C4">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母公司应收账款按组合计提坏账准备"/>
          <w:tag w:val="_GBC_eddb8416e4854df0b69f43851a8eba2b"/>
          <w:id w:val="1032770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应收账款按组合计提坏账准备"/>
          <w:tag w:val="_GBC_326d8b8532c4476aa9c90eaa469806e2"/>
          <w:id w:val="174381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0C5659">
        <w:sdt>
          <w:sdtPr>
            <w:rPr>
              <w:rFonts w:asciiTheme="minorEastAsia" w:eastAsiaTheme="minorEastAsia" w:hAnsiTheme="minorEastAsia"/>
              <w:color w:val="000000" w:themeColor="text1"/>
            </w:rPr>
            <w:tag w:val="_PLD_017679ab9c8247c6b2e334fd90bf61e9"/>
            <w:id w:val="-570270281"/>
          </w:sdtPr>
          <w:sdtEndPr/>
          <w:sdtContent>
            <w:tc>
              <w:tcPr>
                <w:tcW w:w="1158" w:type="pct"/>
                <w:vMerge w:val="restart"/>
                <w:vAlign w:val="center"/>
              </w:tcPr>
              <w:p w:rsidR="000C5659" w:rsidRDefault="000E33C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名称</w:t>
                </w:r>
              </w:p>
            </w:tc>
          </w:sdtContent>
        </w:sdt>
        <w:sdt>
          <w:sdtPr>
            <w:rPr>
              <w:rFonts w:asciiTheme="minorEastAsia" w:eastAsiaTheme="minorEastAsia" w:hAnsiTheme="minorEastAsia"/>
              <w:color w:val="000000" w:themeColor="text1"/>
            </w:rPr>
            <w:tag w:val="_PLD_5135cd56467d4853affa6d0ae484f326"/>
            <w:id w:val="-1800595717"/>
          </w:sdtPr>
          <w:sdtEndPr/>
          <w:sdtContent>
            <w:tc>
              <w:tcPr>
                <w:tcW w:w="3842" w:type="pct"/>
                <w:gridSpan w:val="3"/>
                <w:vAlign w:val="center"/>
              </w:tcPr>
              <w:p w:rsidR="000C5659" w:rsidRDefault="000E33C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期末余额</w:t>
                </w:r>
              </w:p>
            </w:tc>
          </w:sdtContent>
        </w:sdt>
      </w:tr>
      <w:tr w:rsidR="000C5659">
        <w:tc>
          <w:tcPr>
            <w:tcW w:w="1158" w:type="pct"/>
            <w:vMerge/>
          </w:tcPr>
          <w:p w:rsidR="000C5659" w:rsidRDefault="000C5659">
            <w:pPr>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6853d362c1364938aec50c34a4c1b2be"/>
            <w:id w:val="-723219884"/>
          </w:sdtPr>
          <w:sdtEndPr/>
          <w:sdtContent>
            <w:tc>
              <w:tcPr>
                <w:tcW w:w="1276" w:type="pct"/>
                <w:vAlign w:val="center"/>
              </w:tcPr>
              <w:p w:rsidR="000C5659" w:rsidRDefault="000E33C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应收账款</w:t>
                </w:r>
              </w:p>
            </w:tc>
          </w:sdtContent>
        </w:sdt>
        <w:sdt>
          <w:sdtPr>
            <w:rPr>
              <w:rFonts w:asciiTheme="minorEastAsia" w:eastAsiaTheme="minorEastAsia" w:hAnsiTheme="minorEastAsia"/>
              <w:color w:val="000000" w:themeColor="text1"/>
            </w:rPr>
            <w:tag w:val="_PLD_497956cded5b48c4b4741462475810da"/>
            <w:id w:val="641158503"/>
          </w:sdtPr>
          <w:sdtEndPr/>
          <w:sdtContent>
            <w:tc>
              <w:tcPr>
                <w:tcW w:w="1299" w:type="pct"/>
                <w:vAlign w:val="center"/>
              </w:tcPr>
              <w:p w:rsidR="000C5659" w:rsidRDefault="000E33C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abeb28def5684beab5ea48273044d861"/>
            <w:id w:val="-911463482"/>
          </w:sdtPr>
          <w:sdtEndPr/>
          <w:sdtContent>
            <w:tc>
              <w:tcPr>
                <w:tcW w:w="1267" w:type="pct"/>
                <w:vAlign w:val="center"/>
              </w:tcPr>
              <w:p w:rsidR="000C5659" w:rsidRDefault="000E33C4">
                <w:pPr>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计提比例</w:t>
                </w:r>
                <w:r>
                  <w:rPr>
                    <w:rFonts w:asciiTheme="minorEastAsia" w:eastAsiaTheme="minorEastAsia" w:hAnsiTheme="minorEastAsia" w:hint="eastAsia"/>
                    <w:color w:val="000000" w:themeColor="text1"/>
                  </w:rPr>
                  <w:t>（%）</w:t>
                </w:r>
              </w:p>
            </w:tc>
          </w:sdtContent>
        </w:sdt>
      </w:tr>
      <w:tr w:rsidR="000C5659">
        <w:tc>
          <w:tcPr>
            <w:tcW w:w="1158" w:type="pct"/>
          </w:tcPr>
          <w:p w:rsidR="000C5659" w:rsidRDefault="000E33C4">
            <w:pPr>
              <w:pStyle w:val="Style325"/>
              <w:rPr>
                <w:rFonts w:asciiTheme="minorEastAsia" w:eastAsiaTheme="minorEastAsia" w:hAnsiTheme="minorEastAsia"/>
              </w:rPr>
            </w:pPr>
            <w:r>
              <w:rPr>
                <w:rFonts w:asciiTheme="minorEastAsia" w:eastAsiaTheme="minorEastAsia" w:hAnsiTheme="minorEastAsia"/>
              </w:rPr>
              <w:t>1年内应收账款</w:t>
            </w:r>
          </w:p>
        </w:tc>
        <w:tc>
          <w:tcPr>
            <w:tcW w:w="3596" w:type="dxa"/>
            <w:vAlign w:val="bottom"/>
          </w:tcPr>
          <w:p w:rsidR="000C5659" w:rsidRDefault="000E33C4">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95,639,369.44</w:t>
            </w:r>
          </w:p>
        </w:tc>
        <w:tc>
          <w:tcPr>
            <w:tcW w:w="1299" w:type="pct"/>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4,781,968.47</w:t>
            </w:r>
          </w:p>
        </w:tc>
        <w:tc>
          <w:tcPr>
            <w:tcW w:w="1267" w:type="pct"/>
          </w:tcPr>
          <w:p w:rsidR="000C5659" w:rsidRDefault="000E33C4">
            <w:pPr>
              <w:jc w:val="right"/>
              <w:rPr>
                <w:rFonts w:asciiTheme="minorEastAsia" w:eastAsiaTheme="minorEastAsia" w:hAnsiTheme="minorEastAsia"/>
              </w:rPr>
            </w:pPr>
            <w:r>
              <w:rPr>
                <w:rFonts w:asciiTheme="minorEastAsia" w:eastAsiaTheme="minorEastAsia" w:hAnsiTheme="minorEastAsia"/>
              </w:rPr>
              <w:t>5.00</w:t>
            </w:r>
          </w:p>
        </w:tc>
      </w:tr>
      <w:tr w:rsidR="000C5659">
        <w:tc>
          <w:tcPr>
            <w:tcW w:w="1158" w:type="pct"/>
          </w:tcPr>
          <w:p w:rsidR="000C5659" w:rsidRDefault="000E33C4">
            <w:pPr>
              <w:pStyle w:val="Style325"/>
              <w:rPr>
                <w:rFonts w:asciiTheme="minorEastAsia" w:eastAsiaTheme="minorEastAsia" w:hAnsiTheme="minorEastAsia"/>
              </w:rPr>
            </w:pPr>
            <w:r>
              <w:rPr>
                <w:rFonts w:asciiTheme="minorEastAsia" w:eastAsiaTheme="minorEastAsia" w:hAnsiTheme="minorEastAsia"/>
              </w:rPr>
              <w:t>1-2年应收账款</w:t>
            </w:r>
          </w:p>
        </w:tc>
        <w:tc>
          <w:tcPr>
            <w:tcW w:w="3596" w:type="dxa"/>
          </w:tcPr>
          <w:p w:rsidR="000C5659" w:rsidRDefault="000E33C4">
            <w:pPr>
              <w:jc w:val="right"/>
              <w:textAlignment w:val="top"/>
              <w:rPr>
                <w:rFonts w:asciiTheme="minorEastAsia" w:eastAsiaTheme="minorEastAsia" w:hAnsiTheme="minorEastAsia"/>
              </w:rPr>
            </w:pPr>
            <w:r>
              <w:rPr>
                <w:rFonts w:asciiTheme="minorEastAsia" w:eastAsiaTheme="minorEastAsia" w:hAnsiTheme="minorEastAsia" w:hint="eastAsia"/>
                <w:color w:val="000000"/>
                <w:lang w:bidi="ar"/>
              </w:rPr>
              <w:t>1,160,462.62</w:t>
            </w:r>
          </w:p>
        </w:tc>
        <w:tc>
          <w:tcPr>
            <w:tcW w:w="1299" w:type="pct"/>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464,185.05</w:t>
            </w:r>
          </w:p>
        </w:tc>
        <w:tc>
          <w:tcPr>
            <w:tcW w:w="1267" w:type="pct"/>
          </w:tcPr>
          <w:p w:rsidR="000C5659" w:rsidRDefault="000E33C4">
            <w:pPr>
              <w:jc w:val="right"/>
              <w:rPr>
                <w:rFonts w:asciiTheme="minorEastAsia" w:eastAsiaTheme="minorEastAsia" w:hAnsiTheme="minorEastAsia"/>
              </w:rPr>
            </w:pPr>
            <w:r>
              <w:rPr>
                <w:rFonts w:asciiTheme="minorEastAsia" w:eastAsiaTheme="minorEastAsia" w:hAnsiTheme="minorEastAsia"/>
              </w:rPr>
              <w:t>40.00</w:t>
            </w:r>
          </w:p>
        </w:tc>
      </w:tr>
      <w:tr w:rsidR="000C5659">
        <w:tc>
          <w:tcPr>
            <w:tcW w:w="1158" w:type="pct"/>
            <w:vAlign w:val="center"/>
          </w:tcPr>
          <w:p w:rsidR="000C5659" w:rsidRDefault="000E33C4">
            <w:pPr>
              <w:jc w:val="both"/>
              <w:rPr>
                <w:rFonts w:asciiTheme="minorEastAsia" w:eastAsiaTheme="minorEastAsia" w:hAnsiTheme="minorEastAsia"/>
                <w:color w:val="000000" w:themeColor="text1"/>
              </w:rPr>
            </w:pPr>
            <w:r>
              <w:rPr>
                <w:rFonts w:asciiTheme="minorEastAsia" w:eastAsiaTheme="minorEastAsia" w:hAnsiTheme="minorEastAsia"/>
              </w:rPr>
              <w:t>2-3年应收账款</w:t>
            </w:r>
          </w:p>
        </w:tc>
        <w:tc>
          <w:tcPr>
            <w:tcW w:w="3596" w:type="dxa"/>
          </w:tcPr>
          <w:p w:rsidR="000C5659" w:rsidRDefault="000E33C4">
            <w:pPr>
              <w:jc w:val="right"/>
              <w:textAlignment w:val="top"/>
              <w:rPr>
                <w:rFonts w:asciiTheme="minorEastAsia" w:eastAsiaTheme="minorEastAsia" w:hAnsiTheme="minorEastAsia"/>
              </w:rPr>
            </w:pPr>
            <w:r>
              <w:rPr>
                <w:rFonts w:asciiTheme="minorEastAsia" w:eastAsiaTheme="minorEastAsia" w:hAnsiTheme="minorEastAsia" w:hint="eastAsia"/>
                <w:color w:val="000000"/>
                <w:lang w:bidi="ar"/>
              </w:rPr>
              <w:t>204.54</w:t>
            </w:r>
          </w:p>
        </w:tc>
        <w:tc>
          <w:tcPr>
            <w:tcW w:w="1299" w:type="pct"/>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143.18</w:t>
            </w:r>
          </w:p>
        </w:tc>
        <w:tc>
          <w:tcPr>
            <w:tcW w:w="1267" w:type="pct"/>
          </w:tcPr>
          <w:p w:rsidR="000C5659" w:rsidRDefault="000E33C4">
            <w:pPr>
              <w:jc w:val="right"/>
              <w:rPr>
                <w:rFonts w:asciiTheme="minorEastAsia" w:eastAsiaTheme="minorEastAsia" w:hAnsiTheme="minorEastAsia"/>
              </w:rPr>
            </w:pPr>
            <w:r>
              <w:rPr>
                <w:rFonts w:asciiTheme="minorEastAsia" w:eastAsiaTheme="minorEastAsia" w:hAnsiTheme="minorEastAsia"/>
              </w:rPr>
              <w:t>70.00</w:t>
            </w:r>
          </w:p>
        </w:tc>
      </w:tr>
      <w:tr w:rsidR="000C5659">
        <w:tc>
          <w:tcPr>
            <w:tcW w:w="1158" w:type="pct"/>
            <w:vAlign w:val="center"/>
          </w:tcPr>
          <w:p w:rsidR="000C5659" w:rsidRDefault="000E33C4">
            <w:pPr>
              <w:jc w:val="both"/>
              <w:rPr>
                <w:rFonts w:asciiTheme="minorEastAsia" w:eastAsiaTheme="minorEastAsia" w:hAnsiTheme="minorEastAsia"/>
                <w:color w:val="000000" w:themeColor="text1"/>
              </w:rPr>
            </w:pPr>
            <w:r>
              <w:rPr>
                <w:rFonts w:asciiTheme="minorEastAsia" w:eastAsiaTheme="minorEastAsia" w:hAnsiTheme="minorEastAsia"/>
              </w:rPr>
              <w:t>3年以上应收账款</w:t>
            </w:r>
          </w:p>
        </w:tc>
        <w:tc>
          <w:tcPr>
            <w:tcW w:w="3596" w:type="dxa"/>
          </w:tcPr>
          <w:p w:rsidR="000C5659" w:rsidRDefault="000E33C4">
            <w:pPr>
              <w:jc w:val="right"/>
              <w:textAlignment w:val="top"/>
              <w:rPr>
                <w:rFonts w:asciiTheme="minorEastAsia" w:eastAsiaTheme="minorEastAsia" w:hAnsiTheme="minorEastAsia"/>
              </w:rPr>
            </w:pPr>
            <w:r>
              <w:rPr>
                <w:rFonts w:asciiTheme="minorEastAsia" w:eastAsiaTheme="minorEastAsia" w:hAnsiTheme="minorEastAsia" w:hint="eastAsia"/>
                <w:color w:val="000000"/>
                <w:lang w:bidi="ar"/>
              </w:rPr>
              <w:t>13,369.48</w:t>
            </w:r>
          </w:p>
        </w:tc>
        <w:tc>
          <w:tcPr>
            <w:tcW w:w="1299" w:type="pct"/>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13,369.48</w:t>
            </w:r>
          </w:p>
        </w:tc>
        <w:tc>
          <w:tcPr>
            <w:tcW w:w="1267" w:type="pct"/>
          </w:tcPr>
          <w:p w:rsidR="000C5659" w:rsidRDefault="000E33C4">
            <w:pPr>
              <w:jc w:val="right"/>
              <w:rPr>
                <w:rFonts w:asciiTheme="minorEastAsia" w:eastAsiaTheme="minorEastAsia" w:hAnsiTheme="minorEastAsia"/>
              </w:rPr>
            </w:pPr>
            <w:r>
              <w:rPr>
                <w:rFonts w:asciiTheme="minorEastAsia" w:eastAsiaTheme="minorEastAsia" w:hAnsiTheme="minorEastAsia"/>
              </w:rPr>
              <w:t>100.00</w:t>
            </w:r>
          </w:p>
        </w:tc>
      </w:tr>
      <w:tr w:rsidR="000C5659">
        <w:tc>
          <w:tcPr>
            <w:tcW w:w="1158" w:type="pct"/>
            <w:vAlign w:val="center"/>
          </w:tcPr>
          <w:p w:rsidR="000C5659" w:rsidRDefault="000E33C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1276" w:type="pct"/>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96,813,406.08</w:t>
            </w:r>
          </w:p>
        </w:tc>
        <w:tc>
          <w:tcPr>
            <w:tcW w:w="1299" w:type="pct"/>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5,259,666.18</w:t>
            </w:r>
          </w:p>
        </w:tc>
        <w:tc>
          <w:tcPr>
            <w:tcW w:w="1267" w:type="pct"/>
          </w:tcPr>
          <w:p w:rsidR="000C5659" w:rsidRDefault="000E33C4">
            <w:pPr>
              <w:jc w:val="right"/>
              <w:rPr>
                <w:rFonts w:asciiTheme="minorEastAsia" w:eastAsiaTheme="minorEastAsia" w:hAnsiTheme="minorEastAsia"/>
              </w:rPr>
            </w:pPr>
            <w:r>
              <w:rPr>
                <w:rFonts w:asciiTheme="minorEastAsia" w:eastAsiaTheme="minorEastAsia" w:hAnsiTheme="minorEastAsia" w:hint="eastAsia"/>
              </w:rPr>
              <w:t>/</w:t>
            </w:r>
          </w:p>
        </w:tc>
      </w:tr>
    </w:tbl>
    <w:p w:rsidR="000C5659" w:rsidRDefault="000C5659">
      <w:pPr>
        <w:pStyle w:val="Style325"/>
      </w:pPr>
    </w:p>
    <w:p w:rsidR="000C5659" w:rsidRDefault="000E33C4">
      <w:pPr>
        <w:rPr>
          <w:color w:val="000000" w:themeColor="text1"/>
        </w:rPr>
      </w:pPr>
      <w:r>
        <w:rPr>
          <w:rFonts w:hint="eastAsia"/>
          <w:color w:val="000000" w:themeColor="text1"/>
        </w:rPr>
        <w:t>按组合计提坏账准备的说明：</w:t>
      </w:r>
    </w:p>
    <w:sdt>
      <w:sdtPr>
        <w:rPr>
          <w:color w:val="000000" w:themeColor="text1"/>
        </w:rPr>
        <w:alias w:val="是否适用：母公司应收账款按组合计提坏账的确认标准及说明[双击切换]"/>
        <w:tag w:val="_GBC_186c78f5430148f29cc239ac6b530e5e"/>
        <w:id w:val="-196456263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398"/>
    <w:p w:rsidR="000C5659" w:rsidRDefault="000C5659">
      <w:pPr>
        <w:rPr>
          <w:color w:val="000000" w:themeColor="text1"/>
        </w:rPr>
      </w:pPr>
    </w:p>
    <w:p w:rsidR="000C5659" w:rsidRDefault="000E33C4">
      <w:pPr>
        <w:rPr>
          <w:color w:val="000000" w:themeColor="text1"/>
        </w:rPr>
      </w:pPr>
      <w:bookmarkStart w:id="399" w:name="_Hlk534616017"/>
      <w:bookmarkStart w:id="400" w:name="_Hlk167980591"/>
      <w:r>
        <w:rPr>
          <w:rFonts w:hint="eastAsia"/>
          <w:color w:val="000000" w:themeColor="text1"/>
        </w:rPr>
        <w:t>按预期信用损失一般模型计提坏账准备</w:t>
      </w:r>
    </w:p>
    <w:sdt>
      <w:sdtPr>
        <w:rPr>
          <w:color w:val="000000" w:themeColor="text1"/>
        </w:rPr>
        <w:alias w:val="是否适用：母公司应收账款按一般预计信用损失模型计提坏账[双击切换]"/>
        <w:tag w:val="_GBC_f0abda0ef94e4c708c624cb545c56aeb"/>
        <w:id w:val="688345579"/>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autoSpaceDE w:val="0"/>
        <w:autoSpaceDN w:val="0"/>
        <w:adjustRightInd w:val="0"/>
        <w:ind w:rightChars="50" w:right="105"/>
        <w:rPr>
          <w:color w:val="000000" w:themeColor="text1"/>
        </w:rPr>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0489be1e98c542ca9f393e48f8ce8d06"/>
        <w:id w:val="-401610395"/>
        <w:placeholder>
          <w:docPart w:val="GBC22222222222222222222222222222"/>
        </w:placeholder>
      </w:sdtPr>
      <w:sdtEndPr/>
      <w:sdtContent>
        <w:p w:rsidR="000C5659" w:rsidRDefault="000E33C4">
          <w:pPr>
            <w:rPr>
              <w:rFonts w:cs="Times New Roman"/>
              <w:color w:val="000000" w:themeColor="text1"/>
              <w:szCs w:val="22"/>
            </w:rPr>
          </w:pPr>
          <w:r>
            <w:rPr>
              <w:rFonts w:cs="Times New Roman" w:hint="eastAsia"/>
              <w:color w:val="000000" w:themeColor="text1"/>
              <w:szCs w:val="22"/>
            </w:rPr>
            <w:t>1年内5%，1-2年40%，2-3年70%，3年以上100%</w:t>
          </w:r>
        </w:p>
      </w:sdtContent>
    </w:sdt>
    <w:p w:rsidR="000C5659" w:rsidRDefault="000C5659">
      <w:pPr>
        <w:rPr>
          <w:color w:val="000000" w:themeColor="text1"/>
        </w:rPr>
      </w:pPr>
    </w:p>
    <w:p w:rsidR="000C5659" w:rsidRDefault="000E33C4">
      <w:pPr>
        <w:pStyle w:val="Style197"/>
        <w:rPr>
          <w:color w:val="000000" w:themeColor="text1"/>
        </w:rPr>
      </w:pPr>
      <w:r>
        <w:rPr>
          <w:rFonts w:hint="eastAsia"/>
          <w:color w:val="000000" w:themeColor="text1"/>
        </w:rPr>
        <w:t>对本期发生损失准备变动的应收账款账面余额显著变动的情况说明：</w:t>
      </w:r>
    </w:p>
    <w:sdt>
      <w:sdtPr>
        <w:rPr>
          <w:color w:val="000000" w:themeColor="text1"/>
        </w:rPr>
        <w:alias w:val="是否适用：母公司对本期发生损失准备变动的账面余额显著变动的情况说明[双击切换]"/>
        <w:tag w:val="_GBC_c77cf591dcd24f7788bd4150e02a7f8f"/>
        <w:id w:val="1083647555"/>
        <w:placeholder>
          <w:docPart w:val="GBC22222222222222222222222222222"/>
        </w:placeholder>
      </w:sdtPr>
      <w:sdtEndPr/>
      <w:sdtContent>
        <w:p w:rsidR="000C5659" w:rsidRDefault="000E33C4">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8"/>
        </w:numPr>
        <w:ind w:left="426" w:hangingChars="202" w:hanging="426"/>
        <w:rPr>
          <w:color w:val="000000" w:themeColor="text1"/>
        </w:rPr>
      </w:pPr>
      <w:bookmarkStart w:id="401" w:name="_Hlk10540190"/>
      <w:bookmarkStart w:id="402" w:name="_Hlk10540207"/>
      <w:bookmarkEnd w:id="399"/>
      <w:bookmarkEnd w:id="400"/>
      <w:r>
        <w:rPr>
          <w:rFonts w:hint="eastAsia"/>
          <w:color w:val="000000" w:themeColor="text1"/>
        </w:rPr>
        <w:t>坏账准备的情况</w:t>
      </w:r>
      <w:bookmarkEnd w:id="401"/>
    </w:p>
    <w:sdt>
      <w:sdtPr>
        <w:rPr>
          <w:color w:val="000000" w:themeColor="text1"/>
        </w:rPr>
        <w:alias w:val="是否适用：母公司应收账款坏账准备情况[双击切换]"/>
        <w:tag w:val="_GBC_f73789de2ecf49c4bad380c8767c93cf"/>
        <w:id w:val="897256678"/>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snapToGrid w:val="0"/>
        <w:spacing w:line="240" w:lineRule="atLeast"/>
        <w:ind w:left="425" w:firstLineChars="0" w:firstLine="0"/>
        <w:jc w:val="right"/>
        <w:rPr>
          <w:rFonts w:ascii="宋体" w:hAnsi="宋体"/>
          <w:color w:val="000000" w:themeColor="text1"/>
          <w:szCs w:val="21"/>
        </w:rPr>
      </w:pPr>
      <w:bookmarkStart w:id="403" w:name="_Hlk41553597"/>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坏账准备情况"/>
          <w:tag w:val="_GBC_b1cb6a2ed32f4cbba0ff71c0724458cf"/>
          <w:id w:val="238522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应收账款坏账准备情况"/>
          <w:tag w:val="_GBC_d354bf362fbe459f823a08ebfd7e3967"/>
          <w:id w:val="798654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32"/>
        <w:gridCol w:w="1486"/>
        <w:gridCol w:w="1276"/>
        <w:gridCol w:w="1033"/>
        <w:gridCol w:w="1107"/>
        <w:gridCol w:w="1103"/>
        <w:gridCol w:w="1486"/>
      </w:tblGrid>
      <w:tr w:rsidR="000C5659">
        <w:trPr>
          <w:jc w:val="center"/>
        </w:trPr>
        <w:sdt>
          <w:sdtPr>
            <w:rPr>
              <w:color w:val="000000" w:themeColor="text1"/>
            </w:rPr>
            <w:tag w:val="_PLD_f6bf13992bdc4b06bd6f364458e0df47"/>
            <w:id w:val="-392806761"/>
          </w:sdtPr>
          <w:sdtEndPr/>
          <w:sdtContent>
            <w:tc>
              <w:tcPr>
                <w:tcW w:w="817" w:type="pct"/>
                <w:vMerge w:val="restart"/>
                <w:shd w:val="clear" w:color="auto" w:fill="FFFFFF"/>
                <w:vAlign w:val="center"/>
              </w:tcPr>
              <w:p w:rsidR="000C5659" w:rsidRDefault="000E33C4">
                <w:pPr>
                  <w:widowControl w:val="0"/>
                  <w:jc w:val="center"/>
                  <w:rPr>
                    <w:color w:val="000000" w:themeColor="text1"/>
                  </w:rPr>
                </w:pPr>
                <w:r>
                  <w:rPr>
                    <w:color w:val="000000" w:themeColor="text1"/>
                  </w:rPr>
                  <w:t>类别</w:t>
                </w:r>
              </w:p>
            </w:tc>
          </w:sdtContent>
        </w:sdt>
        <w:sdt>
          <w:sdtPr>
            <w:rPr>
              <w:color w:val="000000" w:themeColor="text1"/>
            </w:rPr>
            <w:tag w:val="_PLD_579b33cd0d7e490d998a64c9f202ccfb"/>
            <w:id w:val="1967856518"/>
          </w:sdtPr>
          <w:sdtEndPr/>
          <w:sdtContent>
            <w:tc>
              <w:tcPr>
                <w:tcW w:w="687" w:type="pct"/>
                <w:vMerge w:val="restart"/>
                <w:shd w:val="clear" w:color="auto" w:fill="FFFFFF"/>
                <w:vAlign w:val="center"/>
              </w:tcPr>
              <w:p w:rsidR="000C5659" w:rsidRDefault="000E33C4">
                <w:pPr>
                  <w:widowControl w:val="0"/>
                  <w:jc w:val="center"/>
                  <w:rPr>
                    <w:color w:val="000000" w:themeColor="text1"/>
                  </w:rPr>
                </w:pPr>
                <w:r>
                  <w:rPr>
                    <w:color w:val="000000" w:themeColor="text1"/>
                  </w:rPr>
                  <w:t>期初余额</w:t>
                </w:r>
              </w:p>
            </w:tc>
          </w:sdtContent>
        </w:sdt>
        <w:sdt>
          <w:sdtPr>
            <w:rPr>
              <w:color w:val="000000" w:themeColor="text1"/>
            </w:rPr>
            <w:tag w:val="_PLD_2cbc55bce2ef44bbb40e4050dfe846f1"/>
            <w:id w:val="762267608"/>
          </w:sdtPr>
          <w:sdtEndPr/>
          <w:sdtContent>
            <w:tc>
              <w:tcPr>
                <w:tcW w:w="2809" w:type="pct"/>
                <w:gridSpan w:val="4"/>
                <w:shd w:val="clear" w:color="auto" w:fill="FFFFFF"/>
                <w:vAlign w:val="center"/>
              </w:tcPr>
              <w:p w:rsidR="000C5659" w:rsidRDefault="000E33C4">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rPr>
              <w:color w:val="000000" w:themeColor="text1"/>
            </w:rPr>
            <w:tag w:val="_PLD_dcc9f714adf8465eb1a49da61466de1f"/>
            <w:id w:val="-1897036726"/>
          </w:sdtPr>
          <w:sdtEndPr/>
          <w:sdtContent>
            <w:tc>
              <w:tcPr>
                <w:tcW w:w="685" w:type="pct"/>
                <w:vMerge w:val="restart"/>
                <w:shd w:val="clear" w:color="auto" w:fill="FFFFFF"/>
                <w:vAlign w:val="center"/>
              </w:tcPr>
              <w:p w:rsidR="000C5659" w:rsidRDefault="000E33C4">
                <w:pPr>
                  <w:widowControl w:val="0"/>
                  <w:jc w:val="center"/>
                  <w:rPr>
                    <w:color w:val="000000" w:themeColor="text1"/>
                  </w:rPr>
                </w:pPr>
                <w:r>
                  <w:rPr>
                    <w:color w:val="000000" w:themeColor="text1"/>
                  </w:rPr>
                  <w:t>期末余额</w:t>
                </w:r>
              </w:p>
            </w:tc>
          </w:sdtContent>
        </w:sdt>
      </w:tr>
      <w:tr w:rsidR="000C5659">
        <w:trPr>
          <w:jc w:val="center"/>
        </w:trPr>
        <w:tc>
          <w:tcPr>
            <w:tcW w:w="817" w:type="pct"/>
            <w:vMerge/>
            <w:shd w:val="clear" w:color="auto" w:fill="FFFFFF"/>
          </w:tcPr>
          <w:p w:rsidR="000C5659" w:rsidRDefault="000C5659">
            <w:pPr>
              <w:widowControl w:val="0"/>
              <w:jc w:val="center"/>
              <w:rPr>
                <w:color w:val="000000" w:themeColor="text1"/>
              </w:rPr>
            </w:pPr>
          </w:p>
        </w:tc>
        <w:tc>
          <w:tcPr>
            <w:tcW w:w="687" w:type="pct"/>
            <w:vMerge/>
            <w:shd w:val="clear" w:color="auto" w:fill="FFFFFF"/>
          </w:tcPr>
          <w:p w:rsidR="000C5659" w:rsidRDefault="000C5659">
            <w:pPr>
              <w:widowControl w:val="0"/>
              <w:jc w:val="center"/>
              <w:rPr>
                <w:color w:val="000000" w:themeColor="text1"/>
              </w:rPr>
            </w:pPr>
          </w:p>
        </w:tc>
        <w:sdt>
          <w:sdtPr>
            <w:rPr>
              <w:color w:val="000000" w:themeColor="text1"/>
            </w:rPr>
            <w:tag w:val="_PLD_e4e43f7257b14faaaaf4b09b161bf7b7"/>
            <w:id w:val="1502704808"/>
          </w:sdtPr>
          <w:sdtEndPr/>
          <w:sdtContent>
            <w:tc>
              <w:tcPr>
                <w:tcW w:w="746" w:type="pct"/>
                <w:shd w:val="clear" w:color="auto" w:fill="FFFFFF"/>
                <w:vAlign w:val="center"/>
              </w:tcPr>
              <w:p w:rsidR="000C5659" w:rsidRDefault="000E33C4">
                <w:pPr>
                  <w:widowControl w:val="0"/>
                  <w:jc w:val="center"/>
                  <w:rPr>
                    <w:color w:val="000000" w:themeColor="text1"/>
                  </w:rPr>
                </w:pPr>
                <w:r>
                  <w:rPr>
                    <w:color w:val="000000" w:themeColor="text1"/>
                  </w:rPr>
                  <w:t>计提</w:t>
                </w:r>
              </w:p>
            </w:tc>
          </w:sdtContent>
        </w:sdt>
        <w:sdt>
          <w:sdtPr>
            <w:rPr>
              <w:color w:val="000000" w:themeColor="text1"/>
            </w:rPr>
            <w:tag w:val="_PLD_bf7fb55a6c2a4d18926896fd921fc857"/>
            <w:id w:val="-1430578931"/>
          </w:sdtPr>
          <w:sdtEndPr/>
          <w:sdtContent>
            <w:tc>
              <w:tcPr>
                <w:tcW w:w="687" w:type="pct"/>
                <w:shd w:val="clear" w:color="auto" w:fill="FFFFFF"/>
                <w:vAlign w:val="center"/>
              </w:tcPr>
              <w:p w:rsidR="000C5659" w:rsidRDefault="000E33C4">
                <w:pPr>
                  <w:widowControl w:val="0"/>
                  <w:jc w:val="center"/>
                  <w:rPr>
                    <w:color w:val="000000" w:themeColor="text1"/>
                  </w:rPr>
                </w:pPr>
                <w:r>
                  <w:rPr>
                    <w:rFonts w:hint="eastAsia"/>
                    <w:color w:val="000000" w:themeColor="text1"/>
                  </w:rPr>
                  <w:t>收回或转回</w:t>
                </w:r>
              </w:p>
            </w:tc>
          </w:sdtContent>
        </w:sdt>
        <w:tc>
          <w:tcPr>
            <w:tcW w:w="689" w:type="pct"/>
            <w:shd w:val="clear" w:color="auto" w:fill="FFFFFF"/>
            <w:vAlign w:val="center"/>
          </w:tcPr>
          <w:sdt>
            <w:sdtPr>
              <w:rPr>
                <w:rFonts w:hint="eastAsia"/>
                <w:color w:val="000000" w:themeColor="text1"/>
              </w:rPr>
              <w:tag w:val="_PLD_536d31c824d74db3baaa7f5b6cd0a9ec"/>
              <w:id w:val="1690407583"/>
            </w:sdtPr>
            <w:sdtEndPr/>
            <w:sdtContent>
              <w:p w:rsidR="000C5659" w:rsidRDefault="000E33C4">
                <w:pPr>
                  <w:widowControl w:val="0"/>
                  <w:jc w:val="center"/>
                  <w:rPr>
                    <w:color w:val="000000" w:themeColor="text1"/>
                  </w:rPr>
                </w:pPr>
                <w:r>
                  <w:rPr>
                    <w:rFonts w:hint="eastAsia"/>
                    <w:color w:val="000000" w:themeColor="text1"/>
                  </w:rPr>
                  <w:t>转销或核销</w:t>
                </w:r>
              </w:p>
            </w:sdtContent>
          </w:sdt>
        </w:tc>
        <w:tc>
          <w:tcPr>
            <w:tcW w:w="687" w:type="pct"/>
            <w:shd w:val="clear" w:color="auto" w:fill="FFFFFF"/>
            <w:vAlign w:val="center"/>
          </w:tcPr>
          <w:sdt>
            <w:sdtPr>
              <w:rPr>
                <w:rFonts w:hint="eastAsia"/>
                <w:color w:val="000000" w:themeColor="text1"/>
              </w:rPr>
              <w:tag w:val="_PLD_32a7ce101f6b48d68c39e1edb6e78b82"/>
              <w:id w:val="1091587137"/>
            </w:sdtPr>
            <w:sdtEndPr/>
            <w:sdtContent>
              <w:p w:rsidR="000C5659" w:rsidRDefault="000E33C4">
                <w:pPr>
                  <w:widowControl w:val="0"/>
                  <w:jc w:val="right"/>
                  <w:rPr>
                    <w:color w:val="000000" w:themeColor="text1"/>
                  </w:rPr>
                </w:pPr>
                <w:r>
                  <w:rPr>
                    <w:rFonts w:hint="eastAsia"/>
                    <w:color w:val="000000" w:themeColor="text1"/>
                  </w:rPr>
                  <w:t>其他变动</w:t>
                </w:r>
              </w:p>
            </w:sdtContent>
          </w:sdt>
        </w:tc>
        <w:tc>
          <w:tcPr>
            <w:tcW w:w="685" w:type="pct"/>
            <w:vMerge/>
            <w:shd w:val="clear" w:color="auto" w:fill="FFFFFF"/>
          </w:tcPr>
          <w:p w:rsidR="000C5659" w:rsidRDefault="000C5659">
            <w:pPr>
              <w:widowControl w:val="0"/>
              <w:jc w:val="right"/>
              <w:rPr>
                <w:color w:val="000000" w:themeColor="text1"/>
              </w:rPr>
            </w:pPr>
          </w:p>
        </w:tc>
      </w:tr>
      <w:tr w:rsidR="000C5659">
        <w:trPr>
          <w:jc w:val="center"/>
        </w:trPr>
        <w:tc>
          <w:tcPr>
            <w:tcW w:w="817" w:type="pct"/>
            <w:shd w:val="clear" w:color="auto" w:fill="auto"/>
          </w:tcPr>
          <w:p w:rsidR="000C5659" w:rsidRDefault="000E33C4">
            <w:pPr>
              <w:widowControl w:val="0"/>
            </w:pPr>
            <w:r>
              <w:rPr>
                <w:rFonts w:hint="eastAsia"/>
                <w:szCs w:val="18"/>
              </w:rPr>
              <w:t>账龄组合</w:t>
            </w:r>
          </w:p>
        </w:tc>
        <w:tc>
          <w:tcPr>
            <w:tcW w:w="687" w:type="pct"/>
            <w:shd w:val="clear" w:color="auto" w:fill="auto"/>
          </w:tcPr>
          <w:p w:rsidR="000C5659" w:rsidRDefault="000E33C4">
            <w:pPr>
              <w:widowControl w:val="0"/>
              <w:jc w:val="right"/>
            </w:pPr>
            <w:r>
              <w:rPr>
                <w:szCs w:val="18"/>
              </w:rPr>
              <w:t>4,397,890.50</w:t>
            </w:r>
          </w:p>
        </w:tc>
        <w:tc>
          <w:tcPr>
            <w:tcW w:w="746" w:type="pct"/>
            <w:shd w:val="clear" w:color="auto" w:fill="auto"/>
          </w:tcPr>
          <w:p w:rsidR="000C5659" w:rsidRDefault="000E33C4">
            <w:pPr>
              <w:widowControl w:val="0"/>
              <w:jc w:val="right"/>
            </w:pPr>
            <w:r>
              <w:rPr>
                <w:rFonts w:hint="eastAsia"/>
              </w:rPr>
              <w:t>861,775.68</w:t>
            </w:r>
          </w:p>
        </w:tc>
        <w:tc>
          <w:tcPr>
            <w:tcW w:w="687" w:type="pct"/>
            <w:shd w:val="clear" w:color="auto" w:fill="auto"/>
          </w:tcPr>
          <w:p w:rsidR="000C5659" w:rsidRDefault="000C5659">
            <w:pPr>
              <w:widowControl w:val="0"/>
              <w:jc w:val="right"/>
            </w:pPr>
          </w:p>
        </w:tc>
        <w:tc>
          <w:tcPr>
            <w:tcW w:w="689" w:type="pct"/>
          </w:tcPr>
          <w:p w:rsidR="000C5659" w:rsidRDefault="000C5659">
            <w:pPr>
              <w:widowControl w:val="0"/>
              <w:jc w:val="right"/>
            </w:pPr>
          </w:p>
        </w:tc>
        <w:tc>
          <w:tcPr>
            <w:tcW w:w="687" w:type="pct"/>
          </w:tcPr>
          <w:p w:rsidR="000C5659" w:rsidRDefault="000C5659">
            <w:pPr>
              <w:widowControl w:val="0"/>
              <w:jc w:val="right"/>
            </w:pPr>
          </w:p>
        </w:tc>
        <w:tc>
          <w:tcPr>
            <w:tcW w:w="685" w:type="pct"/>
            <w:shd w:val="clear" w:color="auto" w:fill="auto"/>
          </w:tcPr>
          <w:p w:rsidR="000C5659" w:rsidRDefault="000E33C4">
            <w:pPr>
              <w:widowControl w:val="0"/>
              <w:jc w:val="right"/>
            </w:pPr>
            <w:r>
              <w:rPr>
                <w:rFonts w:hint="eastAsia"/>
              </w:rPr>
              <w:t>5,259,666.18</w:t>
            </w:r>
          </w:p>
        </w:tc>
      </w:tr>
      <w:tr w:rsidR="000C5659">
        <w:trPr>
          <w:jc w:val="center"/>
        </w:trPr>
        <w:tc>
          <w:tcPr>
            <w:tcW w:w="817" w:type="pct"/>
            <w:shd w:val="clear" w:color="auto" w:fill="auto"/>
          </w:tcPr>
          <w:p w:rsidR="000C5659" w:rsidRDefault="000E33C4">
            <w:pPr>
              <w:widowControl w:val="0"/>
              <w:jc w:val="center"/>
              <w:rPr>
                <w:color w:val="000000" w:themeColor="text1"/>
              </w:rPr>
            </w:pPr>
            <w:r>
              <w:rPr>
                <w:rFonts w:hint="eastAsia"/>
                <w:color w:val="000000" w:themeColor="text1"/>
              </w:rPr>
              <w:t>合计</w:t>
            </w:r>
          </w:p>
        </w:tc>
        <w:tc>
          <w:tcPr>
            <w:tcW w:w="687" w:type="pct"/>
            <w:shd w:val="clear" w:color="auto" w:fill="auto"/>
          </w:tcPr>
          <w:p w:rsidR="000C5659" w:rsidRDefault="000E33C4">
            <w:pPr>
              <w:widowControl w:val="0"/>
              <w:jc w:val="right"/>
            </w:pPr>
            <w:r>
              <w:rPr>
                <w:szCs w:val="18"/>
              </w:rPr>
              <w:t>4,397,890.50</w:t>
            </w:r>
          </w:p>
        </w:tc>
        <w:tc>
          <w:tcPr>
            <w:tcW w:w="746" w:type="pct"/>
            <w:shd w:val="clear" w:color="auto" w:fill="auto"/>
          </w:tcPr>
          <w:p w:rsidR="000C5659" w:rsidRDefault="000E33C4">
            <w:pPr>
              <w:widowControl w:val="0"/>
              <w:jc w:val="right"/>
            </w:pPr>
            <w:r>
              <w:rPr>
                <w:rFonts w:hint="eastAsia"/>
              </w:rPr>
              <w:t>861,775.68</w:t>
            </w:r>
          </w:p>
        </w:tc>
        <w:tc>
          <w:tcPr>
            <w:tcW w:w="687" w:type="pct"/>
            <w:shd w:val="clear" w:color="auto" w:fill="auto"/>
          </w:tcPr>
          <w:p w:rsidR="000C5659" w:rsidRDefault="000C5659">
            <w:pPr>
              <w:widowControl w:val="0"/>
              <w:jc w:val="right"/>
            </w:pPr>
          </w:p>
        </w:tc>
        <w:tc>
          <w:tcPr>
            <w:tcW w:w="689" w:type="pct"/>
          </w:tcPr>
          <w:p w:rsidR="000C5659" w:rsidRDefault="000C5659">
            <w:pPr>
              <w:widowControl w:val="0"/>
              <w:jc w:val="right"/>
            </w:pPr>
          </w:p>
        </w:tc>
        <w:tc>
          <w:tcPr>
            <w:tcW w:w="687" w:type="pct"/>
          </w:tcPr>
          <w:p w:rsidR="000C5659" w:rsidRDefault="000C5659">
            <w:pPr>
              <w:widowControl w:val="0"/>
              <w:jc w:val="right"/>
            </w:pPr>
          </w:p>
        </w:tc>
        <w:tc>
          <w:tcPr>
            <w:tcW w:w="685" w:type="pct"/>
            <w:shd w:val="clear" w:color="auto" w:fill="auto"/>
          </w:tcPr>
          <w:p w:rsidR="000C5659" w:rsidRDefault="000E33C4">
            <w:pPr>
              <w:widowControl w:val="0"/>
              <w:jc w:val="right"/>
            </w:pPr>
            <w:r>
              <w:rPr>
                <w:rFonts w:hint="eastAsia"/>
              </w:rPr>
              <w:t>5,259,666.18</w:t>
            </w:r>
          </w:p>
        </w:tc>
      </w:tr>
    </w:tbl>
    <w:p w:rsidR="000C5659" w:rsidRDefault="000C5659">
      <w:pPr>
        <w:pStyle w:val="Style175"/>
        <w:snapToGrid w:val="0"/>
        <w:spacing w:line="240" w:lineRule="atLeast"/>
        <w:ind w:left="425" w:firstLineChars="0" w:firstLine="0"/>
        <w:jc w:val="left"/>
        <w:rPr>
          <w:rFonts w:ascii="宋体" w:hAnsi="宋体"/>
          <w:color w:val="000000" w:themeColor="text1"/>
          <w:szCs w:val="21"/>
        </w:rPr>
      </w:pPr>
    </w:p>
    <w:p w:rsidR="000C5659" w:rsidRDefault="000E33C4">
      <w:pPr>
        <w:rPr>
          <w:color w:val="000000" w:themeColor="text1"/>
        </w:rPr>
      </w:pPr>
      <w:bookmarkStart w:id="404" w:name="_Hlk167981805"/>
      <w:bookmarkStart w:id="405" w:name="_Hlk153789356"/>
      <w:bookmarkEnd w:id="402"/>
      <w:bookmarkEnd w:id="403"/>
      <w:r>
        <w:rPr>
          <w:rFonts w:hint="eastAsia"/>
          <w:color w:val="000000" w:themeColor="text1"/>
        </w:rPr>
        <w:t>其中本期坏账准备收回或转回金额重要的：</w:t>
      </w:r>
    </w:p>
    <w:sdt>
      <w:sdtPr>
        <w:rPr>
          <w:color w:val="000000" w:themeColor="text1"/>
        </w:rPr>
        <w:alias w:val="是否适用：母公司其中本期坏账准备收回或转回金额重要的[双击切换]"/>
        <w:tag w:val="_GBC_29cbd6f1a56c4bc9843a0a61bcf42c88"/>
        <w:id w:val="-132797202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应收账款坏账准备情况的说明"/>
        <w:tag w:val="_GBC_0ab588d220454a20ba505c5d15821534"/>
        <w:id w:val="-1550371461"/>
        <w:placeholder>
          <w:docPart w:val="GBC22222222222222222222222222222"/>
        </w:placeholder>
      </w:sdtPr>
      <w:sdtEndPr/>
      <w:sdtContent>
        <w:p w:rsidR="000C5659" w:rsidRDefault="000E33C4">
          <w:pPr>
            <w:ind w:rightChars="-759" w:right="-1594"/>
            <w:rPr>
              <w:color w:val="000000" w:themeColor="text1"/>
            </w:rPr>
          </w:pPr>
          <w:r>
            <w:rPr>
              <w:rFonts w:hint="eastAsia"/>
              <w:color w:val="000000" w:themeColor="text1"/>
            </w:rPr>
            <w:t>无</w:t>
          </w:r>
        </w:p>
      </w:sdtContent>
    </w:sdt>
    <w:p w:rsidR="000C5659" w:rsidRDefault="000C5659">
      <w:pPr>
        <w:ind w:rightChars="-759" w:right="-1594"/>
        <w:rPr>
          <w:rFonts w:ascii="Times New Roman" w:hAnsi="Times New Roman" w:cs="Times New Roman"/>
          <w:color w:val="000000" w:themeColor="text1"/>
          <w:kern w:val="2"/>
        </w:rPr>
      </w:pPr>
    </w:p>
    <w:bookmarkEnd w:id="404"/>
    <w:bookmarkEnd w:id="405"/>
    <w:p w:rsidR="000C5659" w:rsidRDefault="000E33C4" w:rsidP="000743DD">
      <w:pPr>
        <w:pStyle w:val="43"/>
        <w:numPr>
          <w:ilvl w:val="3"/>
          <w:numId w:val="118"/>
        </w:numPr>
        <w:ind w:left="426" w:hangingChars="202" w:hanging="426"/>
        <w:rPr>
          <w:color w:val="000000" w:themeColor="text1"/>
        </w:rPr>
      </w:pPr>
      <w:r>
        <w:rPr>
          <w:rFonts w:hint="eastAsia"/>
          <w:color w:val="000000" w:themeColor="text1"/>
        </w:rPr>
        <w:t>本期实际核销的应收账款情况</w:t>
      </w:r>
    </w:p>
    <w:sdt>
      <w:sdtPr>
        <w:rPr>
          <w:color w:val="000000" w:themeColor="text1"/>
        </w:rPr>
        <w:alias w:val="是否适用：母公司本期实际核销的应收账款情况[双击切换]"/>
        <w:tag w:val="_GBC_a8b9861b74fa43bdb4a98d13449f8f5e"/>
        <w:id w:val="21901445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其中重要的应收账款核销情况</w:t>
      </w:r>
    </w:p>
    <w:sdt>
      <w:sdtPr>
        <w:rPr>
          <w:color w:val="000000" w:themeColor="text1"/>
        </w:rPr>
        <w:alias w:val="是否适用：母公司其中重要的应收账款核销情况[双击切换]"/>
        <w:tag w:val="_GBC_827c9c10930747bc8ba843d89c64f1fb"/>
        <w:id w:val="-323124821"/>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母公司应收账款核销说明[双击切换]"/>
        <w:tag w:val="_GBC_36d2cef3128f4b3389b38ed29442e2b3"/>
        <w:id w:val="-118412485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8"/>
        </w:numPr>
        <w:ind w:left="426" w:hangingChars="202" w:hanging="426"/>
        <w:rPr>
          <w:color w:val="000000" w:themeColor="text1"/>
        </w:rPr>
      </w:pPr>
      <w:bookmarkStart w:id="406" w:name="_Hlk90023019"/>
      <w:bookmarkStart w:id="407" w:name="_Hlk167981941"/>
      <w:bookmarkStart w:id="408" w:name="_Hlk153789714"/>
      <w:r>
        <w:rPr>
          <w:rFonts w:hint="eastAsia"/>
          <w:color w:val="000000" w:themeColor="text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9395e3af825547b4abf8734a6459492f"/>
        <w:id w:val="-1721587280"/>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d6261cbe3c904089bd795ccb3093ee73"/>
          <w:id w:val="5080198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收账款前五名欠款情况"/>
          <w:tag w:val="_GBC_e64ffa6f9fba457f8f4da7574e1bd056"/>
          <w:id w:val="-16296987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654"/>
        <w:gridCol w:w="1371"/>
        <w:gridCol w:w="1581"/>
        <w:gridCol w:w="1371"/>
        <w:gridCol w:w="1476"/>
      </w:tblGrid>
      <w:tr w:rsidR="000C5659">
        <w:trPr>
          <w:cantSplit/>
        </w:trPr>
        <w:sdt>
          <w:sdtPr>
            <w:rPr>
              <w:rFonts w:hint="eastAsia"/>
              <w:color w:val="000000" w:themeColor="text1"/>
            </w:rPr>
            <w:tag w:val="_PLD_66e33a7e6be44d5eb2d50643e6237cc4"/>
            <w:id w:val="-252894680"/>
          </w:sdtPr>
          <w:sdtEndPr/>
          <w:sdtContent>
            <w:tc>
              <w:tcPr>
                <w:tcW w:w="833" w:type="pct"/>
                <w:vAlign w:val="center"/>
              </w:tcPr>
              <w:p w:rsidR="000C5659" w:rsidRDefault="000E33C4">
                <w:pPr>
                  <w:ind w:right="105"/>
                  <w:jc w:val="center"/>
                  <w:rPr>
                    <w:color w:val="000000" w:themeColor="text1"/>
                  </w:rPr>
                </w:pPr>
                <w:r>
                  <w:rPr>
                    <w:rFonts w:hint="eastAsia"/>
                    <w:color w:val="000000" w:themeColor="text1"/>
                  </w:rPr>
                  <w:t>单位名称</w:t>
                </w:r>
              </w:p>
            </w:tc>
          </w:sdtContent>
        </w:sdt>
        <w:sdt>
          <w:sdtPr>
            <w:rPr>
              <w:rFonts w:hint="eastAsia"/>
              <w:color w:val="000000" w:themeColor="text1"/>
            </w:rPr>
            <w:tag w:val="_PLD_e60db498c5ba4a96a970a6ce918e5153"/>
            <w:id w:val="-1578829355"/>
          </w:sdtPr>
          <w:sdtEndPr/>
          <w:sdtContent>
            <w:tc>
              <w:tcPr>
                <w:tcW w:w="833" w:type="pct"/>
                <w:vAlign w:val="center"/>
              </w:tcPr>
              <w:p w:rsidR="000C5659" w:rsidRDefault="000E33C4">
                <w:pPr>
                  <w:ind w:right="73"/>
                  <w:jc w:val="center"/>
                  <w:rPr>
                    <w:color w:val="000000" w:themeColor="text1"/>
                  </w:rPr>
                </w:pPr>
                <w:r>
                  <w:rPr>
                    <w:rFonts w:hint="eastAsia"/>
                    <w:color w:val="000000" w:themeColor="text1"/>
                  </w:rPr>
                  <w:t>应收账款期末余额</w:t>
                </w:r>
              </w:p>
            </w:tc>
          </w:sdtContent>
        </w:sdt>
        <w:sdt>
          <w:sdtPr>
            <w:rPr>
              <w:rFonts w:hint="eastAsia"/>
              <w:color w:val="000000" w:themeColor="text1"/>
            </w:rPr>
            <w:tag w:val="_PLD_944b59d1898d47a2b9811200fe8238cc"/>
            <w:id w:val="-603343033"/>
          </w:sdtPr>
          <w:sdtEndPr/>
          <w:sdtContent>
            <w:tc>
              <w:tcPr>
                <w:tcW w:w="833" w:type="pct"/>
                <w:vAlign w:val="center"/>
              </w:tcPr>
              <w:p w:rsidR="000C5659" w:rsidRDefault="000E33C4">
                <w:pPr>
                  <w:jc w:val="center"/>
                  <w:rPr>
                    <w:color w:val="000000" w:themeColor="text1"/>
                  </w:rPr>
                </w:pPr>
                <w:r>
                  <w:rPr>
                    <w:rFonts w:hint="eastAsia"/>
                    <w:color w:val="000000" w:themeColor="text1"/>
                  </w:rPr>
                  <w:t>合同资产期末余额</w:t>
                </w:r>
              </w:p>
            </w:tc>
          </w:sdtContent>
        </w:sdt>
        <w:sdt>
          <w:sdtPr>
            <w:rPr>
              <w:rFonts w:hint="eastAsia"/>
              <w:color w:val="000000" w:themeColor="text1"/>
            </w:rPr>
            <w:tag w:val="_PLD_301be10e795242c58ee556a8cd07660a"/>
            <w:id w:val="2041087609"/>
          </w:sdtPr>
          <w:sdtEndPr/>
          <w:sdtContent>
            <w:tc>
              <w:tcPr>
                <w:tcW w:w="833" w:type="pct"/>
                <w:vAlign w:val="center"/>
              </w:tcPr>
              <w:p w:rsidR="000C5659" w:rsidRDefault="000E33C4">
                <w:pPr>
                  <w:jc w:val="center"/>
                  <w:rPr>
                    <w:color w:val="000000" w:themeColor="text1"/>
                  </w:rPr>
                </w:pPr>
                <w:r>
                  <w:rPr>
                    <w:rFonts w:hint="eastAsia"/>
                    <w:color w:val="000000" w:themeColor="text1"/>
                  </w:rPr>
                  <w:t>应收账款和合同资产期末余额</w:t>
                </w:r>
              </w:p>
            </w:tc>
          </w:sdtContent>
        </w:sdt>
        <w:sdt>
          <w:sdtPr>
            <w:rPr>
              <w:rFonts w:hint="eastAsia"/>
              <w:color w:val="000000" w:themeColor="text1"/>
            </w:rPr>
            <w:tag w:val="_PLD_9d7daec6d6fe4a5d9c133a5c71d1c062"/>
            <w:id w:val="937564379"/>
          </w:sdtPr>
          <w:sdtEndPr/>
          <w:sdtContent>
            <w:tc>
              <w:tcPr>
                <w:tcW w:w="833" w:type="pct"/>
                <w:vAlign w:val="center"/>
              </w:tcPr>
              <w:p w:rsidR="000C5659" w:rsidRDefault="000E33C4">
                <w:pPr>
                  <w:jc w:val="center"/>
                  <w:rPr>
                    <w:color w:val="000000" w:themeColor="text1"/>
                  </w:rPr>
                </w:pPr>
                <w:r>
                  <w:rPr>
                    <w:rFonts w:hint="eastAsia"/>
                    <w:color w:val="000000" w:themeColor="text1"/>
                  </w:rPr>
                  <w:t>占应收账款和合同资产期末余额合计数的比例（%）</w:t>
                </w:r>
              </w:p>
            </w:tc>
          </w:sdtContent>
        </w:sdt>
        <w:sdt>
          <w:sdtPr>
            <w:rPr>
              <w:rFonts w:hint="eastAsia"/>
              <w:color w:val="000000" w:themeColor="text1"/>
            </w:rPr>
            <w:tag w:val="_PLD_50b08561bfef4171ad4e74488b9eb0c0"/>
            <w:id w:val="-615366494"/>
          </w:sdtPr>
          <w:sdtEndPr/>
          <w:sdtContent>
            <w:tc>
              <w:tcPr>
                <w:tcW w:w="833" w:type="pct"/>
                <w:vAlign w:val="center"/>
              </w:tcPr>
              <w:p w:rsidR="000C5659" w:rsidRDefault="000E33C4">
                <w:pPr>
                  <w:jc w:val="center"/>
                  <w:rPr>
                    <w:color w:val="000000" w:themeColor="text1"/>
                  </w:rPr>
                </w:pPr>
                <w:r>
                  <w:rPr>
                    <w:rFonts w:hint="eastAsia"/>
                    <w:color w:val="000000" w:themeColor="text1"/>
                  </w:rPr>
                  <w:t>坏账准备期末余额</w:t>
                </w:r>
              </w:p>
            </w:tc>
          </w:sdtContent>
        </w:sdt>
      </w:tr>
      <w:tr w:rsidR="000C5659">
        <w:trPr>
          <w:cantSplit/>
        </w:trPr>
        <w:tc>
          <w:tcPr>
            <w:tcW w:w="833" w:type="pct"/>
          </w:tcPr>
          <w:p w:rsidR="000C5659" w:rsidRDefault="000E33C4">
            <w:pPr>
              <w:ind w:right="105"/>
            </w:pPr>
            <w:r>
              <w:rPr>
                <w:rFonts w:hint="eastAsia"/>
              </w:rPr>
              <w:t>扬州美星口腔护理用品有限公司</w:t>
            </w:r>
          </w:p>
        </w:tc>
        <w:tc>
          <w:tcPr>
            <w:tcW w:w="833" w:type="pct"/>
          </w:tcPr>
          <w:p w:rsidR="000C5659" w:rsidRDefault="000E33C4">
            <w:pPr>
              <w:ind w:right="73"/>
              <w:jc w:val="right"/>
            </w:pPr>
            <w:r>
              <w:rPr>
                <w:rFonts w:hint="eastAsia"/>
              </w:rPr>
              <w:t>41,151,338.68</w:t>
            </w:r>
          </w:p>
        </w:tc>
        <w:tc>
          <w:tcPr>
            <w:tcW w:w="833" w:type="pct"/>
          </w:tcPr>
          <w:p w:rsidR="000C5659" w:rsidRDefault="000C5659">
            <w:pPr>
              <w:jc w:val="right"/>
            </w:pPr>
          </w:p>
        </w:tc>
        <w:tc>
          <w:tcPr>
            <w:tcW w:w="833" w:type="pct"/>
          </w:tcPr>
          <w:p w:rsidR="000C5659" w:rsidRDefault="000E33C4">
            <w:pPr>
              <w:jc w:val="right"/>
            </w:pPr>
            <w:r>
              <w:t>41,151,338.68</w:t>
            </w:r>
          </w:p>
        </w:tc>
        <w:tc>
          <w:tcPr>
            <w:tcW w:w="833" w:type="pct"/>
          </w:tcPr>
          <w:p w:rsidR="000C5659" w:rsidRDefault="000E33C4">
            <w:pPr>
              <w:jc w:val="right"/>
            </w:pPr>
            <w:r>
              <w:t>27.10%</w:t>
            </w:r>
          </w:p>
        </w:tc>
        <w:tc>
          <w:tcPr>
            <w:tcW w:w="833" w:type="pct"/>
          </w:tcPr>
          <w:p w:rsidR="000C5659" w:rsidRDefault="000C5659">
            <w:pPr>
              <w:jc w:val="right"/>
            </w:pPr>
          </w:p>
        </w:tc>
      </w:tr>
      <w:tr w:rsidR="000C5659">
        <w:trPr>
          <w:cantSplit/>
        </w:trPr>
        <w:tc>
          <w:tcPr>
            <w:tcW w:w="833" w:type="pct"/>
          </w:tcPr>
          <w:p w:rsidR="000C5659" w:rsidRDefault="000E33C4">
            <w:pPr>
              <w:ind w:right="105"/>
            </w:pPr>
            <w:r>
              <w:t>第二名</w:t>
            </w:r>
          </w:p>
        </w:tc>
        <w:tc>
          <w:tcPr>
            <w:tcW w:w="833" w:type="pct"/>
          </w:tcPr>
          <w:p w:rsidR="000C5659" w:rsidRDefault="000E33C4">
            <w:pPr>
              <w:ind w:right="73"/>
              <w:jc w:val="right"/>
            </w:pPr>
            <w:r>
              <w:rPr>
                <w:rFonts w:hint="eastAsia"/>
              </w:rPr>
              <w:t>22,991,544.04</w:t>
            </w:r>
          </w:p>
        </w:tc>
        <w:tc>
          <w:tcPr>
            <w:tcW w:w="833" w:type="pct"/>
          </w:tcPr>
          <w:p w:rsidR="000C5659" w:rsidRDefault="000C5659">
            <w:pPr>
              <w:jc w:val="right"/>
            </w:pPr>
          </w:p>
        </w:tc>
        <w:tc>
          <w:tcPr>
            <w:tcW w:w="833" w:type="pct"/>
          </w:tcPr>
          <w:p w:rsidR="000C5659" w:rsidRDefault="000E33C4">
            <w:pPr>
              <w:jc w:val="right"/>
            </w:pPr>
            <w:r>
              <w:t>22,991,544.04</w:t>
            </w:r>
          </w:p>
        </w:tc>
        <w:tc>
          <w:tcPr>
            <w:tcW w:w="833" w:type="pct"/>
          </w:tcPr>
          <w:p w:rsidR="000C5659" w:rsidRDefault="000E33C4">
            <w:pPr>
              <w:jc w:val="right"/>
            </w:pPr>
            <w:r>
              <w:t>15.14%</w:t>
            </w:r>
          </w:p>
        </w:tc>
        <w:tc>
          <w:tcPr>
            <w:tcW w:w="833" w:type="pct"/>
          </w:tcPr>
          <w:p w:rsidR="000C5659" w:rsidRDefault="000E33C4">
            <w:pPr>
              <w:jc w:val="right"/>
            </w:pPr>
            <w:r>
              <w:rPr>
                <w:rFonts w:hint="eastAsia"/>
              </w:rPr>
              <w:t>1,149,577.20</w:t>
            </w:r>
          </w:p>
        </w:tc>
      </w:tr>
      <w:tr w:rsidR="000C5659">
        <w:trPr>
          <w:cantSplit/>
        </w:trPr>
        <w:tc>
          <w:tcPr>
            <w:tcW w:w="833" w:type="pct"/>
          </w:tcPr>
          <w:p w:rsidR="000C5659" w:rsidRDefault="000E33C4">
            <w:pPr>
              <w:ind w:right="105"/>
              <w:jc w:val="both"/>
              <w:rPr>
                <w:color w:val="000000" w:themeColor="text1"/>
              </w:rPr>
            </w:pPr>
            <w:r>
              <w:rPr>
                <w:rFonts w:hint="eastAsia"/>
              </w:rPr>
              <w:t>扬州倍加洁日化有限公司</w:t>
            </w:r>
          </w:p>
        </w:tc>
        <w:tc>
          <w:tcPr>
            <w:tcW w:w="833" w:type="pct"/>
          </w:tcPr>
          <w:p w:rsidR="000C5659" w:rsidRDefault="000E33C4">
            <w:pPr>
              <w:ind w:right="73"/>
              <w:jc w:val="right"/>
            </w:pPr>
            <w:r>
              <w:rPr>
                <w:rFonts w:hint="eastAsia"/>
              </w:rPr>
              <w:t>11,451,805.70</w:t>
            </w:r>
          </w:p>
        </w:tc>
        <w:tc>
          <w:tcPr>
            <w:tcW w:w="833" w:type="pct"/>
          </w:tcPr>
          <w:p w:rsidR="000C5659" w:rsidRDefault="000C5659">
            <w:pPr>
              <w:jc w:val="right"/>
            </w:pPr>
          </w:p>
        </w:tc>
        <w:tc>
          <w:tcPr>
            <w:tcW w:w="833" w:type="pct"/>
          </w:tcPr>
          <w:p w:rsidR="000C5659" w:rsidRDefault="000E33C4">
            <w:pPr>
              <w:jc w:val="right"/>
            </w:pPr>
            <w:r>
              <w:t>11,451,805.70</w:t>
            </w:r>
          </w:p>
        </w:tc>
        <w:tc>
          <w:tcPr>
            <w:tcW w:w="833" w:type="pct"/>
          </w:tcPr>
          <w:p w:rsidR="000C5659" w:rsidRDefault="000E33C4">
            <w:pPr>
              <w:jc w:val="right"/>
            </w:pPr>
            <w:r>
              <w:t>7.54%</w:t>
            </w:r>
          </w:p>
        </w:tc>
        <w:tc>
          <w:tcPr>
            <w:tcW w:w="833" w:type="pct"/>
          </w:tcPr>
          <w:p w:rsidR="000C5659" w:rsidRDefault="000C5659">
            <w:pPr>
              <w:jc w:val="right"/>
            </w:pPr>
          </w:p>
        </w:tc>
      </w:tr>
      <w:tr w:rsidR="000C5659">
        <w:trPr>
          <w:cantSplit/>
        </w:trPr>
        <w:tc>
          <w:tcPr>
            <w:tcW w:w="833" w:type="pct"/>
          </w:tcPr>
          <w:p w:rsidR="000C5659" w:rsidRDefault="000E33C4">
            <w:pPr>
              <w:ind w:right="105"/>
              <w:jc w:val="both"/>
              <w:rPr>
                <w:color w:val="000000" w:themeColor="text1"/>
              </w:rPr>
            </w:pPr>
            <w:r>
              <w:t>第四名</w:t>
            </w:r>
          </w:p>
        </w:tc>
        <w:tc>
          <w:tcPr>
            <w:tcW w:w="833" w:type="pct"/>
          </w:tcPr>
          <w:p w:rsidR="000C5659" w:rsidRDefault="000E33C4">
            <w:pPr>
              <w:ind w:right="73"/>
              <w:jc w:val="right"/>
            </w:pPr>
            <w:r>
              <w:rPr>
                <w:rFonts w:hint="eastAsia"/>
              </w:rPr>
              <w:t>10,762,323.41</w:t>
            </w:r>
          </w:p>
        </w:tc>
        <w:tc>
          <w:tcPr>
            <w:tcW w:w="833" w:type="pct"/>
          </w:tcPr>
          <w:p w:rsidR="000C5659" w:rsidRDefault="000C5659">
            <w:pPr>
              <w:jc w:val="right"/>
            </w:pPr>
          </w:p>
        </w:tc>
        <w:tc>
          <w:tcPr>
            <w:tcW w:w="833" w:type="pct"/>
          </w:tcPr>
          <w:p w:rsidR="000C5659" w:rsidRDefault="000E33C4">
            <w:pPr>
              <w:jc w:val="right"/>
            </w:pPr>
            <w:r>
              <w:t>10,762,323.41</w:t>
            </w:r>
          </w:p>
        </w:tc>
        <w:tc>
          <w:tcPr>
            <w:tcW w:w="833" w:type="pct"/>
          </w:tcPr>
          <w:p w:rsidR="000C5659" w:rsidRDefault="000E33C4">
            <w:pPr>
              <w:jc w:val="right"/>
            </w:pPr>
            <w:r>
              <w:t>7.09%</w:t>
            </w:r>
          </w:p>
        </w:tc>
        <w:tc>
          <w:tcPr>
            <w:tcW w:w="833" w:type="pct"/>
          </w:tcPr>
          <w:p w:rsidR="000C5659" w:rsidRDefault="000E33C4">
            <w:pPr>
              <w:jc w:val="right"/>
            </w:pPr>
            <w:r>
              <w:rPr>
                <w:rFonts w:hint="eastAsia"/>
              </w:rPr>
              <w:t>538,116.17</w:t>
            </w:r>
          </w:p>
        </w:tc>
      </w:tr>
      <w:tr w:rsidR="000C5659">
        <w:trPr>
          <w:cantSplit/>
        </w:trPr>
        <w:tc>
          <w:tcPr>
            <w:tcW w:w="833" w:type="pct"/>
          </w:tcPr>
          <w:p w:rsidR="000C5659" w:rsidRDefault="000E33C4">
            <w:pPr>
              <w:ind w:right="105"/>
              <w:jc w:val="both"/>
              <w:rPr>
                <w:color w:val="000000" w:themeColor="text1"/>
              </w:rPr>
            </w:pPr>
            <w:r>
              <w:t>第五名</w:t>
            </w:r>
          </w:p>
        </w:tc>
        <w:tc>
          <w:tcPr>
            <w:tcW w:w="833" w:type="pct"/>
          </w:tcPr>
          <w:p w:rsidR="000C5659" w:rsidRDefault="000E33C4">
            <w:pPr>
              <w:ind w:right="73"/>
              <w:jc w:val="right"/>
            </w:pPr>
            <w:r>
              <w:rPr>
                <w:rFonts w:hint="eastAsia"/>
              </w:rPr>
              <w:t>10,326,226.31</w:t>
            </w:r>
          </w:p>
        </w:tc>
        <w:tc>
          <w:tcPr>
            <w:tcW w:w="833" w:type="pct"/>
          </w:tcPr>
          <w:p w:rsidR="000C5659" w:rsidRDefault="000C5659">
            <w:pPr>
              <w:jc w:val="right"/>
            </w:pPr>
          </w:p>
        </w:tc>
        <w:tc>
          <w:tcPr>
            <w:tcW w:w="833" w:type="pct"/>
          </w:tcPr>
          <w:p w:rsidR="000C5659" w:rsidRDefault="000E33C4">
            <w:pPr>
              <w:jc w:val="right"/>
            </w:pPr>
            <w:r>
              <w:t>10,326,226.31</w:t>
            </w:r>
          </w:p>
        </w:tc>
        <w:tc>
          <w:tcPr>
            <w:tcW w:w="833" w:type="pct"/>
          </w:tcPr>
          <w:p w:rsidR="000C5659" w:rsidRDefault="000E33C4">
            <w:pPr>
              <w:jc w:val="right"/>
            </w:pPr>
            <w:r>
              <w:t>6.80%</w:t>
            </w:r>
          </w:p>
        </w:tc>
        <w:tc>
          <w:tcPr>
            <w:tcW w:w="833" w:type="pct"/>
          </w:tcPr>
          <w:p w:rsidR="000C5659" w:rsidRDefault="000E33C4">
            <w:pPr>
              <w:jc w:val="right"/>
            </w:pPr>
            <w:r>
              <w:rPr>
                <w:rFonts w:hint="eastAsia"/>
              </w:rPr>
              <w:t>516,311.32</w:t>
            </w:r>
          </w:p>
        </w:tc>
      </w:tr>
      <w:tr w:rsidR="000C5659">
        <w:trPr>
          <w:cantSplit/>
        </w:trPr>
        <w:tc>
          <w:tcPr>
            <w:tcW w:w="833" w:type="pct"/>
          </w:tcPr>
          <w:p w:rsidR="000C5659" w:rsidRDefault="000E33C4">
            <w:pPr>
              <w:ind w:right="105"/>
              <w:jc w:val="both"/>
              <w:rPr>
                <w:color w:val="000000" w:themeColor="text1"/>
              </w:rPr>
            </w:pPr>
            <w:r>
              <w:rPr>
                <w:rFonts w:hint="eastAsia"/>
                <w:color w:val="000000" w:themeColor="text1"/>
              </w:rPr>
              <w:t>合计</w:t>
            </w:r>
          </w:p>
        </w:tc>
        <w:tc>
          <w:tcPr>
            <w:tcW w:w="833" w:type="pct"/>
          </w:tcPr>
          <w:p w:rsidR="000C5659" w:rsidRDefault="000E33C4">
            <w:pPr>
              <w:ind w:right="73"/>
              <w:jc w:val="right"/>
            </w:pPr>
            <w:r>
              <w:rPr>
                <w:rFonts w:hint="eastAsia"/>
              </w:rPr>
              <w:t>96,683,238.14</w:t>
            </w:r>
          </w:p>
        </w:tc>
        <w:tc>
          <w:tcPr>
            <w:tcW w:w="833" w:type="pct"/>
          </w:tcPr>
          <w:p w:rsidR="000C5659" w:rsidRDefault="000C5659">
            <w:pPr>
              <w:jc w:val="right"/>
            </w:pPr>
          </w:p>
        </w:tc>
        <w:tc>
          <w:tcPr>
            <w:tcW w:w="833" w:type="pct"/>
          </w:tcPr>
          <w:p w:rsidR="000C5659" w:rsidRDefault="000E33C4">
            <w:pPr>
              <w:jc w:val="right"/>
            </w:pPr>
            <w:r>
              <w:t>96,683,238.14</w:t>
            </w:r>
          </w:p>
        </w:tc>
        <w:tc>
          <w:tcPr>
            <w:tcW w:w="833" w:type="pct"/>
          </w:tcPr>
          <w:p w:rsidR="000C5659" w:rsidRDefault="000E33C4">
            <w:pPr>
              <w:jc w:val="right"/>
            </w:pPr>
            <w:r>
              <w:t>63.68%</w:t>
            </w:r>
          </w:p>
        </w:tc>
        <w:tc>
          <w:tcPr>
            <w:tcW w:w="833" w:type="pct"/>
          </w:tcPr>
          <w:p w:rsidR="000C5659" w:rsidRDefault="000E33C4">
            <w:pPr>
              <w:jc w:val="right"/>
            </w:pPr>
            <w:r>
              <w:rPr>
                <w:rFonts w:hint="eastAsia"/>
              </w:rPr>
              <w:t>2,204,004.69</w:t>
            </w:r>
          </w:p>
        </w:tc>
      </w:tr>
    </w:tbl>
    <w:p w:rsidR="000C5659" w:rsidRDefault="000C5659">
      <w:pPr>
        <w:pStyle w:val="Style325"/>
      </w:pPr>
    </w:p>
    <w:p w:rsidR="000C5659" w:rsidRDefault="000E33C4">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60ef1597b00c4872bb998837689ad316"/>
        <w:id w:val="-664783828"/>
        <w:placeholder>
          <w:docPart w:val="GBC22222222222222222222222222222"/>
        </w:placeholder>
      </w:sdtPr>
      <w:sdtEndPr/>
      <w:sdtContent>
        <w:p w:rsidR="000C5659" w:rsidRDefault="000E33C4">
          <w:pPr>
            <w:snapToGrid w:val="0"/>
            <w:spacing w:line="240" w:lineRule="atLeast"/>
            <w:rPr>
              <w:color w:val="000000" w:themeColor="text1"/>
            </w:rPr>
          </w:pPr>
          <w:r>
            <w:rPr>
              <w:rFonts w:hint="eastAsia"/>
              <w:color w:val="000000" w:themeColor="text1"/>
            </w:rPr>
            <w:t>无</w:t>
          </w:r>
        </w:p>
      </w:sdtContent>
    </w:sdt>
    <w:p w:rsidR="000C5659" w:rsidRDefault="000C5659">
      <w:pPr>
        <w:snapToGrid w:val="0"/>
        <w:spacing w:line="240" w:lineRule="atLeast"/>
        <w:rPr>
          <w:rFonts w:ascii="Times New Roman" w:hAnsi="Times New Roman"/>
          <w:color w:val="000000" w:themeColor="text1"/>
        </w:rPr>
      </w:pPr>
    </w:p>
    <w:bookmarkEnd w:id="406"/>
    <w:bookmarkEnd w:id="407"/>
    <w:bookmarkEnd w:id="408"/>
    <w:p w:rsidR="000C5659" w:rsidRDefault="000E33C4">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母公司应收账款其他说明[双击切换]"/>
        <w:tag w:val="_GBC_22a2c0a255e04aacadf1c076323bc980"/>
        <w:id w:val="-563869445"/>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rsidP="000743DD">
      <w:pPr>
        <w:pStyle w:val="35"/>
        <w:numPr>
          <w:ilvl w:val="0"/>
          <w:numId w:val="117"/>
        </w:numPr>
        <w:rPr>
          <w:rFonts w:ascii="宋体" w:hAnsi="宋体"/>
          <w:color w:val="000000" w:themeColor="text1"/>
          <w:szCs w:val="21"/>
        </w:rPr>
      </w:pPr>
      <w:r>
        <w:rPr>
          <w:rFonts w:ascii="宋体" w:hAnsi="宋体" w:hint="eastAsia"/>
          <w:color w:val="000000" w:themeColor="text1"/>
          <w:szCs w:val="21"/>
        </w:rPr>
        <w:t>其他应收款</w:t>
      </w:r>
    </w:p>
    <w:p w:rsidR="000C5659" w:rsidRDefault="000E33C4">
      <w:pPr>
        <w:pStyle w:val="43"/>
        <w:rPr>
          <w:rFonts w:ascii="宋体" w:hAnsi="宋体"/>
          <w:color w:val="000000" w:themeColor="text1"/>
        </w:rPr>
      </w:pPr>
      <w:bookmarkStart w:id="409" w:name="_Hlk10546944"/>
      <w:r>
        <w:rPr>
          <w:rFonts w:ascii="宋体" w:hAnsi="宋体" w:hint="eastAsia"/>
          <w:color w:val="000000" w:themeColor="text1"/>
        </w:rPr>
        <w:t>项目列示</w:t>
      </w:r>
    </w:p>
    <w:sdt>
      <w:sdtPr>
        <w:rPr>
          <w:color w:val="000000" w:themeColor="text1"/>
        </w:rPr>
        <w:alias w:val="是否适用：母公司其他应收款分类列示[双击切换]"/>
        <w:tag w:val="_GBC_529e259f053b47d993fd4e3216204522"/>
        <w:id w:val="-6364817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母公司其他应收款分类列示"/>
          <w:tag w:val="_GBC_306e86db57e64b00a9602dc7cbf81457"/>
          <w:id w:val="3790642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其他应收款分类列示"/>
          <w:tag w:val="_GBC_cd5866350ae3491e87e9f82a7ed2a7c3"/>
          <w:id w:val="871504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13"/>
        <w:gridCol w:w="2862"/>
        <w:gridCol w:w="2848"/>
      </w:tblGrid>
      <w:tr w:rsidR="000C5659">
        <w:trPr>
          <w:cantSplit/>
        </w:trPr>
        <w:sdt>
          <w:sdtPr>
            <w:rPr>
              <w:color w:val="000000" w:themeColor="text1"/>
            </w:rPr>
            <w:tag w:val="_PLD_9b14d51b79194bdea749a527966a0a2e"/>
            <w:id w:val="-293910067"/>
          </w:sdtPr>
          <w:sdtEndPr/>
          <w:sdtContent>
            <w:tc>
              <w:tcPr>
                <w:tcW w:w="1764" w:type="pct"/>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1dd12447c07a4bf5b8eef82f2f9f5577"/>
            <w:id w:val="2135206713"/>
          </w:sdtPr>
          <w:sdtEndPr/>
          <w:sdtContent>
            <w:tc>
              <w:tcPr>
                <w:tcW w:w="1622" w:type="pct"/>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2701e42352ac4ea1ae4d64adf5d28e89"/>
            <w:id w:val="-13541907"/>
          </w:sdtPr>
          <w:sdtEndPr/>
          <w:sdtContent>
            <w:tc>
              <w:tcPr>
                <w:tcW w:w="1614" w:type="pct"/>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1764" w:type="pct"/>
          </w:tcPr>
          <w:p w:rsidR="000C5659" w:rsidRDefault="000E33C4">
            <w:pPr>
              <w:ind w:right="5"/>
              <w:rPr>
                <w:color w:val="000000" w:themeColor="text1"/>
              </w:rPr>
            </w:pPr>
            <w:r>
              <w:rPr>
                <w:rFonts w:hint="eastAsia"/>
                <w:color w:val="000000" w:themeColor="text1"/>
              </w:rPr>
              <w:t>应收利息</w:t>
            </w:r>
          </w:p>
        </w:tc>
        <w:tc>
          <w:tcPr>
            <w:tcW w:w="1622" w:type="pct"/>
          </w:tcPr>
          <w:p w:rsidR="000C5659" w:rsidRDefault="000C5659">
            <w:pPr>
              <w:ind w:right="5"/>
              <w:jc w:val="right"/>
            </w:pPr>
          </w:p>
        </w:tc>
        <w:tc>
          <w:tcPr>
            <w:tcW w:w="1614" w:type="pct"/>
          </w:tcPr>
          <w:p w:rsidR="000C5659" w:rsidRDefault="000C5659">
            <w:pPr>
              <w:ind w:right="5"/>
              <w:jc w:val="right"/>
            </w:pPr>
          </w:p>
        </w:tc>
      </w:tr>
      <w:tr w:rsidR="000C5659">
        <w:trPr>
          <w:cantSplit/>
        </w:trPr>
        <w:tc>
          <w:tcPr>
            <w:tcW w:w="1764" w:type="pct"/>
          </w:tcPr>
          <w:p w:rsidR="000C5659" w:rsidRDefault="000E33C4">
            <w:pPr>
              <w:ind w:right="5"/>
              <w:rPr>
                <w:color w:val="000000" w:themeColor="text1"/>
              </w:rPr>
            </w:pPr>
            <w:r>
              <w:rPr>
                <w:rFonts w:hint="eastAsia"/>
                <w:color w:val="000000" w:themeColor="text1"/>
              </w:rPr>
              <w:t>应收股利</w:t>
            </w:r>
          </w:p>
        </w:tc>
        <w:tc>
          <w:tcPr>
            <w:tcW w:w="1622" w:type="pct"/>
          </w:tcPr>
          <w:p w:rsidR="000C5659" w:rsidRDefault="000C5659">
            <w:pPr>
              <w:ind w:right="5"/>
              <w:jc w:val="right"/>
            </w:pPr>
          </w:p>
        </w:tc>
        <w:tc>
          <w:tcPr>
            <w:tcW w:w="1614" w:type="pct"/>
          </w:tcPr>
          <w:p w:rsidR="000C5659" w:rsidRDefault="000C5659">
            <w:pPr>
              <w:ind w:right="5"/>
              <w:jc w:val="right"/>
            </w:pPr>
          </w:p>
        </w:tc>
      </w:tr>
      <w:tr w:rsidR="000C5659">
        <w:trPr>
          <w:cantSplit/>
        </w:trPr>
        <w:tc>
          <w:tcPr>
            <w:tcW w:w="1764" w:type="pct"/>
          </w:tcPr>
          <w:p w:rsidR="000C5659" w:rsidRDefault="000E33C4">
            <w:pPr>
              <w:ind w:right="5"/>
              <w:rPr>
                <w:color w:val="000000" w:themeColor="text1"/>
              </w:rPr>
            </w:pPr>
            <w:r>
              <w:rPr>
                <w:rFonts w:hint="eastAsia"/>
                <w:color w:val="000000" w:themeColor="text1"/>
              </w:rPr>
              <w:t>其他应收款</w:t>
            </w:r>
          </w:p>
        </w:tc>
        <w:tc>
          <w:tcPr>
            <w:tcW w:w="1622" w:type="pct"/>
          </w:tcPr>
          <w:p w:rsidR="000C5659" w:rsidRDefault="000E33C4">
            <w:pPr>
              <w:ind w:right="5"/>
              <w:jc w:val="right"/>
            </w:pPr>
            <w:r>
              <w:rPr>
                <w:rFonts w:hint="eastAsia"/>
              </w:rPr>
              <w:t>27,273,556.56</w:t>
            </w:r>
          </w:p>
        </w:tc>
        <w:tc>
          <w:tcPr>
            <w:tcW w:w="1614" w:type="pct"/>
          </w:tcPr>
          <w:p w:rsidR="000C5659" w:rsidRDefault="000E33C4">
            <w:pPr>
              <w:ind w:right="5"/>
              <w:jc w:val="right"/>
            </w:pPr>
            <w:r>
              <w:t>11,328,746.68</w:t>
            </w:r>
          </w:p>
        </w:tc>
      </w:tr>
      <w:tr w:rsidR="000C5659">
        <w:trPr>
          <w:cantSplit/>
        </w:trPr>
        <w:tc>
          <w:tcPr>
            <w:tcW w:w="1764" w:type="pct"/>
            <w:vAlign w:val="center"/>
          </w:tcPr>
          <w:p w:rsidR="000C5659" w:rsidRDefault="000E33C4">
            <w:pPr>
              <w:autoSpaceDE w:val="0"/>
              <w:autoSpaceDN w:val="0"/>
              <w:adjustRightInd w:val="0"/>
              <w:jc w:val="center"/>
              <w:rPr>
                <w:color w:val="000000" w:themeColor="text1"/>
              </w:rPr>
            </w:pPr>
            <w:r>
              <w:rPr>
                <w:rFonts w:hint="eastAsia"/>
                <w:color w:val="000000" w:themeColor="text1"/>
              </w:rPr>
              <w:t>合计</w:t>
            </w:r>
          </w:p>
        </w:tc>
        <w:tc>
          <w:tcPr>
            <w:tcW w:w="1622" w:type="pct"/>
          </w:tcPr>
          <w:p w:rsidR="000C5659" w:rsidRDefault="000E33C4">
            <w:pPr>
              <w:jc w:val="right"/>
            </w:pPr>
            <w:r>
              <w:rPr>
                <w:rFonts w:hint="eastAsia"/>
              </w:rPr>
              <w:t>27,273,556.56</w:t>
            </w:r>
          </w:p>
        </w:tc>
        <w:tc>
          <w:tcPr>
            <w:tcW w:w="1614" w:type="pct"/>
          </w:tcPr>
          <w:p w:rsidR="000C5659" w:rsidRDefault="000E33C4">
            <w:pPr>
              <w:jc w:val="right"/>
            </w:pPr>
            <w:r>
              <w:t>11,328,746.68</w:t>
            </w:r>
          </w:p>
        </w:tc>
      </w:tr>
    </w:tbl>
    <w:p w:rsidR="000C5659" w:rsidRDefault="000C5659">
      <w:pPr>
        <w:pStyle w:val="Style325"/>
      </w:pPr>
    </w:p>
    <w:p w:rsidR="000C5659" w:rsidRDefault="000E33C4">
      <w:pPr>
        <w:rPr>
          <w:color w:val="000000" w:themeColor="text1"/>
        </w:rPr>
      </w:pPr>
      <w:bookmarkStart w:id="410" w:name="_Hlk533797002"/>
      <w:r>
        <w:rPr>
          <w:rFonts w:hint="eastAsia"/>
          <w:color w:val="000000" w:themeColor="text1"/>
        </w:rPr>
        <w:t>其他说明：</w:t>
      </w:r>
    </w:p>
    <w:sdt>
      <w:sdtPr>
        <w:rPr>
          <w:color w:val="000000" w:themeColor="text1"/>
        </w:rPr>
        <w:alias w:val="是否适用：母公司其他应收款分类列示其他说明[双击切换]"/>
        <w:tag w:val="_GBC_87c9afe4c5c54a4b93c9b78663bd8bf3"/>
        <w:id w:val="-14157702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409"/>
    <w:bookmarkEnd w:id="410"/>
    <w:p w:rsidR="000C5659" w:rsidRDefault="000E33C4">
      <w:pPr>
        <w:pStyle w:val="43"/>
        <w:rPr>
          <w:rFonts w:ascii="宋体" w:hAnsi="宋体"/>
          <w:color w:val="000000" w:themeColor="text1"/>
        </w:rPr>
      </w:pPr>
      <w:r>
        <w:rPr>
          <w:rFonts w:ascii="宋体" w:hAnsi="宋体" w:hint="eastAsia"/>
          <w:color w:val="000000" w:themeColor="text1"/>
        </w:rPr>
        <w:t>应收利息</w:t>
      </w:r>
    </w:p>
    <w:p w:rsidR="000C5659" w:rsidRDefault="000E33C4" w:rsidP="000743DD">
      <w:pPr>
        <w:pStyle w:val="43"/>
        <w:numPr>
          <w:ilvl w:val="3"/>
          <w:numId w:val="119"/>
        </w:numPr>
        <w:ind w:left="426" w:hanging="426"/>
        <w:rPr>
          <w:rFonts w:ascii="宋体" w:hAnsi="宋体"/>
          <w:color w:val="000000" w:themeColor="text1"/>
        </w:rPr>
      </w:pPr>
      <w:bookmarkStart w:id="411" w:name="_Hlk10547023"/>
      <w:bookmarkStart w:id="412" w:name="_Hlk10547033"/>
      <w:r>
        <w:rPr>
          <w:rFonts w:ascii="宋体" w:hAnsi="宋体" w:hint="eastAsia"/>
          <w:color w:val="000000" w:themeColor="text1"/>
        </w:rPr>
        <w:t>应收利息分类</w:t>
      </w:r>
      <w:bookmarkEnd w:id="411"/>
    </w:p>
    <w:sdt>
      <w:sdtPr>
        <w:rPr>
          <w:color w:val="000000" w:themeColor="text1"/>
        </w:rPr>
        <w:alias w:val="是否适用：母公司应收利息分类[双击切换]"/>
        <w:tag w:val="_GBC_7b29d5fc39c94a909c39eedf47c8008f"/>
        <w:id w:val="-187575886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bookmarkStart w:id="413" w:name="_Hlk10547054"/>
      <w:bookmarkStart w:id="414" w:name="_Hlk10547064"/>
      <w:bookmarkEnd w:id="412"/>
      <w:r>
        <w:rPr>
          <w:rFonts w:ascii="宋体" w:hAnsi="宋体" w:hint="eastAsia"/>
          <w:color w:val="000000" w:themeColor="text1"/>
        </w:rPr>
        <w:t>重要逾期利息</w:t>
      </w:r>
      <w:bookmarkEnd w:id="413"/>
    </w:p>
    <w:sdt>
      <w:sdtPr>
        <w:rPr>
          <w:color w:val="000000" w:themeColor="text1"/>
        </w:rPr>
        <w:alias w:val="是否适用：母公司重要逾期利息[双击切换]"/>
        <w:tag w:val="_GBC_2527ddfc737d4b8c8fa3ca7d6387408d"/>
        <w:id w:val="10054115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bookmarkStart w:id="415" w:name="_Hlk167983171"/>
      <w:bookmarkStart w:id="416" w:name="_Hlk154149455"/>
      <w:bookmarkStart w:id="417" w:name="_Hlk153789950"/>
      <w:bookmarkEnd w:id="414"/>
      <w:r>
        <w:rPr>
          <w:rFonts w:ascii="宋体" w:hAnsi="宋体" w:hint="eastAsia"/>
          <w:color w:val="000000" w:themeColor="text1"/>
        </w:rPr>
        <w:lastRenderedPageBreak/>
        <w:t>按坏账计提方法分类披露</w:t>
      </w:r>
    </w:p>
    <w:sdt>
      <w:sdtPr>
        <w:rPr>
          <w:color w:val="000000" w:themeColor="text1"/>
        </w:rPr>
        <w:alias w:val="是否适用：按坏账计提方法分类披露[双击切换]"/>
        <w:tag w:val="_GBC_9b6b7378a5064d4da42ce1b114ef0dd2"/>
        <w:id w:val="-5422097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9e66e9365aa445c3891c917c0b2cb0f8"/>
        <w:id w:val="-76229648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母公司按单项计提坏账准备的说明[双击切换]"/>
        <w:tag w:val="_GBC_61cf7a42166c410985a3f556c1a407d3"/>
        <w:id w:val="-99263913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母公司按组合计提坏账准备的详细情况[双击切换]"/>
        <w:tag w:val="_GBC_d3043e47b1544d94a13ce780dd85e9fc"/>
        <w:id w:val="-735620524"/>
        <w:placeholder>
          <w:docPart w:val="GBC22222222222222222222222222222"/>
        </w:placeholder>
      </w:sdtPr>
      <w:sdtEndPr/>
      <w:sdtContent>
        <w:p w:rsidR="000C5659" w:rsidRDefault="000E33C4">
          <w:pPr>
            <w:rPr>
              <w:color w:val="000000" w:themeColor="text1"/>
            </w:rPr>
          </w:pP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0C5659" w:rsidRDefault="000C5659">
      <w:pPr>
        <w:rPr>
          <w:rFonts w:ascii="Calibri" w:hAnsi="Calibri" w:cs="Times New Roman"/>
          <w:b/>
          <w:color w:val="000000" w:themeColor="text1"/>
          <w:szCs w:val="22"/>
        </w:rPr>
      </w:pPr>
    </w:p>
    <w:p w:rsidR="000C5659" w:rsidRDefault="000E33C4" w:rsidP="000743DD">
      <w:pPr>
        <w:pStyle w:val="43"/>
        <w:numPr>
          <w:ilvl w:val="3"/>
          <w:numId w:val="119"/>
        </w:numPr>
        <w:ind w:left="426" w:hanging="426"/>
        <w:rPr>
          <w:rFonts w:ascii="宋体" w:hAnsi="宋体"/>
          <w:color w:val="000000" w:themeColor="text1"/>
        </w:rPr>
      </w:pPr>
      <w:bookmarkStart w:id="418" w:name="_Hlk10547083"/>
      <w:bookmarkStart w:id="419" w:name="_Hlk10547096"/>
      <w:bookmarkEnd w:id="415"/>
      <w:bookmarkEnd w:id="416"/>
      <w:bookmarkEnd w:id="417"/>
      <w:bookmarkEnd w:id="418"/>
      <w:r>
        <w:rPr>
          <w:rFonts w:ascii="宋体" w:hAnsi="宋体" w:hint="eastAsia"/>
          <w:color w:val="000000" w:themeColor="text1"/>
        </w:rPr>
        <w:t>按预期信用损失一般模型计提坏账准备</w:t>
      </w:r>
    </w:p>
    <w:sdt>
      <w:sdtPr>
        <w:rPr>
          <w:color w:val="000000" w:themeColor="text1"/>
        </w:rPr>
        <w:alias w:val="是否适用：母公司应收利息坏账准备调节表[双击切换]"/>
        <w:tag w:val="_GBC_051d1f4329834464b99226954bb8040d"/>
        <w:id w:val="-13539547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bookmarkStart w:id="420" w:name="_Hlk167984472"/>
      <w:bookmarkStart w:id="421" w:name="_Hlk154149866"/>
      <w:bookmarkStart w:id="422" w:name="_Hlk10547119"/>
      <w:bookmarkStart w:id="423" w:name="_Hlk10547128"/>
      <w:bookmarkEnd w:id="419"/>
      <w:r>
        <w:rPr>
          <w:rFonts w:ascii="宋体" w:hAnsi="宋体" w:hint="eastAsia"/>
          <w:color w:val="000000" w:themeColor="text1"/>
        </w:rPr>
        <w:t>坏账准备的情况</w:t>
      </w:r>
    </w:p>
    <w:sdt>
      <w:sdtPr>
        <w:rPr>
          <w:color w:val="000000" w:themeColor="text1"/>
        </w:rPr>
        <w:alias w:val="是否适用：母公司坏账准备情况[双击切换]"/>
        <w:tag w:val="_GBC_4dc2b543f39042eeba6f1a6da14a23c7"/>
        <w:id w:val="-335690503"/>
        <w:placeholder>
          <w:docPart w:val="GBC22222222222222222222222222222"/>
        </w:placeholder>
      </w:sdtPr>
      <w:sdtEndPr/>
      <w:sdtContent>
        <w:p w:rsidR="000C5659" w:rsidRDefault="000E33C4">
          <w:pPr>
            <w:pStyle w:val="Style197"/>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pStyle w:val="Style197"/>
        <w:rPr>
          <w:color w:val="000000" w:themeColor="text1"/>
        </w:rPr>
      </w:pPr>
    </w:p>
    <w:p w:rsidR="000C5659" w:rsidRDefault="000E33C4">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279266492b924c379c68ded1cd456b96"/>
        <w:id w:val="-56017361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母公司坏账准备情况的说明"/>
        <w:tag w:val="_GBC_3ab55111e91142e6a9275bfe02be4915"/>
        <w:id w:val="-1933511432"/>
        <w:placeholder>
          <w:docPart w:val="GBC22222222222222222222222222222"/>
        </w:placeholder>
      </w:sdtPr>
      <w:sdtEndPr/>
      <w:sdtContent>
        <w:p w:rsidR="000C5659" w:rsidRDefault="000E33C4">
          <w:pPr>
            <w:ind w:rightChars="20" w:right="42"/>
            <w:rPr>
              <w:color w:val="000000" w:themeColor="text1"/>
            </w:rPr>
          </w:pPr>
          <w:r>
            <w:rPr>
              <w:rFonts w:hint="eastAsia"/>
              <w:color w:val="000000" w:themeColor="text1"/>
            </w:rPr>
            <w:t>无</w:t>
          </w:r>
        </w:p>
      </w:sdtContent>
    </w:sdt>
    <w:p w:rsidR="000C5659" w:rsidRDefault="000C5659">
      <w:pPr>
        <w:ind w:rightChars="-759" w:right="-1594"/>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r>
        <w:rPr>
          <w:rFonts w:ascii="宋体" w:hAnsi="宋体" w:hint="eastAsia"/>
          <w:color w:val="000000" w:themeColor="text1"/>
        </w:rPr>
        <w:t>本期实际核销的应收利息情况</w:t>
      </w:r>
    </w:p>
    <w:sdt>
      <w:sdtPr>
        <w:rPr>
          <w:color w:val="000000" w:themeColor="text1"/>
        </w:rPr>
        <w:alias w:val="是否适用：实际核销的情况[双击切换]"/>
        <w:tag w:val="_GBC_e26e6d4104e24b8ba3faa4e27a6c1045"/>
        <w:id w:val="80589538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其中重要的应收利息核销情况</w:t>
      </w:r>
    </w:p>
    <w:sdt>
      <w:sdtPr>
        <w:rPr>
          <w:rFonts w:hint="eastAsia"/>
          <w:color w:val="000000" w:themeColor="text1"/>
        </w:rPr>
        <w:alias w:val="是否适用：母公司重要的核销情况[双击切换]"/>
        <w:tag w:val="_GBC_60da80ce578f488fb72578d4541af9c0"/>
        <w:id w:val="1830014582"/>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ae6210dfe1cb4aa880cbee38195c69fa"/>
        <w:id w:val="-11098500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420"/>
    <w:bookmarkEnd w:id="421"/>
    <w:p w:rsidR="000C5659" w:rsidRDefault="000E33C4">
      <w:pPr>
        <w:rPr>
          <w:color w:val="000000" w:themeColor="text1"/>
        </w:rPr>
      </w:pPr>
      <w:r>
        <w:rPr>
          <w:rFonts w:hint="eastAsia"/>
          <w:color w:val="000000" w:themeColor="text1"/>
        </w:rPr>
        <w:t>其他说明：</w:t>
      </w:r>
      <w:bookmarkEnd w:id="422"/>
    </w:p>
    <w:sdt>
      <w:sdtPr>
        <w:rPr>
          <w:color w:val="000000" w:themeColor="text1"/>
        </w:rPr>
        <w:alias w:val="是否适用：母公司应收利息其他说明[双击切换]"/>
        <w:tag w:val="_GBC_936c374258514f469f2c9bb36b889c43"/>
        <w:id w:val="129803425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423"/>
    <w:p w:rsidR="000C5659" w:rsidRDefault="000E33C4">
      <w:pPr>
        <w:pStyle w:val="43"/>
        <w:rPr>
          <w:rFonts w:ascii="宋体" w:hAnsi="宋体"/>
          <w:color w:val="000000" w:themeColor="text1"/>
        </w:rPr>
      </w:pPr>
      <w:r>
        <w:rPr>
          <w:rFonts w:ascii="宋体" w:hAnsi="宋体" w:hint="eastAsia"/>
          <w:color w:val="000000" w:themeColor="text1"/>
        </w:rPr>
        <w:t>应收股利</w:t>
      </w:r>
    </w:p>
    <w:p w:rsidR="000C5659" w:rsidRDefault="000E33C4" w:rsidP="000743DD">
      <w:pPr>
        <w:pStyle w:val="43"/>
        <w:numPr>
          <w:ilvl w:val="3"/>
          <w:numId w:val="119"/>
        </w:numPr>
        <w:ind w:left="426" w:hanging="426"/>
        <w:rPr>
          <w:rFonts w:ascii="宋体" w:hAnsi="宋体"/>
          <w:color w:val="000000" w:themeColor="text1"/>
        </w:rPr>
      </w:pPr>
      <w:bookmarkStart w:id="424" w:name="_Hlk10547160"/>
      <w:bookmarkStart w:id="425" w:name="_Hlk10547171"/>
      <w:r>
        <w:rPr>
          <w:rFonts w:ascii="宋体" w:hAnsi="宋体" w:hint="eastAsia"/>
          <w:color w:val="000000" w:themeColor="text1"/>
        </w:rPr>
        <w:t>应收股利</w:t>
      </w:r>
      <w:bookmarkEnd w:id="424"/>
    </w:p>
    <w:sdt>
      <w:sdtPr>
        <w:rPr>
          <w:color w:val="000000" w:themeColor="text1"/>
        </w:rPr>
        <w:alias w:val="是否适用：母公司应收股利[双击切换]"/>
        <w:tag w:val="_GBC_3f36acb68ddd426b990a146c5c14da80"/>
        <w:id w:val="-12316147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bookmarkStart w:id="426" w:name="_Hlk10547188"/>
      <w:bookmarkStart w:id="427" w:name="_Hlk10547199"/>
      <w:bookmarkEnd w:id="425"/>
      <w:r>
        <w:rPr>
          <w:rFonts w:ascii="宋体" w:hAnsi="宋体" w:hint="eastAsia"/>
          <w:color w:val="000000" w:themeColor="text1"/>
        </w:rPr>
        <w:t>重要的账龄超过1年的应收股利</w:t>
      </w:r>
      <w:bookmarkEnd w:id="426"/>
    </w:p>
    <w:sdt>
      <w:sdtPr>
        <w:rPr>
          <w:color w:val="000000" w:themeColor="text1"/>
        </w:rPr>
        <w:alias w:val="是否适用：母公司重要的账龄超过1年的应收股利[双击切换]"/>
        <w:tag w:val="_GBC_5ce593c40926400393bed620009e5006"/>
        <w:id w:val="211362548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bookmarkStart w:id="428" w:name="_Hlk168041814"/>
      <w:bookmarkStart w:id="429" w:name="_Hlk154150045"/>
      <w:bookmarkStart w:id="430" w:name="_Hlk153790907"/>
      <w:bookmarkEnd w:id="427"/>
      <w:r>
        <w:rPr>
          <w:rFonts w:ascii="宋体" w:hAnsi="宋体" w:hint="eastAsia"/>
          <w:color w:val="000000" w:themeColor="text1"/>
        </w:rPr>
        <w:t>按坏账计提方法分类披露</w:t>
      </w:r>
    </w:p>
    <w:sdt>
      <w:sdtPr>
        <w:rPr>
          <w:color w:val="000000" w:themeColor="text1"/>
        </w:rPr>
        <w:alias w:val="是否适用：母公司按坏账计提方法分类披露[双击切换]"/>
        <w:tag w:val="_GBC_606fd71a57c6434eaa16ce805f815d2e"/>
        <w:id w:val="-111952430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02d5c836df9842559c42aa2f751aa5ba"/>
        <w:id w:val="-26453741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按单项计提坏账准备的说明：</w:t>
      </w:r>
    </w:p>
    <w:sdt>
      <w:sdtPr>
        <w:rPr>
          <w:color w:val="000000" w:themeColor="text1"/>
        </w:rPr>
        <w:alias w:val="是否适用：母公司按单项计提坏账准备的说明[双击切换]"/>
        <w:tag w:val="_GBC_4af2b30a86cf42d091fd1188b15fbce6"/>
        <w:id w:val="35108063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母公司按组合计提坏账准备的详细情况[双击切换]"/>
        <w:tag w:val="_GBC_9f9d44f1ec164a3da4b2c14d4d129121"/>
        <w:id w:val="299032315"/>
        <w:placeholder>
          <w:docPart w:val="GBC22222222222222222222222222222"/>
        </w:placeholder>
      </w:sdtPr>
      <w:sdtEndPr/>
      <w:sdtContent>
        <w:p w:rsidR="000C5659" w:rsidRDefault="000E33C4">
          <w:pPr>
            <w:rPr>
              <w:color w:val="000000" w:themeColor="text1"/>
            </w:rPr>
          </w:pP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hint="eastAsia"/>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0C5659" w:rsidRDefault="000C5659">
      <w:pPr>
        <w:rPr>
          <w:rFonts w:ascii="Calibri" w:hAnsi="Calibri" w:cs="Times New Roman"/>
          <w:b/>
          <w:color w:val="000000" w:themeColor="text1"/>
          <w:szCs w:val="22"/>
        </w:rPr>
      </w:pPr>
    </w:p>
    <w:p w:rsidR="000C5659" w:rsidRDefault="000E33C4" w:rsidP="000743DD">
      <w:pPr>
        <w:pStyle w:val="43"/>
        <w:numPr>
          <w:ilvl w:val="3"/>
          <w:numId w:val="119"/>
        </w:numPr>
        <w:ind w:left="426" w:hanging="426"/>
        <w:rPr>
          <w:rFonts w:ascii="宋体" w:hAnsi="宋体"/>
          <w:color w:val="000000" w:themeColor="text1"/>
        </w:rPr>
      </w:pPr>
      <w:bookmarkStart w:id="431" w:name="_Hlk10547212"/>
      <w:bookmarkStart w:id="432" w:name="_Hlk10547224"/>
      <w:bookmarkEnd w:id="428"/>
      <w:bookmarkEnd w:id="429"/>
      <w:bookmarkEnd w:id="430"/>
      <w:bookmarkEnd w:id="431"/>
      <w:r>
        <w:rPr>
          <w:rFonts w:ascii="宋体" w:hAnsi="宋体" w:hint="eastAsia"/>
          <w:color w:val="000000" w:themeColor="text1"/>
        </w:rPr>
        <w:t>按预期信用损失一般模型计提坏账准备</w:t>
      </w:r>
    </w:p>
    <w:sdt>
      <w:sdtPr>
        <w:rPr>
          <w:color w:val="000000" w:themeColor="text1"/>
        </w:rPr>
        <w:alias w:val="是否适用：母公司应收股利坏账准备调节表[双击切换]"/>
        <w:tag w:val="_GBC_9d130aecb6cb4874ac083fcdce5ee739"/>
        <w:id w:val="-138162997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bookmarkStart w:id="433" w:name="_Hlk153792018"/>
      <w:bookmarkStart w:id="434" w:name="_Hlk154150256"/>
      <w:bookmarkStart w:id="435" w:name="_Hlk168042003"/>
      <w:bookmarkEnd w:id="432"/>
      <w:r>
        <w:rPr>
          <w:rFonts w:ascii="宋体" w:hAnsi="宋体" w:hint="eastAsia"/>
          <w:color w:val="000000" w:themeColor="text1"/>
        </w:rPr>
        <w:t>坏账准备的情况</w:t>
      </w:r>
    </w:p>
    <w:sdt>
      <w:sdtPr>
        <w:rPr>
          <w:color w:val="000000" w:themeColor="text1"/>
        </w:rPr>
        <w:alias w:val="是否适用：母公司坏账准备情况[双击切换]"/>
        <w:tag w:val="_GBC_4359768bbe6b4db5aaabe9fec181f50a"/>
        <w:id w:val="-1321965060"/>
        <w:placeholder>
          <w:docPart w:val="GBC22222222222222222222222222222"/>
        </w:placeholder>
      </w:sdtPr>
      <w:sdtEndPr/>
      <w:sdtContent>
        <w:p w:rsidR="000C5659" w:rsidRDefault="000E33C4">
          <w:pPr>
            <w:pStyle w:val="Style197"/>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pStyle w:val="Style197"/>
        <w:rPr>
          <w:color w:val="000000" w:themeColor="text1"/>
        </w:rPr>
      </w:pPr>
    </w:p>
    <w:p w:rsidR="000C5659" w:rsidRDefault="000E33C4">
      <w:pPr>
        <w:rPr>
          <w:color w:val="000000" w:themeColor="text1"/>
        </w:rPr>
      </w:pPr>
      <w:r>
        <w:rPr>
          <w:rFonts w:hint="eastAsia"/>
          <w:color w:val="000000" w:themeColor="text1"/>
        </w:rPr>
        <w:t>其中本期坏账准备收回或转回金额重要的：</w:t>
      </w:r>
    </w:p>
    <w:sdt>
      <w:sdtPr>
        <w:rPr>
          <w:color w:val="000000" w:themeColor="text1"/>
        </w:rPr>
        <w:alias w:val="是否适用：母公司本期坏账准备收回或转回金额重要的[双击切换]"/>
        <w:tag w:val="_GBC_15c983ff27c348dab992de66b12c1147"/>
        <w:id w:val="84706819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母公司坏账准备情况的说明"/>
        <w:tag w:val="_GBC_c23d2aac5be544dab9d6cfeb3fe4c5b9"/>
        <w:id w:val="-2127916825"/>
        <w:placeholder>
          <w:docPart w:val="GBC22222222222222222222222222222"/>
        </w:placeholder>
      </w:sdtPr>
      <w:sdtEndPr/>
      <w:sdtContent>
        <w:p w:rsidR="000C5659" w:rsidRDefault="000E33C4">
          <w:pPr>
            <w:ind w:rightChars="20" w:right="42"/>
            <w:rPr>
              <w:color w:val="000000" w:themeColor="text1"/>
            </w:rPr>
          </w:pPr>
          <w:r>
            <w:rPr>
              <w:rFonts w:hint="eastAsia"/>
              <w:color w:val="000000" w:themeColor="text1"/>
            </w:rPr>
            <w:t>无</w:t>
          </w:r>
        </w:p>
      </w:sdtContent>
    </w:sdt>
    <w:p w:rsidR="000C5659" w:rsidRDefault="000C5659">
      <w:pPr>
        <w:ind w:rightChars="-759" w:right="-1594"/>
        <w:rPr>
          <w:color w:val="000000" w:themeColor="text1"/>
        </w:rPr>
      </w:pPr>
    </w:p>
    <w:p w:rsidR="000C5659" w:rsidRDefault="000E33C4" w:rsidP="000743DD">
      <w:pPr>
        <w:pStyle w:val="43"/>
        <w:numPr>
          <w:ilvl w:val="3"/>
          <w:numId w:val="119"/>
        </w:numPr>
        <w:ind w:left="426" w:hanging="426"/>
        <w:rPr>
          <w:rFonts w:ascii="宋体" w:hAnsi="宋体"/>
          <w:color w:val="000000" w:themeColor="text1"/>
        </w:rPr>
      </w:pPr>
      <w:bookmarkStart w:id="436" w:name="_Hlk155883151"/>
      <w:r>
        <w:rPr>
          <w:rFonts w:ascii="宋体" w:hAnsi="宋体" w:hint="eastAsia"/>
          <w:color w:val="000000" w:themeColor="text1"/>
        </w:rPr>
        <w:t>本期实际核销的应收股利情况</w:t>
      </w:r>
    </w:p>
    <w:sdt>
      <w:sdtPr>
        <w:rPr>
          <w:color w:val="000000" w:themeColor="text1"/>
        </w:rPr>
        <w:alias w:val="是否适用：母公司实际核销的情况[双击切换]"/>
        <w:tag w:val="_GBC_aa389cb741114553a4e1a7aed4aa319e"/>
        <w:id w:val="149291808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436"/>
    <w:p w:rsidR="000C5659" w:rsidRDefault="000E33C4">
      <w:pPr>
        <w:rPr>
          <w:color w:val="000000" w:themeColor="text1"/>
        </w:rPr>
      </w:pPr>
      <w:r>
        <w:rPr>
          <w:rFonts w:hint="eastAsia"/>
          <w:color w:val="000000" w:themeColor="text1"/>
        </w:rPr>
        <w:t>其中重要的应收股利核销情况</w:t>
      </w:r>
    </w:p>
    <w:sdt>
      <w:sdtPr>
        <w:rPr>
          <w:rFonts w:hint="eastAsia"/>
          <w:color w:val="000000" w:themeColor="text1"/>
        </w:rPr>
        <w:alias w:val="是否适用：母公司重要的核销情况[双击切换]"/>
        <w:tag w:val="_GBC_146148b0997846e4bafed15556419cf8"/>
        <w:id w:val="-382484264"/>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p w:rsidR="000C5659" w:rsidRDefault="000E33C4">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61aa391f7973406cadb21e662d9b01ec"/>
        <w:id w:val="197463743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bookmarkStart w:id="437" w:name="_Hlk10547234"/>
      <w:bookmarkStart w:id="438" w:name="_Hlk10547244"/>
      <w:bookmarkEnd w:id="433"/>
      <w:bookmarkEnd w:id="434"/>
      <w:bookmarkEnd w:id="435"/>
      <w:r>
        <w:rPr>
          <w:rFonts w:hint="eastAsia"/>
          <w:color w:val="000000" w:themeColor="text1"/>
        </w:rPr>
        <w:t>其他说明：</w:t>
      </w:r>
      <w:bookmarkEnd w:id="437"/>
    </w:p>
    <w:sdt>
      <w:sdtPr>
        <w:rPr>
          <w:color w:val="000000" w:themeColor="text1"/>
        </w:rPr>
        <w:alias w:val="是否适用：母公司应收股利其他说明[双击切换]"/>
        <w:tag w:val="_GBC_79a2eb8844e84fe3b78bb5ffcf2a57d5"/>
        <w:id w:val="1895775962"/>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438"/>
    <w:p w:rsidR="000C5659" w:rsidRDefault="000E33C4">
      <w:pPr>
        <w:pStyle w:val="43"/>
        <w:rPr>
          <w:rFonts w:ascii="宋体" w:hAnsi="宋体"/>
          <w:color w:val="000000" w:themeColor="text1"/>
        </w:rPr>
      </w:pPr>
      <w:r>
        <w:rPr>
          <w:rFonts w:ascii="宋体" w:hAnsi="宋体" w:hint="eastAsia"/>
          <w:color w:val="000000" w:themeColor="text1"/>
        </w:rPr>
        <w:t>其他应收款</w:t>
      </w:r>
    </w:p>
    <w:p w:rsidR="000C5659" w:rsidRDefault="000E33C4" w:rsidP="000743DD">
      <w:pPr>
        <w:pStyle w:val="Style121"/>
        <w:numPr>
          <w:ilvl w:val="0"/>
          <w:numId w:val="120"/>
        </w:numPr>
        <w:ind w:left="425" w:hanging="425"/>
        <w:rPr>
          <w:rFonts w:asciiTheme="minorHAnsi" w:hAnsiTheme="minorHAnsi" w:cs="宋体"/>
          <w:color w:val="000000" w:themeColor="text1"/>
          <w:kern w:val="0"/>
          <w:szCs w:val="22"/>
        </w:rPr>
      </w:pPr>
      <w:bookmarkStart w:id="439" w:name="_Hlk153797719"/>
      <w:bookmarkStart w:id="440" w:name="_Hlk168042601"/>
      <w:r>
        <w:rPr>
          <w:rFonts w:asciiTheme="minorHAnsi" w:hAnsiTheme="minorHAnsi" w:cs="宋体" w:hint="eastAsia"/>
          <w:color w:val="000000" w:themeColor="text1"/>
          <w:kern w:val="0"/>
          <w:szCs w:val="22"/>
        </w:rPr>
        <w:t>按账龄披露</w:t>
      </w:r>
    </w:p>
    <w:sdt>
      <w:sdtPr>
        <w:rPr>
          <w:color w:val="000000" w:themeColor="text1"/>
        </w:rPr>
        <w:alias w:val="是否适用：母公司其他应收款按账龄披露[双击切换]"/>
        <w:tag w:val="_GBC_5b9c67da114b4f51b08890c9615bd1d4"/>
        <w:id w:val="-214211234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母公司其他应收款按账龄披露"/>
          <w:tag w:val="_GBC_6ab414dc01fc4a13acb3e3755a5cc201"/>
          <w:id w:val="-276254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其他应收款按账龄披露"/>
          <w:tag w:val="_GBC_043422dceaa24b4d9763b5cc6404b654"/>
          <w:id w:val="1302201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3"/>
        <w:gridCol w:w="2917"/>
      </w:tblGrid>
      <w:tr w:rsidR="000C5659">
        <w:trPr>
          <w:cantSplit/>
        </w:trPr>
        <w:sdt>
          <w:sdtPr>
            <w:rPr>
              <w:color w:val="000000" w:themeColor="text1"/>
            </w:rPr>
            <w:tag w:val="_PLD_af35a4cb8d9748a7bccbc4e491ccfe60"/>
            <w:id w:val="1472784757"/>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账龄</w:t>
                </w:r>
              </w:p>
            </w:tc>
          </w:sdtContent>
        </w:sdt>
        <w:sdt>
          <w:sdtPr>
            <w:rPr>
              <w:color w:val="000000" w:themeColor="text1"/>
            </w:rPr>
            <w:tag w:val="_PLD_21e0bb0de0cb4a07bdd466a200c90bfc"/>
            <w:id w:val="-1800372170"/>
          </w:sdtPr>
          <w:sdtEndPr/>
          <w:sdtContent>
            <w:tc>
              <w:tcPr>
                <w:tcW w:w="165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期末账面余额</w:t>
                </w:r>
              </w:p>
            </w:tc>
          </w:sdtContent>
        </w:sdt>
        <w:tc>
          <w:tcPr>
            <w:tcW w:w="1653" w:type="pct"/>
            <w:tcBorders>
              <w:top w:val="single" w:sz="4" w:space="0" w:color="auto"/>
              <w:left w:val="single" w:sz="4" w:space="0" w:color="auto"/>
              <w:bottom w:val="single" w:sz="4" w:space="0" w:color="auto"/>
              <w:right w:val="single" w:sz="4" w:space="0" w:color="auto"/>
            </w:tcBorders>
          </w:tcPr>
          <w:sdt>
            <w:sdtPr>
              <w:rPr>
                <w:rFonts w:hint="eastAsia"/>
                <w:color w:val="000000" w:themeColor="text1"/>
              </w:rPr>
              <w:tag w:val="_PLD_6e9631382f39495983e2cd57b3906040"/>
              <w:id w:val="-118227070"/>
            </w:sdtPr>
            <w:sdtEndPr/>
            <w:sdtContent>
              <w:p w:rsidR="000C5659" w:rsidRDefault="000E33C4">
                <w:pPr>
                  <w:jc w:val="center"/>
                  <w:rPr>
                    <w:color w:val="000000" w:themeColor="text1"/>
                  </w:rPr>
                </w:pPr>
                <w:r>
                  <w:rPr>
                    <w:rFonts w:hint="eastAsia"/>
                    <w:color w:val="000000" w:themeColor="text1"/>
                  </w:rPr>
                  <w:t>期初账面余额</w:t>
                </w:r>
              </w:p>
            </w:sdtContent>
          </w:sdt>
        </w:tc>
      </w:tr>
      <w:tr w:rsidR="000C5659">
        <w:trPr>
          <w:cantSplit/>
        </w:trPr>
        <w:sdt>
          <w:sdtPr>
            <w:rPr>
              <w:color w:val="000000" w:themeColor="text1"/>
            </w:rPr>
            <w:tag w:val="_PLD_c1b84b25c84543b787d17c3c23c2bc0b"/>
            <w:id w:val="-1795590297"/>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1年以内</w:t>
                </w:r>
              </w:p>
            </w:tc>
          </w:sdtContent>
        </w:sdt>
      </w:tr>
      <w:tr w:rsidR="000C5659">
        <w:trPr>
          <w:cantSplit/>
        </w:trPr>
        <w:sdt>
          <w:sdtPr>
            <w:rPr>
              <w:color w:val="000000" w:themeColor="text1"/>
            </w:rPr>
            <w:tag w:val="_PLD_e07e716b143c42788900c92cf0208509"/>
            <w:id w:val="252014815"/>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其中：1年以内分项</w:t>
                </w:r>
              </w:p>
            </w:tc>
          </w:sdtContent>
        </w:sdt>
      </w:tr>
      <w:tr w:rsidR="000C5659">
        <w:trPr>
          <w:cantSplit/>
        </w:trPr>
        <w:tc>
          <w:tcPr>
            <w:tcW w:w="1696" w:type="pct"/>
            <w:tcBorders>
              <w:top w:val="single" w:sz="4" w:space="0" w:color="auto"/>
              <w:left w:val="single" w:sz="4" w:space="0" w:color="auto"/>
              <w:bottom w:val="single" w:sz="4" w:space="0" w:color="auto"/>
              <w:right w:val="single" w:sz="4" w:space="0" w:color="auto"/>
            </w:tcBorders>
          </w:tcPr>
          <w:p w:rsidR="000C5659" w:rsidRDefault="000E33C4">
            <w:pPr>
              <w:pStyle w:val="Style325"/>
            </w:pPr>
            <w:r>
              <w:rPr>
                <w:rFonts w:hint="eastAsia"/>
              </w:rPr>
              <w:t>1年</w:t>
            </w:r>
            <w:r>
              <w:t>以内</w:t>
            </w:r>
          </w:p>
        </w:tc>
        <w:tc>
          <w:tcPr>
            <w:tcW w:w="165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19,488,448.68</w:t>
            </w:r>
          </w:p>
        </w:tc>
        <w:tc>
          <w:tcPr>
            <w:tcW w:w="1653" w:type="pct"/>
            <w:tcBorders>
              <w:top w:val="single" w:sz="4" w:space="0" w:color="auto"/>
              <w:left w:val="single" w:sz="4" w:space="0" w:color="auto"/>
              <w:bottom w:val="single" w:sz="4" w:space="0" w:color="auto"/>
              <w:right w:val="single" w:sz="4" w:space="0" w:color="auto"/>
            </w:tcBorders>
          </w:tcPr>
          <w:p w:rsidR="000C5659" w:rsidRDefault="000E33C4">
            <w:pPr>
              <w:jc w:val="right"/>
            </w:pPr>
            <w:r>
              <w:t>4,592,319.68</w:t>
            </w:r>
          </w:p>
        </w:tc>
      </w:tr>
      <w:tr w:rsidR="000C5659">
        <w:trPr>
          <w:cantSplit/>
        </w:trPr>
        <w:tc>
          <w:tcPr>
            <w:tcW w:w="169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1年以内小计</w:t>
            </w:r>
          </w:p>
        </w:tc>
        <w:tc>
          <w:tcPr>
            <w:tcW w:w="165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19,488,448.68</w:t>
            </w:r>
          </w:p>
        </w:tc>
        <w:tc>
          <w:tcPr>
            <w:tcW w:w="1653" w:type="pct"/>
            <w:tcBorders>
              <w:top w:val="single" w:sz="4" w:space="0" w:color="auto"/>
              <w:left w:val="single" w:sz="4" w:space="0" w:color="auto"/>
              <w:bottom w:val="single" w:sz="4" w:space="0" w:color="auto"/>
              <w:right w:val="single" w:sz="4" w:space="0" w:color="auto"/>
            </w:tcBorders>
          </w:tcPr>
          <w:p w:rsidR="000C5659" w:rsidRDefault="000E33C4">
            <w:pPr>
              <w:jc w:val="right"/>
            </w:pPr>
            <w:r>
              <w:t>4,592,319.68</w:t>
            </w:r>
          </w:p>
        </w:tc>
      </w:tr>
      <w:tr w:rsidR="000C5659">
        <w:trPr>
          <w:cantSplit/>
        </w:trPr>
        <w:tc>
          <w:tcPr>
            <w:tcW w:w="169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1至2年</w:t>
            </w:r>
          </w:p>
        </w:tc>
        <w:tc>
          <w:tcPr>
            <w:tcW w:w="165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5,810,727.88</w:t>
            </w:r>
          </w:p>
        </w:tc>
        <w:tc>
          <w:tcPr>
            <w:tcW w:w="1653" w:type="pct"/>
            <w:tcBorders>
              <w:top w:val="single" w:sz="4" w:space="0" w:color="auto"/>
              <w:left w:val="single" w:sz="4" w:space="0" w:color="auto"/>
              <w:bottom w:val="single" w:sz="4" w:space="0" w:color="auto"/>
              <w:right w:val="single" w:sz="4" w:space="0" w:color="auto"/>
            </w:tcBorders>
          </w:tcPr>
          <w:p w:rsidR="000C5659" w:rsidRDefault="000E33C4">
            <w:pPr>
              <w:jc w:val="right"/>
            </w:pPr>
            <w:r>
              <w:t>4,885,077.00</w:t>
            </w:r>
          </w:p>
        </w:tc>
      </w:tr>
      <w:tr w:rsidR="000C5659">
        <w:trPr>
          <w:cantSplit/>
        </w:trPr>
        <w:tc>
          <w:tcPr>
            <w:tcW w:w="169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2至3年</w:t>
            </w:r>
          </w:p>
        </w:tc>
        <w:tc>
          <w:tcPr>
            <w:tcW w:w="165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121,000.00</w:t>
            </w:r>
          </w:p>
        </w:tc>
        <w:tc>
          <w:tcPr>
            <w:tcW w:w="1653" w:type="pct"/>
            <w:tcBorders>
              <w:top w:val="single" w:sz="4" w:space="0" w:color="auto"/>
              <w:left w:val="single" w:sz="4" w:space="0" w:color="auto"/>
              <w:bottom w:val="single" w:sz="4" w:space="0" w:color="auto"/>
              <w:right w:val="single" w:sz="4" w:space="0" w:color="auto"/>
            </w:tcBorders>
          </w:tcPr>
          <w:p w:rsidR="000C5659" w:rsidRDefault="000E33C4">
            <w:pPr>
              <w:jc w:val="right"/>
            </w:pPr>
            <w:r>
              <w:t>163,546.83</w:t>
            </w:r>
          </w:p>
        </w:tc>
      </w:tr>
      <w:tr w:rsidR="000C5659">
        <w:trPr>
          <w:cantSplit/>
        </w:trPr>
        <w:tc>
          <w:tcPr>
            <w:tcW w:w="1696"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rFonts w:hint="eastAsia"/>
                <w:color w:val="000000" w:themeColor="text1"/>
              </w:rPr>
              <w:t>3年以上</w:t>
            </w:r>
          </w:p>
        </w:tc>
        <w:tc>
          <w:tcPr>
            <w:tcW w:w="165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1,959,380.00</w:t>
            </w:r>
          </w:p>
        </w:tc>
        <w:tc>
          <w:tcPr>
            <w:tcW w:w="1653" w:type="pct"/>
            <w:tcBorders>
              <w:top w:val="single" w:sz="4" w:space="0" w:color="auto"/>
              <w:left w:val="single" w:sz="4" w:space="0" w:color="auto"/>
              <w:bottom w:val="single" w:sz="4" w:space="0" w:color="auto"/>
              <w:right w:val="single" w:sz="4" w:space="0" w:color="auto"/>
            </w:tcBorders>
          </w:tcPr>
          <w:p w:rsidR="000C5659" w:rsidRDefault="000E33C4">
            <w:pPr>
              <w:jc w:val="right"/>
            </w:pPr>
            <w:r>
              <w:t>1,762,003.17</w:t>
            </w:r>
          </w:p>
        </w:tc>
      </w:tr>
      <w:tr w:rsidR="000C5659">
        <w:trPr>
          <w:cantSplit/>
        </w:trPr>
        <w:tc>
          <w:tcPr>
            <w:tcW w:w="169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tc>
          <w:tcPr>
            <w:tcW w:w="165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27,379,556.56</w:t>
            </w:r>
          </w:p>
        </w:tc>
        <w:tc>
          <w:tcPr>
            <w:tcW w:w="1653" w:type="pct"/>
            <w:tcBorders>
              <w:top w:val="single" w:sz="4" w:space="0" w:color="auto"/>
              <w:left w:val="single" w:sz="4" w:space="0" w:color="auto"/>
              <w:bottom w:val="single" w:sz="4" w:space="0" w:color="auto"/>
              <w:right w:val="single" w:sz="4" w:space="0" w:color="auto"/>
            </w:tcBorders>
          </w:tcPr>
          <w:p w:rsidR="000C5659" w:rsidRDefault="000E33C4">
            <w:pPr>
              <w:jc w:val="right"/>
            </w:pPr>
            <w:r>
              <w:rPr>
                <w:szCs w:val="18"/>
              </w:rPr>
              <w:t>11,402,946.68</w:t>
            </w:r>
          </w:p>
        </w:tc>
      </w:tr>
    </w:tbl>
    <w:p w:rsidR="000C5659" w:rsidRDefault="000C5659">
      <w:pPr>
        <w:pStyle w:val="Style325"/>
      </w:pPr>
    </w:p>
    <w:p w:rsidR="000C5659" w:rsidRDefault="000E33C4" w:rsidP="000743DD">
      <w:pPr>
        <w:pStyle w:val="Style121"/>
        <w:numPr>
          <w:ilvl w:val="0"/>
          <w:numId w:val="120"/>
        </w:numPr>
        <w:ind w:left="425" w:hanging="425"/>
        <w:rPr>
          <w:rFonts w:asciiTheme="minorHAnsi" w:hAnsiTheme="minorHAnsi" w:cs="宋体"/>
          <w:color w:val="000000" w:themeColor="text1"/>
          <w:kern w:val="0"/>
          <w:szCs w:val="22"/>
        </w:rPr>
      </w:pPr>
      <w:bookmarkStart w:id="441" w:name="_Hlk10547648"/>
      <w:bookmarkEnd w:id="439"/>
      <w:bookmarkEnd w:id="440"/>
      <w:r>
        <w:rPr>
          <w:rFonts w:asciiTheme="minorHAnsi" w:hAnsiTheme="minorHAnsi" w:cs="宋体" w:hint="eastAsia"/>
          <w:color w:val="000000" w:themeColor="text1"/>
          <w:kern w:val="0"/>
          <w:szCs w:val="22"/>
        </w:rPr>
        <w:t>按款项性质分类</w:t>
      </w:r>
    </w:p>
    <w:sdt>
      <w:sdtPr>
        <w:rPr>
          <w:color w:val="000000" w:themeColor="text1"/>
        </w:rPr>
        <w:alias w:val="是否适用：母公司其他应收款按款项性质分类情况[双击切换]"/>
        <w:tag w:val="_GBC_101fec10ac1f41f39330610cac041192"/>
        <w:id w:val="-205268489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21"/>
        <w:numPr>
          <w:ilvl w:val="0"/>
          <w:numId w:val="120"/>
        </w:numPr>
        <w:ind w:left="425" w:hanging="425"/>
        <w:rPr>
          <w:rFonts w:asciiTheme="minorHAnsi" w:hAnsiTheme="minorHAnsi" w:cs="宋体"/>
          <w:color w:val="000000" w:themeColor="text1"/>
          <w:kern w:val="0"/>
          <w:szCs w:val="22"/>
        </w:rPr>
      </w:pPr>
      <w:bookmarkStart w:id="442" w:name="_Hlk10547765"/>
      <w:bookmarkEnd w:id="441"/>
      <w:r>
        <w:rPr>
          <w:rFonts w:asciiTheme="minorHAnsi" w:hAnsiTheme="minorHAnsi" w:cs="宋体" w:hint="eastAsia"/>
          <w:color w:val="000000" w:themeColor="text1"/>
          <w:kern w:val="0"/>
          <w:szCs w:val="22"/>
        </w:rPr>
        <w:t>坏账准备计提情况</w:t>
      </w:r>
    </w:p>
    <w:sdt>
      <w:sdtPr>
        <w:rPr>
          <w:color w:val="000000" w:themeColor="text1"/>
        </w:rPr>
        <w:alias w:val="是否适用：母公司其他应收款坏账准备调节表[双击切换]"/>
        <w:tag w:val="_GBC_550996ad46c8493eb98c011d7acf7dfb"/>
        <w:id w:val="-76260480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母公司其他应收款坏账准备调节表"/>
          <w:tag w:val="_GBC_10c7491cbac54cf6a1a375367db16baf"/>
          <w:id w:val="357889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其他应收款坏账准备调节表"/>
          <w:tag w:val="_GBC_01762fded69841c1b87d684f3bcfb97f"/>
          <w:id w:val="-16306217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0C5659">
        <w:sdt>
          <w:sdtPr>
            <w:rPr>
              <w:rFonts w:ascii="宋体" w:eastAsia="宋体" w:hAnsi="宋体"/>
              <w:color w:val="000000" w:themeColor="text1"/>
            </w:rPr>
            <w:tag w:val="_PLD_a620ef8c0fe0407b955c4f58530e0b21"/>
            <w:id w:val="601611573"/>
          </w:sdtPr>
          <w:sdtEndPr/>
          <w:sdtContent>
            <w:tc>
              <w:tcPr>
                <w:tcW w:w="1001" w:type="pct"/>
                <w:vMerge w:val="restart"/>
                <w:vAlign w:val="center"/>
              </w:tcPr>
              <w:p w:rsidR="000C5659" w:rsidRDefault="000E33C4">
                <w:pPr>
                  <w:pStyle w:val="TableParagraph"/>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rPr>
              <w:rFonts w:ascii="宋体" w:eastAsia="宋体" w:hAnsi="宋体"/>
              <w:color w:val="000000" w:themeColor="text1"/>
            </w:rPr>
            <w:tag w:val="_PLD_8699e9827a744831bf2fdadfa1ac52e1"/>
            <w:id w:val="-1776549171"/>
          </w:sdtPr>
          <w:sdtEndPr/>
          <w:sdtContent>
            <w:tc>
              <w:tcPr>
                <w:tcW w:w="862" w:type="pct"/>
                <w:vAlign w:val="center"/>
              </w:tcPr>
              <w:p w:rsidR="000C5659" w:rsidRDefault="000E33C4">
                <w:pPr>
                  <w:pStyle w:val="TableParagraph"/>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rPr>
              <w:rFonts w:ascii="宋体" w:eastAsia="宋体" w:hAnsi="宋体"/>
              <w:color w:val="000000" w:themeColor="text1"/>
            </w:rPr>
            <w:tag w:val="_PLD_d2f5c6d4cf0d4a86b39dc41f67fe87db"/>
            <w:id w:val="-857038264"/>
          </w:sdtPr>
          <w:sdtEndPr/>
          <w:sdtContent>
            <w:tc>
              <w:tcPr>
                <w:tcW w:w="1097" w:type="pct"/>
              </w:tcPr>
              <w:p w:rsidR="000C5659" w:rsidRDefault="000E33C4">
                <w:pPr>
                  <w:pStyle w:val="TableParagraph"/>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rPr>
              <w:rFonts w:ascii="宋体" w:eastAsia="宋体" w:hAnsi="宋体"/>
              <w:color w:val="000000" w:themeColor="text1"/>
            </w:rPr>
            <w:tag w:val="_PLD_a09c7daba8c14a6498c7b83b77c97c72"/>
            <w:id w:val="-183357652"/>
          </w:sdtPr>
          <w:sdtEndPr/>
          <w:sdtContent>
            <w:tc>
              <w:tcPr>
                <w:tcW w:w="1097" w:type="pct"/>
              </w:tcPr>
              <w:p w:rsidR="000C5659" w:rsidRDefault="000E33C4">
                <w:pPr>
                  <w:pStyle w:val="TableParagraph"/>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rPr>
              <w:rFonts w:ascii="宋体" w:eastAsia="宋体" w:hAnsi="宋体"/>
              <w:color w:val="000000" w:themeColor="text1"/>
            </w:rPr>
            <w:tag w:val="_PLD_1ec064a14a75404dac24adc5e6ddd253"/>
            <w:id w:val="-283421858"/>
          </w:sdtPr>
          <w:sdtEndPr/>
          <w:sdtContent>
            <w:tc>
              <w:tcPr>
                <w:tcW w:w="943" w:type="pct"/>
                <w:vMerge w:val="restart"/>
                <w:vAlign w:val="center"/>
              </w:tcPr>
              <w:p w:rsidR="000C5659" w:rsidRDefault="000E33C4">
                <w:pPr>
                  <w:pStyle w:val="TableParagraph"/>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0C5659">
        <w:trPr>
          <w:trHeight w:val="672"/>
        </w:trPr>
        <w:tc>
          <w:tcPr>
            <w:tcW w:w="1001" w:type="pct"/>
            <w:vMerge/>
            <w:vAlign w:val="center"/>
          </w:tcPr>
          <w:p w:rsidR="000C5659" w:rsidRDefault="000C5659">
            <w:pPr>
              <w:jc w:val="center"/>
              <w:rPr>
                <w:color w:val="000000" w:themeColor="text1"/>
              </w:rPr>
            </w:pPr>
          </w:p>
        </w:tc>
        <w:sdt>
          <w:sdtPr>
            <w:rPr>
              <w:rFonts w:ascii="宋体" w:eastAsia="宋体" w:hAnsi="宋体"/>
              <w:color w:val="000000" w:themeColor="text1"/>
            </w:rPr>
            <w:tag w:val="_PLD_506da2a2f1db4ead819aa958edd702e2"/>
            <w:id w:val="-1834670795"/>
          </w:sdtPr>
          <w:sdtEndPr/>
          <w:sdtContent>
            <w:tc>
              <w:tcPr>
                <w:tcW w:w="862" w:type="pct"/>
                <w:vAlign w:val="center"/>
              </w:tcPr>
              <w:p w:rsidR="000C5659" w:rsidRDefault="000E33C4">
                <w:pPr>
                  <w:pStyle w:val="TableParagraph"/>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未来12个月预期信用损失</w:t>
                </w:r>
              </w:p>
            </w:tc>
          </w:sdtContent>
        </w:sdt>
        <w:sdt>
          <w:sdtPr>
            <w:rPr>
              <w:rFonts w:ascii="宋体" w:eastAsia="宋体" w:hAnsi="宋体"/>
              <w:color w:val="000000" w:themeColor="text1"/>
            </w:rPr>
            <w:tag w:val="_PLD_23a6590eef0649d4af75d4845c12f263"/>
            <w:id w:val="-1443290472"/>
          </w:sdtPr>
          <w:sdtEndPr/>
          <w:sdtContent>
            <w:tc>
              <w:tcPr>
                <w:tcW w:w="1097" w:type="pct"/>
                <w:vAlign w:val="center"/>
              </w:tcPr>
              <w:p w:rsidR="000C5659" w:rsidRDefault="000E33C4">
                <w:pPr>
                  <w:pStyle w:val="TableParagraph"/>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整个存续期预期信用损失(未发生信用减值)</w:t>
                </w:r>
              </w:p>
            </w:tc>
          </w:sdtContent>
        </w:sdt>
        <w:sdt>
          <w:sdtPr>
            <w:rPr>
              <w:rFonts w:ascii="宋体" w:eastAsia="宋体" w:hAnsi="宋体"/>
              <w:color w:val="000000" w:themeColor="text1"/>
            </w:rPr>
            <w:tag w:val="_PLD_44518f4265ac43078f96c79efe9dd487"/>
            <w:id w:val="2115471532"/>
          </w:sdtPr>
          <w:sdtEndPr/>
          <w:sdtContent>
            <w:tc>
              <w:tcPr>
                <w:tcW w:w="1097" w:type="pct"/>
                <w:vAlign w:val="center"/>
              </w:tcPr>
              <w:p w:rsidR="000C5659" w:rsidRDefault="000E33C4">
                <w:pPr>
                  <w:pStyle w:val="TableParagraph"/>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整个存续期预期信用损失(已发生信用减值)</w:t>
                </w:r>
              </w:p>
            </w:tc>
          </w:sdtContent>
        </w:sdt>
        <w:tc>
          <w:tcPr>
            <w:tcW w:w="943" w:type="pct"/>
            <w:vMerge/>
          </w:tcPr>
          <w:p w:rsidR="000C5659" w:rsidRDefault="000C5659">
            <w:pPr>
              <w:jc w:val="center"/>
              <w:rPr>
                <w:color w:val="000000" w:themeColor="text1"/>
              </w:rPr>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w:t>
            </w:r>
            <w:r>
              <w:rPr>
                <w:rFonts w:ascii="宋体" w:eastAsia="宋体" w:hAnsi="宋体" w:cs="宋体" w:hint="eastAsia"/>
                <w:color w:val="000000" w:themeColor="text1"/>
                <w:sz w:val="21"/>
                <w:szCs w:val="21"/>
                <w:lang w:eastAsia="zh-CN"/>
              </w:rPr>
              <w:t>1月1日余额</w:t>
            </w:r>
          </w:p>
        </w:tc>
        <w:tc>
          <w:tcPr>
            <w:tcW w:w="862" w:type="pct"/>
          </w:tcPr>
          <w:p w:rsidR="000C5659" w:rsidRDefault="000E33C4">
            <w:pPr>
              <w:jc w:val="right"/>
            </w:pPr>
            <w:r>
              <w:t>74,200.00</w:t>
            </w: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E33C4">
            <w:pPr>
              <w:jc w:val="right"/>
            </w:pPr>
            <w:r>
              <w:t>74,200.00</w:t>
            </w: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2024年1月1日余额在本期</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--转入第二阶段</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--转入第三阶段</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--转回第二阶段</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--转回第一阶段</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862" w:type="pct"/>
          </w:tcPr>
          <w:p w:rsidR="000C5659" w:rsidRDefault="000E33C4">
            <w:pPr>
              <w:jc w:val="right"/>
            </w:pPr>
            <w:r>
              <w:rPr>
                <w:rFonts w:hint="eastAsia"/>
              </w:rPr>
              <w:t>31,800.00</w:t>
            </w: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E33C4">
            <w:pPr>
              <w:jc w:val="right"/>
            </w:pPr>
            <w:r>
              <w:rPr>
                <w:rFonts w:hint="eastAsia"/>
              </w:rPr>
              <w:t>31,800.00</w:t>
            </w:r>
          </w:p>
        </w:tc>
      </w:tr>
      <w:tr w:rsidR="000C5659">
        <w:tc>
          <w:tcPr>
            <w:tcW w:w="1001" w:type="pct"/>
            <w:vAlign w:val="center"/>
          </w:tcPr>
          <w:p w:rsidR="000C5659" w:rsidRDefault="000E33C4">
            <w:pPr>
              <w:pStyle w:val="TableParagraph"/>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其他变动</w:t>
            </w:r>
          </w:p>
        </w:tc>
        <w:tc>
          <w:tcPr>
            <w:tcW w:w="862" w:type="pct"/>
          </w:tcPr>
          <w:p w:rsidR="000C5659" w:rsidRDefault="000C5659">
            <w:pPr>
              <w:jc w:val="right"/>
            </w:pP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C5659">
            <w:pPr>
              <w:jc w:val="right"/>
            </w:pPr>
          </w:p>
        </w:tc>
      </w:tr>
      <w:tr w:rsidR="000C5659">
        <w:tc>
          <w:tcPr>
            <w:tcW w:w="1001" w:type="pct"/>
            <w:vAlign w:val="center"/>
          </w:tcPr>
          <w:p w:rsidR="000C5659" w:rsidRDefault="000E33C4">
            <w:pPr>
              <w:pStyle w:val="TableParagraph"/>
              <w:spacing w:after="0" w:line="240" w:lineRule="auto"/>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2024年6月30日</w:t>
            </w:r>
            <w:r>
              <w:rPr>
                <w:rFonts w:ascii="宋体" w:eastAsia="宋体" w:hAnsi="宋体" w:cs="宋体" w:hint="eastAsia"/>
                <w:color w:val="000000" w:themeColor="text1"/>
                <w:sz w:val="21"/>
                <w:szCs w:val="21"/>
                <w:lang w:eastAsia="zh-CN"/>
              </w:rPr>
              <w:t>余额</w:t>
            </w:r>
          </w:p>
        </w:tc>
        <w:tc>
          <w:tcPr>
            <w:tcW w:w="862" w:type="pct"/>
          </w:tcPr>
          <w:p w:rsidR="000C5659" w:rsidRDefault="000E33C4">
            <w:pPr>
              <w:jc w:val="right"/>
            </w:pPr>
            <w:r>
              <w:rPr>
                <w:rFonts w:hint="eastAsia"/>
              </w:rPr>
              <w:t>106,000.00</w:t>
            </w:r>
          </w:p>
        </w:tc>
        <w:tc>
          <w:tcPr>
            <w:tcW w:w="1097" w:type="pct"/>
          </w:tcPr>
          <w:p w:rsidR="000C5659" w:rsidRDefault="000C5659">
            <w:pPr>
              <w:jc w:val="right"/>
            </w:pPr>
          </w:p>
        </w:tc>
        <w:tc>
          <w:tcPr>
            <w:tcW w:w="1097" w:type="pct"/>
          </w:tcPr>
          <w:p w:rsidR="000C5659" w:rsidRDefault="000C5659">
            <w:pPr>
              <w:jc w:val="right"/>
            </w:pPr>
          </w:p>
        </w:tc>
        <w:tc>
          <w:tcPr>
            <w:tcW w:w="943" w:type="pct"/>
          </w:tcPr>
          <w:p w:rsidR="000C5659" w:rsidRDefault="000E33C4">
            <w:pPr>
              <w:jc w:val="right"/>
            </w:pPr>
            <w:r>
              <w:rPr>
                <w:rFonts w:hint="eastAsia"/>
              </w:rPr>
              <w:t>106,000.00</w:t>
            </w:r>
          </w:p>
        </w:tc>
      </w:tr>
    </w:tbl>
    <w:p w:rsidR="000C5659" w:rsidRDefault="000C5659">
      <w:pPr>
        <w:pStyle w:val="Style325"/>
      </w:pPr>
    </w:p>
    <w:p w:rsidR="000C5659" w:rsidRDefault="000E33C4">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其他应收款各阶段划分依据和坏账准备计提比例"/>
        <w:tag w:val="_GBC_d1deab3352d44521aa56c337c4c1cf70"/>
        <w:id w:val="2036846496"/>
        <w:placeholder>
          <w:docPart w:val="GBC22222222222222222222222222222"/>
        </w:placeholder>
      </w:sdtPr>
      <w:sdtEndPr/>
      <w:sdtContent>
        <w:p w:rsidR="000C5659" w:rsidRDefault="000E33C4">
          <w:pPr>
            <w:rPr>
              <w:rFonts w:cs="Times New Roman"/>
              <w:color w:val="000000" w:themeColor="text1"/>
              <w:szCs w:val="22"/>
            </w:rPr>
          </w:pPr>
          <w:r>
            <w:rPr>
              <w:rFonts w:cs="Times New Roman" w:hint="eastAsia"/>
              <w:color w:val="000000" w:themeColor="text1"/>
              <w:szCs w:val="22"/>
            </w:rPr>
            <w:t>无</w:t>
          </w:r>
        </w:p>
      </w:sdtContent>
    </w:sdt>
    <w:p w:rsidR="000C5659" w:rsidRDefault="000C5659">
      <w:pPr>
        <w:rPr>
          <w:rFonts w:cs="Times New Roman"/>
          <w:color w:val="000000" w:themeColor="text1"/>
          <w:szCs w:val="22"/>
        </w:rPr>
      </w:pPr>
    </w:p>
    <w:p w:rsidR="000C5659" w:rsidRDefault="000E33C4">
      <w:pPr>
        <w:pStyle w:val="Style197"/>
        <w:rPr>
          <w:color w:val="000000" w:themeColor="text1"/>
        </w:rPr>
      </w:pPr>
      <w:r>
        <w:rPr>
          <w:rFonts w:hint="eastAsia"/>
          <w:color w:val="000000" w:themeColor="text1"/>
        </w:rPr>
        <w:t>对本期发生损失准备变动的其他应收款账面余额显著变动的情况说明：</w:t>
      </w:r>
    </w:p>
    <w:sdt>
      <w:sdtPr>
        <w:rPr>
          <w:color w:val="000000" w:themeColor="text1"/>
        </w:rPr>
        <w:alias w:val="是否适用：母公司其他应收款本期发生损失准备变动且账面余额显著变动的情况说明[双击切换]"/>
        <w:tag w:val="_GBC_51a7e143899e4bf4887327bb018327b9"/>
        <w:id w:val="-166021595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母公司其他应收款坏账准备计提金额以及评估金融工具的信用风险是否显著增加的采用依据[双击切换]"/>
        <w:tag w:val="_GBC_d5682930254743bebaaf3c46f4513c04"/>
        <w:id w:val="-143219392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21"/>
        <w:numPr>
          <w:ilvl w:val="0"/>
          <w:numId w:val="120"/>
        </w:numPr>
        <w:ind w:left="425" w:hanging="425"/>
        <w:rPr>
          <w:rFonts w:asciiTheme="minorHAnsi" w:hAnsiTheme="minorHAnsi" w:cs="宋体"/>
          <w:color w:val="000000" w:themeColor="text1"/>
          <w:kern w:val="0"/>
          <w:szCs w:val="22"/>
        </w:rPr>
      </w:pPr>
      <w:bookmarkStart w:id="443" w:name="_Hlk10548122"/>
      <w:bookmarkEnd w:id="442"/>
      <w:r>
        <w:rPr>
          <w:rFonts w:asciiTheme="minorHAnsi" w:hAnsiTheme="minorHAnsi" w:cs="宋体" w:hint="eastAsia"/>
          <w:color w:val="000000" w:themeColor="text1"/>
          <w:kern w:val="0"/>
          <w:szCs w:val="22"/>
        </w:rPr>
        <w:t>坏账准备的情况</w:t>
      </w:r>
    </w:p>
    <w:sdt>
      <w:sdtPr>
        <w:rPr>
          <w:color w:val="000000" w:themeColor="text1"/>
        </w:rPr>
        <w:alias w:val="是否适用：其他应收款坏账准备[双击切换]"/>
        <w:tag w:val="_GBC_746f45a984d44f56a795e5587d8e7cf2"/>
        <w:id w:val="-20406648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其他应收款坏账准备"/>
          <w:tag w:val="_GBC_61bb3d08ce2d41d5ad87b4c691e409ad"/>
          <w:id w:val="-6256237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其他应收款坏账准备"/>
          <w:tag w:val="_GBC_d9e85c814c564e7782149971f7c23ba2"/>
          <w:id w:val="109090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1"/>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97"/>
        <w:gridCol w:w="1180"/>
        <w:gridCol w:w="1277"/>
        <w:gridCol w:w="1181"/>
        <w:gridCol w:w="1257"/>
        <w:gridCol w:w="1255"/>
        <w:gridCol w:w="1276"/>
      </w:tblGrid>
      <w:tr w:rsidR="000C5659">
        <w:sdt>
          <w:sdtPr>
            <w:rPr>
              <w:color w:val="000000" w:themeColor="text1"/>
            </w:rPr>
            <w:tag w:val="_PLD_eb515a63c0e744098c94b279d63caf4e"/>
            <w:id w:val="-793051026"/>
          </w:sdtPr>
          <w:sdtEndPr/>
          <w:sdtContent>
            <w:tc>
              <w:tcPr>
                <w:tcW w:w="794" w:type="pct"/>
                <w:vMerge w:val="restart"/>
                <w:shd w:val="clear" w:color="auto" w:fill="FFFFFF"/>
                <w:vAlign w:val="center"/>
              </w:tcPr>
              <w:p w:rsidR="000C5659" w:rsidRDefault="000E33C4">
                <w:pPr>
                  <w:widowControl w:val="0"/>
                  <w:jc w:val="center"/>
                  <w:rPr>
                    <w:color w:val="000000" w:themeColor="text1"/>
                  </w:rPr>
                </w:pPr>
                <w:r>
                  <w:rPr>
                    <w:color w:val="000000" w:themeColor="text1"/>
                  </w:rPr>
                  <w:t>类别</w:t>
                </w:r>
              </w:p>
            </w:tc>
          </w:sdtContent>
        </w:sdt>
        <w:sdt>
          <w:sdtPr>
            <w:rPr>
              <w:color w:val="000000" w:themeColor="text1"/>
            </w:rPr>
            <w:tag w:val="_PLD_a39850dac4d142e8b7a712dce9edad36"/>
            <w:id w:val="-963112267"/>
          </w:sdtPr>
          <w:sdtEndPr/>
          <w:sdtContent>
            <w:tc>
              <w:tcPr>
                <w:tcW w:w="671" w:type="pct"/>
                <w:vMerge w:val="restart"/>
                <w:shd w:val="clear" w:color="auto" w:fill="FFFFFF"/>
                <w:vAlign w:val="center"/>
              </w:tcPr>
              <w:p w:rsidR="000C5659" w:rsidRDefault="000E33C4">
                <w:pPr>
                  <w:widowControl w:val="0"/>
                  <w:jc w:val="center"/>
                  <w:rPr>
                    <w:color w:val="000000" w:themeColor="text1"/>
                  </w:rPr>
                </w:pPr>
                <w:r>
                  <w:rPr>
                    <w:color w:val="000000" w:themeColor="text1"/>
                  </w:rPr>
                  <w:t>期初余额</w:t>
                </w:r>
              </w:p>
            </w:tc>
          </w:sdtContent>
        </w:sdt>
        <w:sdt>
          <w:sdtPr>
            <w:rPr>
              <w:color w:val="000000" w:themeColor="text1"/>
            </w:rPr>
            <w:tag w:val="_PLD_96686c7add8a4f2a8fa109c753f44a0b"/>
            <w:id w:val="-299696791"/>
          </w:sdtPr>
          <w:sdtEndPr/>
          <w:sdtContent>
            <w:tc>
              <w:tcPr>
                <w:tcW w:w="2824" w:type="pct"/>
                <w:gridSpan w:val="4"/>
                <w:shd w:val="clear" w:color="auto" w:fill="FFFFFF"/>
                <w:vAlign w:val="center"/>
              </w:tcPr>
              <w:p w:rsidR="000C5659" w:rsidRDefault="000E33C4">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rPr>
              <w:color w:val="000000" w:themeColor="text1"/>
            </w:rPr>
            <w:tag w:val="_PLD_2aef0abd937f4f5283fac84c8a1afc2d"/>
            <w:id w:val="284545804"/>
          </w:sdtPr>
          <w:sdtEndPr/>
          <w:sdtContent>
            <w:tc>
              <w:tcPr>
                <w:tcW w:w="710" w:type="pct"/>
                <w:vMerge w:val="restart"/>
                <w:shd w:val="clear" w:color="auto" w:fill="FFFFFF"/>
                <w:vAlign w:val="center"/>
              </w:tcPr>
              <w:p w:rsidR="000C5659" w:rsidRDefault="000E33C4">
                <w:pPr>
                  <w:widowControl w:val="0"/>
                  <w:jc w:val="center"/>
                  <w:rPr>
                    <w:color w:val="000000" w:themeColor="text1"/>
                  </w:rPr>
                </w:pPr>
                <w:r>
                  <w:rPr>
                    <w:color w:val="000000" w:themeColor="text1"/>
                  </w:rPr>
                  <w:t>期末余额</w:t>
                </w:r>
              </w:p>
            </w:tc>
          </w:sdtContent>
        </w:sdt>
      </w:tr>
      <w:tr w:rsidR="000C5659">
        <w:tc>
          <w:tcPr>
            <w:tcW w:w="794" w:type="pct"/>
            <w:vMerge/>
            <w:shd w:val="clear" w:color="auto" w:fill="FFFFFF"/>
          </w:tcPr>
          <w:p w:rsidR="000C5659" w:rsidRDefault="000C5659">
            <w:pPr>
              <w:widowControl w:val="0"/>
              <w:jc w:val="center"/>
              <w:rPr>
                <w:color w:val="000000" w:themeColor="text1"/>
              </w:rPr>
            </w:pPr>
          </w:p>
        </w:tc>
        <w:tc>
          <w:tcPr>
            <w:tcW w:w="671" w:type="pct"/>
            <w:vMerge/>
            <w:shd w:val="clear" w:color="auto" w:fill="FFFFFF"/>
          </w:tcPr>
          <w:p w:rsidR="000C5659" w:rsidRDefault="000C5659">
            <w:pPr>
              <w:widowControl w:val="0"/>
              <w:jc w:val="center"/>
              <w:rPr>
                <w:color w:val="000000" w:themeColor="text1"/>
              </w:rPr>
            </w:pPr>
          </w:p>
        </w:tc>
        <w:sdt>
          <w:sdtPr>
            <w:rPr>
              <w:color w:val="000000" w:themeColor="text1"/>
            </w:rPr>
            <w:tag w:val="_PLD_0d882cd108804ecc85c8ea70ca9a0022"/>
            <w:id w:val="-613054089"/>
          </w:sdtPr>
          <w:sdtEndPr/>
          <w:sdtContent>
            <w:tc>
              <w:tcPr>
                <w:tcW w:w="726" w:type="pct"/>
                <w:shd w:val="clear" w:color="auto" w:fill="FFFFFF"/>
                <w:vAlign w:val="center"/>
              </w:tcPr>
              <w:p w:rsidR="000C5659" w:rsidRDefault="000E33C4">
                <w:pPr>
                  <w:widowControl w:val="0"/>
                  <w:jc w:val="center"/>
                  <w:rPr>
                    <w:color w:val="000000" w:themeColor="text1"/>
                  </w:rPr>
                </w:pPr>
                <w:r>
                  <w:rPr>
                    <w:color w:val="000000" w:themeColor="text1"/>
                  </w:rPr>
                  <w:t>计提</w:t>
                </w:r>
              </w:p>
            </w:tc>
          </w:sdtContent>
        </w:sdt>
        <w:sdt>
          <w:sdtPr>
            <w:rPr>
              <w:color w:val="000000" w:themeColor="text1"/>
            </w:rPr>
            <w:tag w:val="_PLD_e2116bf770074307b5326d2e261c8b91"/>
            <w:id w:val="16597493"/>
          </w:sdtPr>
          <w:sdtEndPr/>
          <w:sdtContent>
            <w:tc>
              <w:tcPr>
                <w:tcW w:w="671" w:type="pct"/>
                <w:shd w:val="clear" w:color="auto" w:fill="FFFFFF"/>
                <w:vAlign w:val="center"/>
              </w:tcPr>
              <w:p w:rsidR="000C5659" w:rsidRDefault="000E33C4">
                <w:pPr>
                  <w:widowControl w:val="0"/>
                  <w:jc w:val="center"/>
                  <w:rPr>
                    <w:color w:val="000000" w:themeColor="text1"/>
                  </w:rPr>
                </w:pPr>
                <w:r>
                  <w:rPr>
                    <w:rFonts w:hint="eastAsia"/>
                    <w:color w:val="000000" w:themeColor="text1"/>
                  </w:rPr>
                  <w:t>收回或转回</w:t>
                </w:r>
              </w:p>
            </w:tc>
          </w:sdtContent>
        </w:sdt>
        <w:sdt>
          <w:sdtPr>
            <w:rPr>
              <w:color w:val="000000" w:themeColor="text1"/>
            </w:rPr>
            <w:tag w:val="_PLD_ecb1755ff206448580b99e0999e516f9"/>
            <w:id w:val="-1526939114"/>
          </w:sdtPr>
          <w:sdtEndPr/>
          <w:sdtContent>
            <w:tc>
              <w:tcPr>
                <w:tcW w:w="714" w:type="pct"/>
                <w:shd w:val="clear" w:color="auto" w:fill="FFFFFF"/>
                <w:vAlign w:val="center"/>
              </w:tcPr>
              <w:p w:rsidR="000C5659" w:rsidRDefault="000E33C4">
                <w:pPr>
                  <w:widowControl w:val="0"/>
                  <w:jc w:val="center"/>
                  <w:rPr>
                    <w:color w:val="000000" w:themeColor="text1"/>
                  </w:rPr>
                </w:pPr>
                <w:r>
                  <w:rPr>
                    <w:rFonts w:hint="eastAsia"/>
                    <w:color w:val="000000" w:themeColor="text1"/>
                  </w:rPr>
                  <w:t>转销或核销</w:t>
                </w:r>
              </w:p>
            </w:tc>
          </w:sdtContent>
        </w:sdt>
        <w:tc>
          <w:tcPr>
            <w:tcW w:w="712" w:type="pct"/>
            <w:shd w:val="clear" w:color="auto" w:fill="FFFFFF"/>
            <w:vAlign w:val="center"/>
          </w:tcPr>
          <w:sdt>
            <w:sdtPr>
              <w:rPr>
                <w:rFonts w:hint="eastAsia"/>
                <w:color w:val="000000" w:themeColor="text1"/>
              </w:rPr>
              <w:tag w:val="_PLD_1b39a62bca3c4844a14e6b043f874971"/>
              <w:id w:val="502478209"/>
            </w:sdtPr>
            <w:sdtEndPr/>
            <w:sdtContent>
              <w:p w:rsidR="000C5659" w:rsidRDefault="000E33C4">
                <w:pPr>
                  <w:widowControl w:val="0"/>
                  <w:jc w:val="right"/>
                  <w:rPr>
                    <w:color w:val="000000" w:themeColor="text1"/>
                  </w:rPr>
                </w:pPr>
                <w:r>
                  <w:rPr>
                    <w:rFonts w:hint="eastAsia"/>
                    <w:color w:val="000000" w:themeColor="text1"/>
                  </w:rPr>
                  <w:t>其他变动</w:t>
                </w:r>
              </w:p>
            </w:sdtContent>
          </w:sdt>
        </w:tc>
        <w:tc>
          <w:tcPr>
            <w:tcW w:w="710" w:type="pct"/>
            <w:vMerge/>
            <w:shd w:val="clear" w:color="auto" w:fill="FFFFFF"/>
          </w:tcPr>
          <w:p w:rsidR="000C5659" w:rsidRDefault="000C5659">
            <w:pPr>
              <w:widowControl w:val="0"/>
              <w:jc w:val="right"/>
              <w:rPr>
                <w:color w:val="000000" w:themeColor="text1"/>
              </w:rPr>
            </w:pPr>
          </w:p>
        </w:tc>
      </w:tr>
      <w:tr w:rsidR="000C5659">
        <w:tc>
          <w:tcPr>
            <w:tcW w:w="794" w:type="pct"/>
            <w:shd w:val="clear" w:color="auto" w:fill="auto"/>
          </w:tcPr>
          <w:p w:rsidR="000C5659" w:rsidRDefault="000E33C4">
            <w:pPr>
              <w:widowControl w:val="0"/>
            </w:pPr>
            <w:r>
              <w:t>按信用风险特征组合计提坏账准备</w:t>
            </w:r>
          </w:p>
        </w:tc>
        <w:tc>
          <w:tcPr>
            <w:tcW w:w="671" w:type="pct"/>
            <w:shd w:val="clear" w:color="auto" w:fill="auto"/>
          </w:tcPr>
          <w:p w:rsidR="000C5659" w:rsidRDefault="000E33C4">
            <w:pPr>
              <w:widowControl w:val="0"/>
              <w:jc w:val="right"/>
            </w:pPr>
            <w:r>
              <w:t>74,200.00</w:t>
            </w:r>
          </w:p>
        </w:tc>
        <w:tc>
          <w:tcPr>
            <w:tcW w:w="726" w:type="pct"/>
            <w:shd w:val="clear" w:color="auto" w:fill="auto"/>
          </w:tcPr>
          <w:p w:rsidR="000C5659" w:rsidRDefault="000E33C4">
            <w:pPr>
              <w:widowControl w:val="0"/>
              <w:jc w:val="right"/>
            </w:pPr>
            <w:r>
              <w:rPr>
                <w:rFonts w:hint="eastAsia"/>
              </w:rPr>
              <w:t>31,800.00</w:t>
            </w:r>
          </w:p>
        </w:tc>
        <w:tc>
          <w:tcPr>
            <w:tcW w:w="671" w:type="pct"/>
            <w:shd w:val="clear" w:color="auto" w:fill="auto"/>
          </w:tcPr>
          <w:p w:rsidR="000C5659" w:rsidRDefault="000C5659">
            <w:pPr>
              <w:widowControl w:val="0"/>
              <w:jc w:val="right"/>
            </w:pPr>
          </w:p>
        </w:tc>
        <w:tc>
          <w:tcPr>
            <w:tcW w:w="714" w:type="pct"/>
          </w:tcPr>
          <w:p w:rsidR="000C5659" w:rsidRDefault="000C5659">
            <w:pPr>
              <w:widowControl w:val="0"/>
              <w:jc w:val="right"/>
            </w:pPr>
          </w:p>
        </w:tc>
        <w:tc>
          <w:tcPr>
            <w:tcW w:w="712" w:type="pct"/>
          </w:tcPr>
          <w:p w:rsidR="000C5659" w:rsidRDefault="000C5659">
            <w:pPr>
              <w:widowControl w:val="0"/>
              <w:jc w:val="right"/>
            </w:pPr>
          </w:p>
        </w:tc>
        <w:tc>
          <w:tcPr>
            <w:tcW w:w="710" w:type="pct"/>
            <w:shd w:val="clear" w:color="auto" w:fill="auto"/>
          </w:tcPr>
          <w:p w:rsidR="000C5659" w:rsidRDefault="000E33C4">
            <w:pPr>
              <w:widowControl w:val="0"/>
              <w:jc w:val="right"/>
            </w:pPr>
            <w:r>
              <w:rPr>
                <w:rFonts w:hint="eastAsia"/>
              </w:rPr>
              <w:t>106,000.00</w:t>
            </w:r>
          </w:p>
        </w:tc>
      </w:tr>
      <w:tr w:rsidR="000C5659">
        <w:tc>
          <w:tcPr>
            <w:tcW w:w="794" w:type="pct"/>
            <w:shd w:val="clear" w:color="auto" w:fill="auto"/>
          </w:tcPr>
          <w:p w:rsidR="000C5659" w:rsidRDefault="000E33C4">
            <w:pPr>
              <w:widowControl w:val="0"/>
            </w:pPr>
            <w:r>
              <w:t>其中：</w:t>
            </w:r>
          </w:p>
        </w:tc>
        <w:tc>
          <w:tcPr>
            <w:tcW w:w="671" w:type="pct"/>
            <w:shd w:val="clear" w:color="auto" w:fill="auto"/>
          </w:tcPr>
          <w:p w:rsidR="000C5659" w:rsidRDefault="000C5659">
            <w:pPr>
              <w:widowControl w:val="0"/>
              <w:jc w:val="right"/>
            </w:pPr>
          </w:p>
        </w:tc>
        <w:tc>
          <w:tcPr>
            <w:tcW w:w="726" w:type="pct"/>
            <w:shd w:val="clear" w:color="auto" w:fill="auto"/>
          </w:tcPr>
          <w:p w:rsidR="000C5659" w:rsidRDefault="000C5659">
            <w:pPr>
              <w:widowControl w:val="0"/>
              <w:jc w:val="right"/>
            </w:pPr>
          </w:p>
        </w:tc>
        <w:tc>
          <w:tcPr>
            <w:tcW w:w="671" w:type="pct"/>
            <w:shd w:val="clear" w:color="auto" w:fill="auto"/>
          </w:tcPr>
          <w:p w:rsidR="000C5659" w:rsidRDefault="000C5659">
            <w:pPr>
              <w:widowControl w:val="0"/>
              <w:jc w:val="right"/>
            </w:pPr>
          </w:p>
        </w:tc>
        <w:tc>
          <w:tcPr>
            <w:tcW w:w="714" w:type="pct"/>
          </w:tcPr>
          <w:p w:rsidR="000C5659" w:rsidRDefault="000C5659">
            <w:pPr>
              <w:widowControl w:val="0"/>
              <w:jc w:val="right"/>
            </w:pPr>
          </w:p>
        </w:tc>
        <w:tc>
          <w:tcPr>
            <w:tcW w:w="712" w:type="pct"/>
          </w:tcPr>
          <w:p w:rsidR="000C5659" w:rsidRDefault="000C5659">
            <w:pPr>
              <w:widowControl w:val="0"/>
              <w:jc w:val="right"/>
            </w:pPr>
          </w:p>
        </w:tc>
        <w:tc>
          <w:tcPr>
            <w:tcW w:w="710" w:type="pct"/>
            <w:shd w:val="clear" w:color="auto" w:fill="auto"/>
          </w:tcPr>
          <w:p w:rsidR="000C5659" w:rsidRDefault="000C5659">
            <w:pPr>
              <w:widowControl w:val="0"/>
              <w:jc w:val="right"/>
            </w:pPr>
          </w:p>
        </w:tc>
      </w:tr>
      <w:tr w:rsidR="000C5659">
        <w:tc>
          <w:tcPr>
            <w:tcW w:w="794" w:type="pct"/>
            <w:shd w:val="clear" w:color="auto" w:fill="auto"/>
          </w:tcPr>
          <w:p w:rsidR="000C5659" w:rsidRDefault="000E33C4">
            <w:pPr>
              <w:widowControl w:val="0"/>
              <w:jc w:val="center"/>
              <w:rPr>
                <w:color w:val="000000" w:themeColor="text1"/>
              </w:rPr>
            </w:pPr>
            <w:r>
              <w:t>账龄组合</w:t>
            </w:r>
          </w:p>
        </w:tc>
        <w:tc>
          <w:tcPr>
            <w:tcW w:w="671" w:type="pct"/>
            <w:shd w:val="clear" w:color="auto" w:fill="auto"/>
          </w:tcPr>
          <w:p w:rsidR="000C5659" w:rsidRDefault="000E33C4">
            <w:pPr>
              <w:widowControl w:val="0"/>
              <w:jc w:val="right"/>
            </w:pPr>
            <w:r>
              <w:t>74,200.00</w:t>
            </w:r>
          </w:p>
        </w:tc>
        <w:tc>
          <w:tcPr>
            <w:tcW w:w="726" w:type="pct"/>
            <w:shd w:val="clear" w:color="auto" w:fill="auto"/>
          </w:tcPr>
          <w:p w:rsidR="000C5659" w:rsidRDefault="000E33C4">
            <w:pPr>
              <w:widowControl w:val="0"/>
              <w:jc w:val="right"/>
            </w:pPr>
            <w:r>
              <w:rPr>
                <w:rFonts w:hint="eastAsia"/>
              </w:rPr>
              <w:t>31,800.00</w:t>
            </w:r>
          </w:p>
        </w:tc>
        <w:tc>
          <w:tcPr>
            <w:tcW w:w="671" w:type="pct"/>
            <w:shd w:val="clear" w:color="auto" w:fill="auto"/>
          </w:tcPr>
          <w:p w:rsidR="000C5659" w:rsidRDefault="000C5659">
            <w:pPr>
              <w:widowControl w:val="0"/>
              <w:jc w:val="right"/>
            </w:pPr>
          </w:p>
        </w:tc>
        <w:tc>
          <w:tcPr>
            <w:tcW w:w="714" w:type="pct"/>
          </w:tcPr>
          <w:p w:rsidR="000C5659" w:rsidRDefault="000C5659">
            <w:pPr>
              <w:widowControl w:val="0"/>
              <w:jc w:val="right"/>
            </w:pPr>
          </w:p>
        </w:tc>
        <w:tc>
          <w:tcPr>
            <w:tcW w:w="712" w:type="pct"/>
          </w:tcPr>
          <w:p w:rsidR="000C5659" w:rsidRDefault="000C5659">
            <w:pPr>
              <w:widowControl w:val="0"/>
              <w:jc w:val="right"/>
            </w:pPr>
          </w:p>
        </w:tc>
        <w:tc>
          <w:tcPr>
            <w:tcW w:w="710" w:type="pct"/>
            <w:shd w:val="clear" w:color="auto" w:fill="auto"/>
          </w:tcPr>
          <w:p w:rsidR="000C5659" w:rsidRDefault="000E33C4">
            <w:pPr>
              <w:widowControl w:val="0"/>
              <w:jc w:val="right"/>
            </w:pPr>
            <w:r>
              <w:rPr>
                <w:rFonts w:hint="eastAsia"/>
              </w:rPr>
              <w:t>106,000.00</w:t>
            </w:r>
          </w:p>
        </w:tc>
      </w:tr>
      <w:tr w:rsidR="000C5659">
        <w:tc>
          <w:tcPr>
            <w:tcW w:w="794" w:type="pct"/>
            <w:shd w:val="clear" w:color="auto" w:fill="auto"/>
          </w:tcPr>
          <w:p w:rsidR="000C5659" w:rsidRDefault="000E33C4">
            <w:pPr>
              <w:widowControl w:val="0"/>
              <w:jc w:val="center"/>
              <w:rPr>
                <w:color w:val="000000" w:themeColor="text1"/>
              </w:rPr>
            </w:pPr>
            <w:r>
              <w:rPr>
                <w:rFonts w:asciiTheme="minorEastAsia" w:eastAsiaTheme="minorEastAsia" w:hAnsiTheme="minorEastAsia" w:hint="eastAsia"/>
              </w:rPr>
              <w:t>合计</w:t>
            </w:r>
          </w:p>
        </w:tc>
        <w:tc>
          <w:tcPr>
            <w:tcW w:w="671" w:type="pct"/>
            <w:shd w:val="clear" w:color="auto" w:fill="auto"/>
          </w:tcPr>
          <w:p w:rsidR="000C5659" w:rsidRDefault="000E33C4">
            <w:pPr>
              <w:widowControl w:val="0"/>
              <w:jc w:val="right"/>
            </w:pPr>
            <w:r>
              <w:t>74,200.00</w:t>
            </w:r>
          </w:p>
        </w:tc>
        <w:tc>
          <w:tcPr>
            <w:tcW w:w="726" w:type="pct"/>
            <w:shd w:val="clear" w:color="auto" w:fill="auto"/>
          </w:tcPr>
          <w:p w:rsidR="000C5659" w:rsidRDefault="000E33C4">
            <w:pPr>
              <w:widowControl w:val="0"/>
              <w:jc w:val="right"/>
            </w:pPr>
            <w:r>
              <w:t>31,800.00</w:t>
            </w:r>
          </w:p>
        </w:tc>
        <w:tc>
          <w:tcPr>
            <w:tcW w:w="671" w:type="pct"/>
            <w:shd w:val="clear" w:color="auto" w:fill="auto"/>
          </w:tcPr>
          <w:p w:rsidR="000C5659" w:rsidRDefault="000C5659">
            <w:pPr>
              <w:widowControl w:val="0"/>
              <w:jc w:val="right"/>
            </w:pPr>
          </w:p>
        </w:tc>
        <w:tc>
          <w:tcPr>
            <w:tcW w:w="714" w:type="pct"/>
          </w:tcPr>
          <w:p w:rsidR="000C5659" w:rsidRDefault="000C5659">
            <w:pPr>
              <w:widowControl w:val="0"/>
              <w:jc w:val="right"/>
            </w:pPr>
          </w:p>
        </w:tc>
        <w:tc>
          <w:tcPr>
            <w:tcW w:w="712" w:type="pct"/>
          </w:tcPr>
          <w:p w:rsidR="000C5659" w:rsidRDefault="000C5659">
            <w:pPr>
              <w:widowControl w:val="0"/>
              <w:jc w:val="right"/>
            </w:pPr>
          </w:p>
        </w:tc>
        <w:tc>
          <w:tcPr>
            <w:tcW w:w="710" w:type="pct"/>
            <w:shd w:val="clear" w:color="auto" w:fill="auto"/>
          </w:tcPr>
          <w:p w:rsidR="000C5659" w:rsidRDefault="000E33C4">
            <w:pPr>
              <w:widowControl w:val="0"/>
              <w:jc w:val="right"/>
            </w:pPr>
            <w:r>
              <w:t>106,000.00</w:t>
            </w:r>
          </w:p>
        </w:tc>
      </w:tr>
    </w:tbl>
    <w:p w:rsidR="000C5659" w:rsidRDefault="000C5659">
      <w:pPr>
        <w:pStyle w:val="Style325"/>
      </w:pPr>
    </w:p>
    <w:p w:rsidR="000C5659" w:rsidRDefault="000E33C4">
      <w:pPr>
        <w:rPr>
          <w:color w:val="000000" w:themeColor="text1"/>
        </w:rPr>
      </w:pPr>
      <w:bookmarkStart w:id="444" w:name="_Hlk168055794"/>
      <w:bookmarkEnd w:id="443"/>
      <w:r>
        <w:rPr>
          <w:rFonts w:hint="eastAsia"/>
          <w:color w:val="000000" w:themeColor="text1"/>
        </w:rPr>
        <w:t>其中本期坏账准备转回或收回金额重要的：</w:t>
      </w:r>
    </w:p>
    <w:sdt>
      <w:sdtPr>
        <w:rPr>
          <w:color w:val="000000" w:themeColor="text1"/>
        </w:rPr>
        <w:alias w:val="是否适用：母公司其他应收款坏账准备转回或收回金额重要的[双击切换]"/>
        <w:tag w:val="_GBC_98cb10e0ff8642ad9141960d4dbb7d85"/>
        <w:id w:val="-403997182"/>
        <w:placeholder>
          <w:docPart w:val="GBC22222222222222222222222222222"/>
        </w:placeholder>
      </w:sdtPr>
      <w:sdtEndPr/>
      <w:sdtContent>
        <w:p w:rsidR="000C5659" w:rsidRDefault="000E33C4">
          <w:pPr>
            <w:ind w:rightChars="-759" w:right="-1594"/>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ind w:rightChars="-759" w:right="-1594"/>
        <w:rPr>
          <w:color w:val="000000" w:themeColor="text1"/>
        </w:rPr>
      </w:pPr>
    </w:p>
    <w:p w:rsidR="000C5659" w:rsidRDefault="000E33C4">
      <w:pPr>
        <w:ind w:rightChars="-759" w:right="-1594"/>
        <w:rPr>
          <w:color w:val="000000" w:themeColor="text1"/>
        </w:rPr>
      </w:pPr>
      <w:r>
        <w:rPr>
          <w:rFonts w:hint="eastAsia"/>
          <w:color w:val="000000" w:themeColor="text1"/>
        </w:rPr>
        <w:t>其他说明</w:t>
      </w:r>
    </w:p>
    <w:sdt>
      <w:sdtPr>
        <w:rPr>
          <w:color w:val="000000" w:themeColor="text1"/>
        </w:rPr>
        <w:alias w:val="其他应收款坏账准备情况的说明"/>
        <w:tag w:val="_GBC_83e986a007b44d029c897d7f19741e02"/>
        <w:id w:val="1906876931"/>
        <w:placeholder>
          <w:docPart w:val="GBC22222222222222222222222222222"/>
        </w:placeholder>
      </w:sdtPr>
      <w:sdtEndPr/>
      <w:sdtContent>
        <w:p w:rsidR="000C5659" w:rsidRDefault="000E33C4">
          <w:pPr>
            <w:ind w:rightChars="-759" w:right="-1594"/>
            <w:rPr>
              <w:color w:val="000000" w:themeColor="text1"/>
            </w:rPr>
          </w:pPr>
          <w:r>
            <w:rPr>
              <w:rFonts w:hint="eastAsia"/>
              <w:color w:val="000000" w:themeColor="text1"/>
            </w:rPr>
            <w:t>无</w:t>
          </w:r>
        </w:p>
      </w:sdtContent>
    </w:sdt>
    <w:p w:rsidR="000C5659" w:rsidRDefault="000C5659">
      <w:pPr>
        <w:ind w:rightChars="-759" w:right="-1594"/>
        <w:rPr>
          <w:color w:val="000000" w:themeColor="text1"/>
        </w:rPr>
      </w:pPr>
    </w:p>
    <w:bookmarkEnd w:id="444"/>
    <w:p w:rsidR="000C5659" w:rsidRDefault="000E33C4" w:rsidP="000743DD">
      <w:pPr>
        <w:pStyle w:val="Style121"/>
        <w:numPr>
          <w:ilvl w:val="0"/>
          <w:numId w:val="120"/>
        </w:numPr>
        <w:ind w:left="425" w:hanging="425"/>
        <w:rPr>
          <w:rFonts w:asciiTheme="minorHAnsi" w:hAnsiTheme="minorHAnsi" w:cs="宋体"/>
          <w:color w:val="000000" w:themeColor="text1"/>
          <w:kern w:val="0"/>
          <w:szCs w:val="22"/>
        </w:rPr>
      </w:pPr>
      <w:r>
        <w:rPr>
          <w:rFonts w:asciiTheme="minorHAnsi" w:hAnsiTheme="minorHAnsi" w:cs="宋体" w:hint="eastAsia"/>
          <w:color w:val="000000" w:themeColor="text1"/>
          <w:kern w:val="0"/>
          <w:szCs w:val="22"/>
        </w:rPr>
        <w:t>本期实际核销的其他应收款情况</w:t>
      </w:r>
    </w:p>
    <w:sdt>
      <w:sdtPr>
        <w:rPr>
          <w:color w:val="000000" w:themeColor="text1"/>
        </w:rPr>
        <w:alias w:val="是否适用：母公司本期实际核销的其他应收款情况[双击切换]"/>
        <w:tag w:val="_GBC_dd1095756d2b471688ce5b700380fafc"/>
        <w:id w:val="-152855737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rPr>
          <w:color w:val="000000" w:themeColor="text1"/>
        </w:rPr>
      </w:pPr>
      <w:r>
        <w:rPr>
          <w:rFonts w:hint="eastAsia"/>
          <w:color w:val="000000" w:themeColor="text1"/>
        </w:rPr>
        <w:t>其中重要的其他应收款核销情况：</w:t>
      </w:r>
    </w:p>
    <w:sdt>
      <w:sdtPr>
        <w:rPr>
          <w:color w:val="000000" w:themeColor="text1"/>
        </w:rPr>
        <w:alias w:val="是否适用：母公司其中重要的其他应收款核销情况[双击切换]"/>
        <w:tag w:val="_GBC_5dff1eacde3a41d6914cb7afef2e2acf"/>
        <w:id w:val="-3034294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snapToGrid w:val="0"/>
        <w:spacing w:line="240" w:lineRule="atLeast"/>
        <w:rPr>
          <w:color w:val="000000" w:themeColor="text1"/>
        </w:rPr>
      </w:pPr>
      <w:r>
        <w:rPr>
          <w:rFonts w:hint="eastAsia"/>
          <w:color w:val="000000" w:themeColor="text1"/>
        </w:rPr>
        <w:t>其他应收款核销说明：</w:t>
      </w:r>
    </w:p>
    <w:sdt>
      <w:sdtPr>
        <w:rPr>
          <w:color w:val="000000" w:themeColor="text1"/>
        </w:rPr>
        <w:alias w:val="是否适用：母公司其他应收款核销说明[双击切换]"/>
        <w:tag w:val="_GBC_7e98a555990349648a39fba0c7228ab7"/>
        <w:id w:val="-2041811191"/>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Style121"/>
        <w:numPr>
          <w:ilvl w:val="0"/>
          <w:numId w:val="120"/>
        </w:numPr>
        <w:ind w:left="425" w:hanging="425"/>
        <w:rPr>
          <w:rFonts w:asciiTheme="minorHAnsi" w:hAnsiTheme="minorHAnsi" w:cs="宋体"/>
          <w:color w:val="000000" w:themeColor="text1"/>
          <w:kern w:val="0"/>
          <w:szCs w:val="22"/>
        </w:rPr>
      </w:pPr>
      <w:r>
        <w:rPr>
          <w:rFonts w:asciiTheme="minorHAnsi" w:hAnsiTheme="minorHAnsi" w:cs="宋体" w:hint="eastAsia"/>
          <w:color w:val="000000" w:themeColor="text1"/>
          <w:kern w:val="0"/>
          <w:szCs w:val="22"/>
        </w:rPr>
        <w:t>按欠款方归集的期末余额前五名的其他应收款情况</w:t>
      </w:r>
    </w:p>
    <w:sdt>
      <w:sdtPr>
        <w:rPr>
          <w:color w:val="000000" w:themeColor="text1"/>
        </w:rPr>
        <w:alias w:val="是否适用：母公司按欠款方归集的期末余额前五名的其他应收款情况[双击切换]"/>
        <w:tag w:val="_GBC_c31bd7806af645a4b98780e353753bee"/>
        <w:id w:val="41312823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母公司财务附注：其他应收账款前五名欠款情况"/>
          <w:tag w:val="_GBC_5eaec4085c10422f90a7a09ee515d922"/>
          <w:id w:val="-533948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其他应收账款前五名欠款情况"/>
          <w:tag w:val="_GBC_76fb156b47fb495eb1748f1f6ffdfc64"/>
          <w:id w:val="-1547839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468"/>
        <w:gridCol w:w="1500"/>
        <w:gridCol w:w="1692"/>
        <w:gridCol w:w="1809"/>
        <w:gridCol w:w="1121"/>
        <w:gridCol w:w="1227"/>
      </w:tblGrid>
      <w:tr w:rsidR="000C5659">
        <w:trPr>
          <w:cantSplit/>
        </w:trPr>
        <w:sdt>
          <w:sdtPr>
            <w:rPr>
              <w:color w:val="000000" w:themeColor="text1"/>
            </w:rPr>
            <w:tag w:val="_PLD_1bf4103fa73c4527ab273af4182bdac9"/>
            <w:id w:val="171615531"/>
          </w:sdtPr>
          <w:sdtEndPr/>
          <w:sdtContent>
            <w:tc>
              <w:tcPr>
                <w:tcW w:w="834" w:type="pct"/>
                <w:tcBorders>
                  <w:top w:val="single" w:sz="6" w:space="0" w:color="auto"/>
                  <w:left w:val="single" w:sz="6" w:space="0" w:color="auto"/>
                  <w:bottom w:val="single" w:sz="6" w:space="0" w:color="auto"/>
                  <w:right w:val="single" w:sz="6" w:space="0" w:color="auto"/>
                </w:tcBorders>
                <w:vAlign w:val="center"/>
              </w:tcPr>
              <w:p w:rsidR="000C5659" w:rsidRDefault="000E33C4">
                <w:pPr>
                  <w:ind w:right="105"/>
                  <w:jc w:val="center"/>
                  <w:rPr>
                    <w:color w:val="000000" w:themeColor="text1"/>
                  </w:rPr>
                </w:pPr>
                <w:r>
                  <w:rPr>
                    <w:rFonts w:hint="eastAsia"/>
                    <w:color w:val="000000" w:themeColor="text1"/>
                  </w:rPr>
                  <w:t>单位名称</w:t>
                </w:r>
              </w:p>
            </w:tc>
          </w:sdtContent>
        </w:sdt>
        <w:sdt>
          <w:sdtPr>
            <w:rPr>
              <w:color w:val="000000" w:themeColor="text1"/>
            </w:rPr>
            <w:tag w:val="_PLD_2272ceae47e74a6489bfeb2c73aa1f4a"/>
            <w:id w:val="-767703061"/>
          </w:sdtPr>
          <w:sdtEndPr/>
          <w:sdtContent>
            <w:tc>
              <w:tcPr>
                <w:tcW w:w="843"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center"/>
                  <w:rPr>
                    <w:color w:val="000000" w:themeColor="text1"/>
                  </w:rPr>
                </w:pPr>
                <w:r>
                  <w:rPr>
                    <w:rFonts w:hint="eastAsia"/>
                    <w:color w:val="000000" w:themeColor="text1"/>
                  </w:rPr>
                  <w:t>期末余额</w:t>
                </w:r>
              </w:p>
            </w:tc>
          </w:sdtContent>
        </w:sdt>
        <w:sdt>
          <w:sdtPr>
            <w:rPr>
              <w:color w:val="000000" w:themeColor="text1"/>
            </w:rPr>
            <w:tag w:val="_PLD_13e1362304be4663873f1e8f72848948"/>
            <w:id w:val="-674579914"/>
          </w:sdtPr>
          <w:sdtEndPr/>
          <w:sdtContent>
            <w:tc>
              <w:tcPr>
                <w:tcW w:w="961" w:type="pct"/>
                <w:tcBorders>
                  <w:top w:val="single" w:sz="6" w:space="0" w:color="auto"/>
                  <w:left w:val="single" w:sz="6" w:space="0" w:color="auto"/>
                  <w:bottom w:val="single" w:sz="6" w:space="0" w:color="auto"/>
                  <w:right w:val="single" w:sz="6" w:space="0" w:color="auto"/>
                </w:tcBorders>
                <w:vAlign w:val="center"/>
              </w:tcPr>
              <w:p w:rsidR="000C5659" w:rsidRDefault="000E33C4">
                <w:pPr>
                  <w:jc w:val="center"/>
                  <w:rPr>
                    <w:color w:val="000000" w:themeColor="text1"/>
                  </w:rPr>
                </w:pPr>
                <w:r>
                  <w:rPr>
                    <w:rFonts w:hint="eastAsia"/>
                    <w:color w:val="000000" w:themeColor="text1"/>
                  </w:rPr>
                  <w:t>占其他应收款期末余额合计数的比例(</w:t>
                </w:r>
                <w:r>
                  <w:rPr>
                    <w:color w:val="000000" w:themeColor="text1"/>
                  </w:rPr>
                  <w:t>%)</w:t>
                </w:r>
              </w:p>
            </w:tc>
          </w:sdtContent>
        </w:sdt>
        <w:sdt>
          <w:sdtPr>
            <w:rPr>
              <w:color w:val="000000" w:themeColor="text1"/>
            </w:rPr>
            <w:tag w:val="_PLD_13e90710aaf8432b8989b8a8d1ceae0c"/>
            <w:id w:val="464791476"/>
          </w:sdtPr>
          <w:sdtEndPr/>
          <w:sdtContent>
            <w:tc>
              <w:tcPr>
                <w:tcW w:w="102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center"/>
                  <w:rPr>
                    <w:color w:val="000000" w:themeColor="text1"/>
                  </w:rPr>
                </w:pPr>
                <w:r>
                  <w:rPr>
                    <w:rFonts w:hint="eastAsia"/>
                    <w:color w:val="000000" w:themeColor="text1"/>
                  </w:rPr>
                  <w:t>款项的性质</w:t>
                </w:r>
              </w:p>
            </w:tc>
          </w:sdtContent>
        </w:sdt>
        <w:sdt>
          <w:sdtPr>
            <w:rPr>
              <w:color w:val="000000" w:themeColor="text1"/>
            </w:rPr>
            <w:tag w:val="_PLD_fcefa3ecef954c579974ef8beaeadf3a"/>
            <w:id w:val="1831946446"/>
          </w:sdtPr>
          <w:sdtEndPr/>
          <w:sdtContent>
            <w:tc>
              <w:tcPr>
                <w:tcW w:w="63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center"/>
                  <w:rPr>
                    <w:color w:val="000000" w:themeColor="text1"/>
                  </w:rPr>
                </w:pPr>
                <w:r>
                  <w:rPr>
                    <w:rFonts w:hint="eastAsia"/>
                    <w:color w:val="000000" w:themeColor="text1"/>
                  </w:rPr>
                  <w:t>账龄</w:t>
                </w:r>
              </w:p>
            </w:tc>
          </w:sdtContent>
        </w:sdt>
        <w:sdt>
          <w:sdtPr>
            <w:rPr>
              <w:color w:val="000000" w:themeColor="text1"/>
            </w:rPr>
            <w:tag w:val="_PLD_f2c7137b0fd6426d9d9640429eb47701"/>
            <w:id w:val="1254559344"/>
          </w:sdtPr>
          <w:sdtEndPr/>
          <w:sdtContent>
            <w:tc>
              <w:tcPr>
                <w:tcW w:w="697" w:type="pct"/>
                <w:tcBorders>
                  <w:top w:val="single" w:sz="6" w:space="0" w:color="auto"/>
                  <w:left w:val="single" w:sz="6" w:space="0" w:color="auto"/>
                  <w:bottom w:val="single" w:sz="6" w:space="0" w:color="auto"/>
                  <w:right w:val="single" w:sz="6" w:space="0" w:color="auto"/>
                </w:tcBorders>
                <w:vAlign w:val="center"/>
              </w:tcPr>
              <w:p w:rsidR="000C5659" w:rsidRDefault="000E33C4">
                <w:pPr>
                  <w:jc w:val="center"/>
                  <w:rPr>
                    <w:color w:val="000000" w:themeColor="text1"/>
                  </w:rPr>
                </w:pPr>
                <w:r>
                  <w:rPr>
                    <w:rFonts w:hint="eastAsia"/>
                    <w:color w:val="000000" w:themeColor="text1"/>
                  </w:rPr>
                  <w:t>坏账准备</w:t>
                </w:r>
              </w:p>
              <w:p w:rsidR="000C5659" w:rsidRDefault="000E33C4">
                <w:pPr>
                  <w:jc w:val="center"/>
                  <w:rPr>
                    <w:color w:val="000000" w:themeColor="text1"/>
                  </w:rPr>
                </w:pPr>
                <w:r>
                  <w:rPr>
                    <w:rFonts w:hint="eastAsia"/>
                    <w:color w:val="000000" w:themeColor="text1"/>
                  </w:rPr>
                  <w:t>期末余额</w:t>
                </w:r>
              </w:p>
            </w:tc>
          </w:sdtContent>
        </w:sdt>
      </w:tr>
      <w:tr w:rsidR="000C5659">
        <w:trPr>
          <w:cantSplit/>
        </w:trPr>
        <w:tc>
          <w:tcPr>
            <w:tcW w:w="834" w:type="pct"/>
            <w:tcBorders>
              <w:top w:val="single" w:sz="6" w:space="0" w:color="auto"/>
              <w:left w:val="single" w:sz="6" w:space="0" w:color="auto"/>
              <w:bottom w:val="single" w:sz="6" w:space="0" w:color="auto"/>
              <w:right w:val="single" w:sz="6" w:space="0" w:color="auto"/>
            </w:tcBorders>
            <w:vAlign w:val="center"/>
          </w:tcPr>
          <w:p w:rsidR="000C5659" w:rsidRDefault="000E33C4">
            <w:pPr>
              <w:ind w:right="105"/>
            </w:pPr>
            <w:r>
              <w:t>第一名</w:t>
            </w:r>
          </w:p>
        </w:tc>
        <w:tc>
          <w:tcPr>
            <w:tcW w:w="843"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rFonts w:hint="eastAsia"/>
              </w:rPr>
              <w:t>11,150,000.00</w:t>
            </w:r>
          </w:p>
        </w:tc>
        <w:tc>
          <w:tcPr>
            <w:tcW w:w="961"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40.72</w:t>
            </w:r>
          </w:p>
        </w:tc>
        <w:tc>
          <w:tcPr>
            <w:tcW w:w="102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pPr>
            <w:r>
              <w:t>合并范围内关联方</w:t>
            </w:r>
          </w:p>
        </w:tc>
        <w:tc>
          <w:tcPr>
            <w:tcW w:w="63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t>1年以内</w:t>
            </w:r>
          </w:p>
        </w:tc>
        <w:tc>
          <w:tcPr>
            <w:tcW w:w="697"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rPr>
              <w:t>/</w:t>
            </w:r>
          </w:p>
        </w:tc>
      </w:tr>
      <w:tr w:rsidR="000C5659">
        <w:trPr>
          <w:cantSplit/>
        </w:trPr>
        <w:tc>
          <w:tcPr>
            <w:tcW w:w="834" w:type="pct"/>
            <w:tcBorders>
              <w:top w:val="single" w:sz="6" w:space="0" w:color="auto"/>
              <w:left w:val="single" w:sz="6" w:space="0" w:color="auto"/>
              <w:bottom w:val="single" w:sz="6" w:space="0" w:color="auto"/>
              <w:right w:val="single" w:sz="6" w:space="0" w:color="auto"/>
            </w:tcBorders>
            <w:vAlign w:val="center"/>
          </w:tcPr>
          <w:p w:rsidR="000C5659" w:rsidRDefault="000E33C4">
            <w:pPr>
              <w:ind w:right="105"/>
            </w:pPr>
            <w:r>
              <w:t>第二名</w:t>
            </w:r>
          </w:p>
        </w:tc>
        <w:tc>
          <w:tcPr>
            <w:tcW w:w="843"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rFonts w:hint="eastAsia"/>
              </w:rPr>
              <w:t>5,798,000.00</w:t>
            </w:r>
          </w:p>
        </w:tc>
        <w:tc>
          <w:tcPr>
            <w:tcW w:w="961"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21.18</w:t>
            </w:r>
          </w:p>
        </w:tc>
        <w:tc>
          <w:tcPr>
            <w:tcW w:w="102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pPr>
            <w:r>
              <w:t>合并范围内关联方</w:t>
            </w:r>
          </w:p>
        </w:tc>
        <w:tc>
          <w:tcPr>
            <w:tcW w:w="63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szCs w:val="18"/>
              </w:rPr>
              <w:t>1-2年</w:t>
            </w:r>
          </w:p>
        </w:tc>
        <w:tc>
          <w:tcPr>
            <w:tcW w:w="697"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rPr>
              <w:t>/</w:t>
            </w:r>
          </w:p>
        </w:tc>
      </w:tr>
      <w:tr w:rsidR="000C5659">
        <w:trPr>
          <w:cantSplit/>
        </w:trPr>
        <w:tc>
          <w:tcPr>
            <w:tcW w:w="834" w:type="pct"/>
            <w:tcBorders>
              <w:top w:val="single" w:sz="6" w:space="0" w:color="auto"/>
              <w:left w:val="single" w:sz="6" w:space="0" w:color="auto"/>
              <w:bottom w:val="single" w:sz="6" w:space="0" w:color="auto"/>
              <w:right w:val="single" w:sz="6" w:space="0" w:color="auto"/>
            </w:tcBorders>
            <w:vAlign w:val="center"/>
          </w:tcPr>
          <w:p w:rsidR="000C5659" w:rsidRDefault="000E33C4">
            <w:pPr>
              <w:ind w:right="105"/>
            </w:pPr>
            <w:r>
              <w:t>第三名</w:t>
            </w:r>
          </w:p>
        </w:tc>
        <w:tc>
          <w:tcPr>
            <w:tcW w:w="843"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rFonts w:hint="eastAsia"/>
              </w:rPr>
              <w:t>4,639,247.00</w:t>
            </w:r>
          </w:p>
        </w:tc>
        <w:tc>
          <w:tcPr>
            <w:tcW w:w="961"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16.94</w:t>
            </w:r>
          </w:p>
        </w:tc>
        <w:tc>
          <w:tcPr>
            <w:tcW w:w="102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pPr>
            <w:r>
              <w:t>合并范围内关联方</w:t>
            </w:r>
          </w:p>
        </w:tc>
        <w:tc>
          <w:tcPr>
            <w:tcW w:w="63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szCs w:val="18"/>
              </w:rPr>
              <w:t>1-2年</w:t>
            </w:r>
          </w:p>
        </w:tc>
        <w:tc>
          <w:tcPr>
            <w:tcW w:w="697"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rPr>
              <w:t>/</w:t>
            </w:r>
          </w:p>
        </w:tc>
      </w:tr>
      <w:tr w:rsidR="000C5659">
        <w:trPr>
          <w:cantSplit/>
        </w:trPr>
        <w:tc>
          <w:tcPr>
            <w:tcW w:w="834" w:type="pct"/>
            <w:tcBorders>
              <w:top w:val="single" w:sz="6" w:space="0" w:color="auto"/>
              <w:left w:val="single" w:sz="6" w:space="0" w:color="auto"/>
              <w:bottom w:val="single" w:sz="6" w:space="0" w:color="auto"/>
              <w:right w:val="single" w:sz="6" w:space="0" w:color="auto"/>
            </w:tcBorders>
            <w:vAlign w:val="center"/>
          </w:tcPr>
          <w:p w:rsidR="000C5659" w:rsidRDefault="000E33C4">
            <w:pPr>
              <w:ind w:right="105"/>
            </w:pPr>
            <w:r>
              <w:t>第四名</w:t>
            </w:r>
          </w:p>
        </w:tc>
        <w:tc>
          <w:tcPr>
            <w:tcW w:w="843"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rFonts w:hint="eastAsia"/>
              </w:rPr>
              <w:t>1,300,000.00</w:t>
            </w:r>
          </w:p>
        </w:tc>
        <w:tc>
          <w:tcPr>
            <w:tcW w:w="961"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4.75</w:t>
            </w:r>
          </w:p>
        </w:tc>
        <w:tc>
          <w:tcPr>
            <w:tcW w:w="1027" w:type="pct"/>
            <w:tcBorders>
              <w:top w:val="single" w:sz="6" w:space="0" w:color="auto"/>
              <w:left w:val="single" w:sz="6" w:space="0" w:color="auto"/>
              <w:bottom w:val="single" w:sz="6" w:space="0" w:color="auto"/>
              <w:right w:val="single" w:sz="6" w:space="0" w:color="auto"/>
            </w:tcBorders>
            <w:vAlign w:val="center"/>
          </w:tcPr>
          <w:p w:rsidR="000C5659" w:rsidRDefault="000E33C4">
            <w:pPr>
              <w:snapToGrid w:val="0"/>
              <w:jc w:val="center"/>
            </w:pPr>
            <w:r>
              <w:rPr>
                <w:szCs w:val="18"/>
              </w:rPr>
              <w:t>押金保证金</w:t>
            </w:r>
          </w:p>
        </w:tc>
        <w:tc>
          <w:tcPr>
            <w:tcW w:w="637" w:type="pct"/>
            <w:tcBorders>
              <w:top w:val="single" w:sz="6" w:space="0" w:color="auto"/>
              <w:left w:val="single" w:sz="6" w:space="0" w:color="auto"/>
              <w:bottom w:val="single" w:sz="6" w:space="0" w:color="auto"/>
              <w:right w:val="single" w:sz="6" w:space="0" w:color="auto"/>
            </w:tcBorders>
            <w:vAlign w:val="center"/>
          </w:tcPr>
          <w:p w:rsidR="000C5659" w:rsidRDefault="000E33C4">
            <w:pPr>
              <w:snapToGrid w:val="0"/>
              <w:jc w:val="right"/>
            </w:pPr>
            <w:r>
              <w:rPr>
                <w:szCs w:val="18"/>
              </w:rPr>
              <w:t>3年以上</w:t>
            </w:r>
          </w:p>
        </w:tc>
        <w:tc>
          <w:tcPr>
            <w:tcW w:w="697"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rPr>
              <w:t>/</w:t>
            </w:r>
          </w:p>
        </w:tc>
      </w:tr>
      <w:tr w:rsidR="000C5659">
        <w:trPr>
          <w:cantSplit/>
        </w:trPr>
        <w:tc>
          <w:tcPr>
            <w:tcW w:w="834" w:type="pct"/>
            <w:tcBorders>
              <w:top w:val="single" w:sz="6" w:space="0" w:color="auto"/>
              <w:left w:val="single" w:sz="6" w:space="0" w:color="auto"/>
              <w:bottom w:val="single" w:sz="6" w:space="0" w:color="auto"/>
              <w:right w:val="single" w:sz="6" w:space="0" w:color="auto"/>
            </w:tcBorders>
            <w:vAlign w:val="center"/>
          </w:tcPr>
          <w:p w:rsidR="000C5659" w:rsidRDefault="000E33C4">
            <w:pPr>
              <w:ind w:right="105"/>
            </w:pPr>
            <w:r>
              <w:t>第五名</w:t>
            </w:r>
          </w:p>
        </w:tc>
        <w:tc>
          <w:tcPr>
            <w:tcW w:w="843"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rFonts w:hint="eastAsia"/>
              </w:rPr>
              <w:t>1,204,062.12</w:t>
            </w:r>
          </w:p>
        </w:tc>
        <w:tc>
          <w:tcPr>
            <w:tcW w:w="961"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4.40</w:t>
            </w:r>
          </w:p>
        </w:tc>
        <w:tc>
          <w:tcPr>
            <w:tcW w:w="1027" w:type="pct"/>
            <w:tcBorders>
              <w:top w:val="single" w:sz="6" w:space="0" w:color="auto"/>
              <w:left w:val="single" w:sz="6" w:space="0" w:color="auto"/>
              <w:bottom w:val="single" w:sz="6" w:space="0" w:color="auto"/>
              <w:right w:val="single" w:sz="6" w:space="0" w:color="auto"/>
            </w:tcBorders>
            <w:vAlign w:val="center"/>
          </w:tcPr>
          <w:p w:rsidR="000C5659" w:rsidRDefault="000E33C4">
            <w:pPr>
              <w:snapToGrid w:val="0"/>
              <w:jc w:val="center"/>
            </w:pPr>
            <w:r>
              <w:t>合并范围内关联方</w:t>
            </w:r>
          </w:p>
        </w:tc>
        <w:tc>
          <w:tcPr>
            <w:tcW w:w="637" w:type="pct"/>
            <w:tcBorders>
              <w:top w:val="single" w:sz="6" w:space="0" w:color="auto"/>
              <w:left w:val="single" w:sz="6" w:space="0" w:color="auto"/>
              <w:bottom w:val="single" w:sz="6" w:space="0" w:color="auto"/>
              <w:right w:val="single" w:sz="6" w:space="0" w:color="auto"/>
            </w:tcBorders>
            <w:vAlign w:val="center"/>
          </w:tcPr>
          <w:p w:rsidR="000C5659" w:rsidRDefault="000E33C4">
            <w:pPr>
              <w:snapToGrid w:val="0"/>
              <w:jc w:val="right"/>
            </w:pPr>
            <w:r>
              <w:rPr>
                <w:szCs w:val="18"/>
              </w:rPr>
              <w:t>1年以内</w:t>
            </w:r>
          </w:p>
        </w:tc>
        <w:tc>
          <w:tcPr>
            <w:tcW w:w="697"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rPr>
              <w:t>/</w:t>
            </w:r>
          </w:p>
        </w:tc>
      </w:tr>
      <w:tr w:rsidR="000C5659">
        <w:trPr>
          <w:cantSplit/>
        </w:trPr>
        <w:tc>
          <w:tcPr>
            <w:tcW w:w="834" w:type="pct"/>
            <w:tcBorders>
              <w:top w:val="single" w:sz="6" w:space="0" w:color="auto"/>
              <w:left w:val="single" w:sz="6" w:space="0" w:color="auto"/>
              <w:bottom w:val="single" w:sz="6" w:space="0" w:color="auto"/>
              <w:right w:val="single" w:sz="6" w:space="0" w:color="auto"/>
            </w:tcBorders>
            <w:vAlign w:val="center"/>
          </w:tcPr>
          <w:p w:rsidR="000C5659" w:rsidRDefault="000E33C4">
            <w:pPr>
              <w:ind w:right="105"/>
              <w:jc w:val="center"/>
              <w:rPr>
                <w:color w:val="000000" w:themeColor="text1"/>
              </w:rPr>
            </w:pPr>
            <w:r>
              <w:rPr>
                <w:rFonts w:hint="eastAsia"/>
                <w:color w:val="000000" w:themeColor="text1"/>
              </w:rPr>
              <w:t>合计</w:t>
            </w:r>
          </w:p>
        </w:tc>
        <w:tc>
          <w:tcPr>
            <w:tcW w:w="843"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right"/>
            </w:pPr>
            <w:r>
              <w:rPr>
                <w:rFonts w:hint="eastAsia"/>
              </w:rPr>
              <w:t>24,091,309.12</w:t>
            </w:r>
          </w:p>
        </w:tc>
        <w:tc>
          <w:tcPr>
            <w:tcW w:w="961"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t>87.99</w:t>
            </w:r>
          </w:p>
        </w:tc>
        <w:tc>
          <w:tcPr>
            <w:tcW w:w="102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center"/>
              <w:rPr>
                <w:color w:val="000000" w:themeColor="text1"/>
              </w:rPr>
            </w:pPr>
            <w:r>
              <w:rPr>
                <w:color w:val="000000" w:themeColor="text1"/>
              </w:rPr>
              <w:t>/</w:t>
            </w:r>
          </w:p>
        </w:tc>
        <w:tc>
          <w:tcPr>
            <w:tcW w:w="637" w:type="pct"/>
            <w:tcBorders>
              <w:top w:val="single" w:sz="6" w:space="0" w:color="auto"/>
              <w:left w:val="single" w:sz="6" w:space="0" w:color="auto"/>
              <w:bottom w:val="single" w:sz="6" w:space="0" w:color="auto"/>
              <w:right w:val="single" w:sz="6" w:space="0" w:color="auto"/>
            </w:tcBorders>
            <w:vAlign w:val="center"/>
          </w:tcPr>
          <w:p w:rsidR="000C5659" w:rsidRDefault="000E33C4">
            <w:pPr>
              <w:ind w:right="73"/>
              <w:jc w:val="center"/>
              <w:rPr>
                <w:color w:val="000000" w:themeColor="text1"/>
              </w:rPr>
            </w:pPr>
            <w:r>
              <w:rPr>
                <w:color w:val="000000" w:themeColor="text1"/>
              </w:rPr>
              <w:t>/</w:t>
            </w:r>
          </w:p>
        </w:tc>
        <w:tc>
          <w:tcPr>
            <w:tcW w:w="697" w:type="pct"/>
            <w:tcBorders>
              <w:top w:val="single" w:sz="6" w:space="0" w:color="auto"/>
              <w:left w:val="single" w:sz="6" w:space="0" w:color="auto"/>
              <w:bottom w:val="single" w:sz="6" w:space="0" w:color="auto"/>
              <w:right w:val="single" w:sz="6" w:space="0" w:color="auto"/>
            </w:tcBorders>
            <w:vAlign w:val="center"/>
          </w:tcPr>
          <w:p w:rsidR="000C5659" w:rsidRDefault="000E33C4">
            <w:pPr>
              <w:jc w:val="right"/>
            </w:pPr>
            <w:r>
              <w:rPr>
                <w:rFonts w:hint="eastAsia"/>
              </w:rPr>
              <w:t>/</w:t>
            </w:r>
          </w:p>
        </w:tc>
      </w:tr>
    </w:tbl>
    <w:p w:rsidR="000C5659" w:rsidRDefault="000C5659">
      <w:pPr>
        <w:pStyle w:val="Style325"/>
      </w:pPr>
    </w:p>
    <w:p w:rsidR="000C5659" w:rsidRDefault="000E33C4" w:rsidP="000743DD">
      <w:pPr>
        <w:pStyle w:val="Style121"/>
        <w:numPr>
          <w:ilvl w:val="0"/>
          <w:numId w:val="120"/>
        </w:numPr>
        <w:ind w:left="425" w:hanging="425"/>
        <w:rPr>
          <w:rFonts w:asciiTheme="minorHAnsi" w:hAnsiTheme="minorHAnsi" w:cs="宋体"/>
          <w:color w:val="000000" w:themeColor="text1"/>
          <w:kern w:val="0"/>
          <w:szCs w:val="22"/>
        </w:rPr>
      </w:pPr>
      <w:bookmarkStart w:id="445" w:name="_Hlk153798113"/>
      <w:bookmarkStart w:id="446" w:name="_Hlk168057150"/>
      <w:r>
        <w:rPr>
          <w:rFonts w:asciiTheme="minorHAnsi" w:hAnsiTheme="minorHAnsi" w:cs="宋体" w:hint="eastAsia"/>
          <w:color w:val="000000" w:themeColor="text1"/>
          <w:kern w:val="0"/>
          <w:szCs w:val="22"/>
        </w:rPr>
        <w:t>因资金集中管理而列报于其他应收款</w:t>
      </w:r>
    </w:p>
    <w:sdt>
      <w:sdtPr>
        <w:rPr>
          <w:color w:val="000000" w:themeColor="text1"/>
        </w:rPr>
        <w:alias w:val="是否适用：母公司因资金集中管理而列报于其他应收款[双击切换]"/>
        <w:tag w:val="_GBC_e0997ad9657c40258adda569dcfcbb5a"/>
        <w:id w:val="929705188"/>
        <w:placeholder>
          <w:docPart w:val="GBC22222222222222222222222222222"/>
        </w:placeholder>
      </w:sdtPr>
      <w:sdtEndPr/>
      <w:sdtContent>
        <w:p w:rsidR="000C5659" w:rsidRDefault="000E33C4">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napToGrid w:val="0"/>
        <w:spacing w:line="240" w:lineRule="atLeast"/>
        <w:rPr>
          <w:color w:val="000000" w:themeColor="text1"/>
        </w:rPr>
      </w:pPr>
    </w:p>
    <w:bookmarkEnd w:id="445"/>
    <w:bookmarkEnd w:id="446"/>
    <w:p w:rsidR="000C5659" w:rsidRDefault="000E33C4">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母公司其他应收款的其他说明[双击切换]"/>
        <w:tag w:val="_GBC_2e0f632cbc7d4916b89bf8824f4b71f0"/>
        <w:id w:val="211625119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117"/>
        </w:numPr>
        <w:rPr>
          <w:rFonts w:ascii="宋体" w:hAnsi="宋体"/>
          <w:color w:val="000000" w:themeColor="text1"/>
          <w:szCs w:val="21"/>
        </w:rPr>
      </w:pPr>
      <w:r>
        <w:rPr>
          <w:rFonts w:ascii="宋体" w:hAnsi="宋体" w:hint="eastAsia"/>
          <w:color w:val="000000" w:themeColor="text1"/>
          <w:szCs w:val="21"/>
        </w:rPr>
        <w:t>长期股权投资</w:t>
      </w:r>
    </w:p>
    <w:sdt>
      <w:sdtPr>
        <w:rPr>
          <w:color w:val="000000" w:themeColor="text1"/>
        </w:rPr>
        <w:alias w:val="是否适用：母公司长期股权投资[双击切换]"/>
        <w:tag w:val="_GBC_61071b9a58624e83bfc4232808751b95"/>
        <w:id w:val="-2047288726"/>
        <w:lock w:val="contentLocked"/>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母公司财务附注：长期股权投资"/>
          <w:tag w:val="_GBC_ee2c3454a2494dfca9c0a07bba82ed3d"/>
          <w:id w:val="-20839725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长期股权投资"/>
          <w:tag w:val="_GBC_4b4d1a2b986f475e8058a041d2f5a6f9"/>
          <w:id w:val="-17647610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673"/>
        <w:gridCol w:w="1532"/>
        <w:gridCol w:w="500"/>
        <w:gridCol w:w="1532"/>
        <w:gridCol w:w="1532"/>
        <w:gridCol w:w="516"/>
        <w:gridCol w:w="1532"/>
      </w:tblGrid>
      <w:tr w:rsidR="000C5659">
        <w:trPr>
          <w:cantSplit/>
        </w:trPr>
        <w:sdt>
          <w:sdtPr>
            <w:rPr>
              <w:color w:val="000000" w:themeColor="text1"/>
            </w:rPr>
            <w:tag w:val="_PLD_69c4a2f49545484e8b3a149f64c9d21f"/>
            <w:id w:val="2003230786"/>
          </w:sdtPr>
          <w:sdtEndPr/>
          <w:sdtContent>
            <w:tc>
              <w:tcPr>
                <w:tcW w:w="958" w:type="pct"/>
                <w:vMerge w:val="restart"/>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f7d0566caa554c4c823029a05c5319eb"/>
            <w:id w:val="-1118914214"/>
          </w:sdtPr>
          <w:sdtEndPr/>
          <w:sdtContent>
            <w:tc>
              <w:tcPr>
                <w:tcW w:w="2016" w:type="pct"/>
                <w:gridSpan w:val="3"/>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9d2cfae2492a49c2b441d1371a5e4673"/>
            <w:id w:val="534307352"/>
          </w:sdtPr>
          <w:sdtEndPr/>
          <w:sdtContent>
            <w:tc>
              <w:tcPr>
                <w:tcW w:w="2025" w:type="pct"/>
                <w:gridSpan w:val="3"/>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tr>
      <w:tr w:rsidR="000C5659">
        <w:trPr>
          <w:cantSplit/>
        </w:trPr>
        <w:tc>
          <w:tcPr>
            <w:tcW w:w="958" w:type="pct"/>
            <w:vMerge/>
            <w:tcBorders>
              <w:bottom w:val="single" w:sz="6" w:space="0" w:color="auto"/>
            </w:tcBorders>
            <w:shd w:val="clear" w:color="auto" w:fill="auto"/>
            <w:vAlign w:val="center"/>
          </w:tcPr>
          <w:p w:rsidR="000C5659" w:rsidRDefault="000C5659">
            <w:pPr>
              <w:jc w:val="center"/>
              <w:rPr>
                <w:color w:val="000000" w:themeColor="text1"/>
              </w:rPr>
            </w:pPr>
          </w:p>
        </w:tc>
        <w:sdt>
          <w:sdtPr>
            <w:rPr>
              <w:color w:val="000000" w:themeColor="text1"/>
            </w:rPr>
            <w:tag w:val="_PLD_9f664b17996c45f08a57544a9ec7e340"/>
            <w:id w:val="204143668"/>
          </w:sdtPr>
          <w:sdtEndPr/>
          <w:sdtContent>
            <w:tc>
              <w:tcPr>
                <w:tcW w:w="861" w:type="pct"/>
                <w:tcBorders>
                  <w:bottom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5c150a7367994fc29e7f8b50d7ff2eab"/>
            <w:id w:val="-1103560107"/>
          </w:sdtPr>
          <w:sdtEndPr/>
          <w:sdtContent>
            <w:tc>
              <w:tcPr>
                <w:tcW w:w="292" w:type="pct"/>
                <w:tcBorders>
                  <w:bottom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减值准备</w:t>
                </w:r>
              </w:p>
            </w:tc>
          </w:sdtContent>
        </w:sdt>
        <w:sdt>
          <w:sdtPr>
            <w:rPr>
              <w:color w:val="000000" w:themeColor="text1"/>
            </w:rPr>
            <w:tag w:val="_PLD_3db48da0eacd49568929884577dae51b"/>
            <w:id w:val="-1341456206"/>
          </w:sdtPr>
          <w:sdtEndPr/>
          <w:sdtContent>
            <w:tc>
              <w:tcPr>
                <w:tcW w:w="862" w:type="pct"/>
                <w:tcBorders>
                  <w:bottom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账面价值</w:t>
                </w:r>
              </w:p>
            </w:tc>
          </w:sdtContent>
        </w:sdt>
        <w:sdt>
          <w:sdtPr>
            <w:rPr>
              <w:color w:val="000000" w:themeColor="text1"/>
            </w:rPr>
            <w:tag w:val="_PLD_00d8a1d3b6754b52929b2c46a2e716c9"/>
            <w:id w:val="107399024"/>
          </w:sdtPr>
          <w:sdtEndPr/>
          <w:sdtContent>
            <w:tc>
              <w:tcPr>
                <w:tcW w:w="861" w:type="pct"/>
                <w:tcBorders>
                  <w:bottom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账面余额</w:t>
                </w:r>
              </w:p>
            </w:tc>
          </w:sdtContent>
        </w:sdt>
        <w:sdt>
          <w:sdtPr>
            <w:rPr>
              <w:color w:val="000000" w:themeColor="text1"/>
            </w:rPr>
            <w:tag w:val="_PLD_0f2c77fc41ea456bab34653dee178805"/>
            <w:id w:val="1890533365"/>
          </w:sdtPr>
          <w:sdtEndPr/>
          <w:sdtContent>
            <w:tc>
              <w:tcPr>
                <w:tcW w:w="301" w:type="pct"/>
                <w:tcBorders>
                  <w:bottom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减值准备</w:t>
                </w:r>
              </w:p>
            </w:tc>
          </w:sdtContent>
        </w:sdt>
        <w:sdt>
          <w:sdtPr>
            <w:rPr>
              <w:color w:val="000000" w:themeColor="text1"/>
            </w:rPr>
            <w:tag w:val="_PLD_9ae07ed9769c419fa280d4c5ad3f03d7"/>
            <w:id w:val="-70427579"/>
          </w:sdtPr>
          <w:sdtEndPr/>
          <w:sdtContent>
            <w:tc>
              <w:tcPr>
                <w:tcW w:w="862" w:type="pct"/>
                <w:tcBorders>
                  <w:bottom w:val="single" w:sz="6" w:space="0" w:color="auto"/>
                </w:tcBorders>
                <w:shd w:val="clear" w:color="auto" w:fill="auto"/>
                <w:vAlign w:val="center"/>
              </w:tcPr>
              <w:p w:rsidR="000C5659" w:rsidRDefault="000E33C4">
                <w:pPr>
                  <w:jc w:val="center"/>
                  <w:rPr>
                    <w:color w:val="000000" w:themeColor="text1"/>
                  </w:rPr>
                </w:pPr>
                <w:r>
                  <w:rPr>
                    <w:rFonts w:hint="eastAsia"/>
                    <w:color w:val="000000" w:themeColor="text1"/>
                  </w:rPr>
                  <w:t>账面价值</w:t>
                </w:r>
              </w:p>
            </w:tc>
          </w:sdtContent>
        </w:sdt>
      </w:tr>
      <w:tr w:rsidR="000C5659">
        <w:trPr>
          <w:cantSplit/>
        </w:trPr>
        <w:tc>
          <w:tcPr>
            <w:tcW w:w="958" w:type="pct"/>
            <w:shd w:val="clear" w:color="auto" w:fill="auto"/>
          </w:tcPr>
          <w:p w:rsidR="000C5659" w:rsidRDefault="000E33C4">
            <w:pPr>
              <w:rPr>
                <w:color w:val="000000" w:themeColor="text1"/>
              </w:rPr>
            </w:pPr>
            <w:r>
              <w:rPr>
                <w:rFonts w:hint="eastAsia"/>
                <w:color w:val="000000" w:themeColor="text1"/>
              </w:rPr>
              <w:t>对子公司投资</w:t>
            </w:r>
          </w:p>
        </w:tc>
        <w:tc>
          <w:tcPr>
            <w:tcW w:w="861" w:type="pct"/>
            <w:shd w:val="clear" w:color="auto" w:fill="auto"/>
          </w:tcPr>
          <w:p w:rsidR="000C5659" w:rsidRDefault="000E33C4">
            <w:pPr>
              <w:jc w:val="right"/>
            </w:pPr>
            <w:r>
              <w:rPr>
                <w:rFonts w:hint="eastAsia"/>
              </w:rPr>
              <w:t>746,398,214.14</w:t>
            </w:r>
          </w:p>
        </w:tc>
        <w:tc>
          <w:tcPr>
            <w:tcW w:w="292" w:type="pct"/>
            <w:shd w:val="clear" w:color="auto" w:fill="auto"/>
          </w:tcPr>
          <w:p w:rsidR="000C5659" w:rsidRDefault="000C5659">
            <w:pPr>
              <w:jc w:val="right"/>
            </w:pPr>
          </w:p>
        </w:tc>
        <w:tc>
          <w:tcPr>
            <w:tcW w:w="862" w:type="pct"/>
            <w:shd w:val="clear" w:color="auto" w:fill="auto"/>
          </w:tcPr>
          <w:p w:rsidR="000C5659" w:rsidRDefault="000E33C4">
            <w:pPr>
              <w:jc w:val="right"/>
            </w:pPr>
            <w:r>
              <w:rPr>
                <w:rFonts w:hint="eastAsia"/>
              </w:rPr>
              <w:t>746,398,214.14</w:t>
            </w:r>
          </w:p>
        </w:tc>
        <w:tc>
          <w:tcPr>
            <w:tcW w:w="861" w:type="pct"/>
            <w:shd w:val="clear" w:color="auto" w:fill="auto"/>
          </w:tcPr>
          <w:p w:rsidR="000C5659" w:rsidRDefault="000E33C4">
            <w:pPr>
              <w:jc w:val="right"/>
            </w:pPr>
            <w:r>
              <w:t>562,247,759.69</w:t>
            </w:r>
          </w:p>
        </w:tc>
        <w:tc>
          <w:tcPr>
            <w:tcW w:w="301" w:type="pct"/>
            <w:shd w:val="clear" w:color="auto" w:fill="auto"/>
          </w:tcPr>
          <w:p w:rsidR="000C5659" w:rsidRDefault="000C5659">
            <w:pPr>
              <w:jc w:val="right"/>
            </w:pPr>
          </w:p>
        </w:tc>
        <w:tc>
          <w:tcPr>
            <w:tcW w:w="862" w:type="pct"/>
            <w:shd w:val="clear" w:color="auto" w:fill="auto"/>
          </w:tcPr>
          <w:p w:rsidR="000C5659" w:rsidRDefault="000E33C4">
            <w:pPr>
              <w:jc w:val="right"/>
            </w:pPr>
            <w:r>
              <w:t>562,247,759.69</w:t>
            </w:r>
          </w:p>
        </w:tc>
      </w:tr>
      <w:tr w:rsidR="000C5659">
        <w:trPr>
          <w:cantSplit/>
        </w:trPr>
        <w:tc>
          <w:tcPr>
            <w:tcW w:w="958" w:type="pct"/>
            <w:shd w:val="clear" w:color="auto" w:fill="auto"/>
          </w:tcPr>
          <w:p w:rsidR="000C5659" w:rsidRDefault="000E33C4">
            <w:pPr>
              <w:rPr>
                <w:color w:val="000000" w:themeColor="text1"/>
              </w:rPr>
            </w:pPr>
            <w:r>
              <w:rPr>
                <w:rFonts w:hint="eastAsia"/>
                <w:color w:val="000000" w:themeColor="text1"/>
              </w:rPr>
              <w:t>对联营、合营企业投资</w:t>
            </w:r>
          </w:p>
        </w:tc>
        <w:tc>
          <w:tcPr>
            <w:tcW w:w="861" w:type="pct"/>
            <w:shd w:val="clear" w:color="auto" w:fill="auto"/>
          </w:tcPr>
          <w:p w:rsidR="000C5659" w:rsidRDefault="000E33C4">
            <w:pPr>
              <w:jc w:val="right"/>
            </w:pPr>
            <w:r>
              <w:rPr>
                <w:rFonts w:hint="eastAsia"/>
              </w:rPr>
              <w:t>113,089,939.56</w:t>
            </w:r>
          </w:p>
        </w:tc>
        <w:tc>
          <w:tcPr>
            <w:tcW w:w="292" w:type="pct"/>
            <w:shd w:val="clear" w:color="auto" w:fill="auto"/>
          </w:tcPr>
          <w:p w:rsidR="000C5659" w:rsidRDefault="000C5659">
            <w:pPr>
              <w:jc w:val="right"/>
            </w:pPr>
          </w:p>
        </w:tc>
        <w:tc>
          <w:tcPr>
            <w:tcW w:w="862" w:type="pct"/>
            <w:shd w:val="clear" w:color="auto" w:fill="auto"/>
          </w:tcPr>
          <w:p w:rsidR="000C5659" w:rsidRDefault="000E33C4">
            <w:pPr>
              <w:jc w:val="right"/>
            </w:pPr>
            <w:r>
              <w:rPr>
                <w:rFonts w:hint="eastAsia"/>
              </w:rPr>
              <w:t>113,089,939.56</w:t>
            </w:r>
          </w:p>
        </w:tc>
        <w:tc>
          <w:tcPr>
            <w:tcW w:w="861" w:type="pct"/>
            <w:shd w:val="clear" w:color="auto" w:fill="auto"/>
          </w:tcPr>
          <w:p w:rsidR="000C5659" w:rsidRDefault="000E33C4">
            <w:pPr>
              <w:jc w:val="right"/>
            </w:pPr>
            <w:r>
              <w:t>106,281,648.42</w:t>
            </w:r>
          </w:p>
        </w:tc>
        <w:tc>
          <w:tcPr>
            <w:tcW w:w="301" w:type="pct"/>
            <w:shd w:val="clear" w:color="auto" w:fill="auto"/>
          </w:tcPr>
          <w:p w:rsidR="000C5659" w:rsidRDefault="000C5659">
            <w:pPr>
              <w:jc w:val="right"/>
            </w:pPr>
          </w:p>
        </w:tc>
        <w:tc>
          <w:tcPr>
            <w:tcW w:w="862" w:type="pct"/>
            <w:shd w:val="clear" w:color="auto" w:fill="auto"/>
          </w:tcPr>
          <w:p w:rsidR="000C5659" w:rsidRDefault="000E33C4">
            <w:pPr>
              <w:jc w:val="right"/>
            </w:pPr>
            <w:r>
              <w:t>106,281,648.42</w:t>
            </w:r>
          </w:p>
        </w:tc>
      </w:tr>
      <w:tr w:rsidR="000C5659">
        <w:trPr>
          <w:cantSplit/>
        </w:trPr>
        <w:tc>
          <w:tcPr>
            <w:tcW w:w="958" w:type="pct"/>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861" w:type="pct"/>
            <w:shd w:val="clear" w:color="auto" w:fill="auto"/>
          </w:tcPr>
          <w:p w:rsidR="000C5659" w:rsidRDefault="000E33C4">
            <w:pPr>
              <w:jc w:val="right"/>
            </w:pPr>
            <w:r>
              <w:rPr>
                <w:rFonts w:hint="eastAsia"/>
              </w:rPr>
              <w:t>859,488,153.70</w:t>
            </w:r>
          </w:p>
        </w:tc>
        <w:tc>
          <w:tcPr>
            <w:tcW w:w="292" w:type="pct"/>
            <w:shd w:val="clear" w:color="auto" w:fill="auto"/>
          </w:tcPr>
          <w:p w:rsidR="000C5659" w:rsidRDefault="000C5659">
            <w:pPr>
              <w:jc w:val="right"/>
            </w:pPr>
          </w:p>
        </w:tc>
        <w:tc>
          <w:tcPr>
            <w:tcW w:w="862" w:type="pct"/>
            <w:shd w:val="clear" w:color="auto" w:fill="auto"/>
          </w:tcPr>
          <w:p w:rsidR="000C5659" w:rsidRDefault="000E33C4">
            <w:pPr>
              <w:jc w:val="right"/>
            </w:pPr>
            <w:r>
              <w:rPr>
                <w:rFonts w:hint="eastAsia"/>
              </w:rPr>
              <w:t>859,488,153.70</w:t>
            </w:r>
          </w:p>
        </w:tc>
        <w:tc>
          <w:tcPr>
            <w:tcW w:w="861" w:type="pct"/>
            <w:shd w:val="clear" w:color="auto" w:fill="auto"/>
          </w:tcPr>
          <w:p w:rsidR="000C5659" w:rsidRDefault="000E33C4">
            <w:pPr>
              <w:jc w:val="right"/>
            </w:pPr>
            <w:r>
              <w:t>668,529,408.11</w:t>
            </w:r>
          </w:p>
        </w:tc>
        <w:tc>
          <w:tcPr>
            <w:tcW w:w="301" w:type="pct"/>
            <w:shd w:val="clear" w:color="auto" w:fill="auto"/>
          </w:tcPr>
          <w:p w:rsidR="000C5659" w:rsidRDefault="000C5659">
            <w:pPr>
              <w:jc w:val="right"/>
            </w:pPr>
          </w:p>
        </w:tc>
        <w:tc>
          <w:tcPr>
            <w:tcW w:w="862" w:type="pct"/>
            <w:shd w:val="clear" w:color="auto" w:fill="auto"/>
          </w:tcPr>
          <w:p w:rsidR="000C5659" w:rsidRDefault="000E33C4">
            <w:pPr>
              <w:jc w:val="right"/>
            </w:pPr>
            <w:r>
              <w:t>668,529,408.11</w:t>
            </w:r>
          </w:p>
        </w:tc>
      </w:tr>
    </w:tbl>
    <w:p w:rsidR="000C5659" w:rsidRDefault="000C5659">
      <w:pPr>
        <w:pStyle w:val="Style325"/>
      </w:pPr>
    </w:p>
    <w:p w:rsidR="000C5659" w:rsidRDefault="000E33C4" w:rsidP="000743DD">
      <w:pPr>
        <w:pStyle w:val="43"/>
        <w:numPr>
          <w:ilvl w:val="0"/>
          <w:numId w:val="121"/>
        </w:numPr>
        <w:rPr>
          <w:rFonts w:ascii="宋体" w:hAnsi="宋体"/>
          <w:color w:val="000000" w:themeColor="text1"/>
        </w:rPr>
      </w:pPr>
      <w:r>
        <w:rPr>
          <w:rFonts w:ascii="宋体" w:hAnsi="宋体" w:hint="eastAsia"/>
          <w:color w:val="000000" w:themeColor="text1"/>
        </w:rPr>
        <w:lastRenderedPageBreak/>
        <w:t>对子公司投资</w:t>
      </w:r>
    </w:p>
    <w:sdt>
      <w:sdtPr>
        <w:rPr>
          <w:color w:val="000000" w:themeColor="text1"/>
        </w:rPr>
        <w:alias w:val="是否适用：母公司对子公司投资[双击切换]"/>
        <w:tag w:val="_GBC_c52cee49247d42a9a79deabbd4c8635c"/>
        <w:id w:val="3174673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母公司财务附注：对子公司投资"/>
          <w:tag w:val="_GBC_84c410d0b81f42e3adfddc3699487310"/>
          <w:id w:val="14171330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对子公司投资"/>
          <w:tag w:val="_GBC_97fad72310ba4b849377b0e1cebf7303"/>
          <w:id w:val="17718986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686"/>
        <w:gridCol w:w="1686"/>
        <w:gridCol w:w="1101"/>
        <w:gridCol w:w="1686"/>
        <w:gridCol w:w="486"/>
        <w:gridCol w:w="795"/>
      </w:tblGrid>
      <w:tr w:rsidR="000C5659">
        <w:sdt>
          <w:sdtPr>
            <w:rPr>
              <w:color w:val="000000" w:themeColor="text1"/>
            </w:rPr>
            <w:tag w:val="_PLD_c6f1ebfed2274883870089cc90c0b5b3"/>
            <w:id w:val="147457963"/>
          </w:sdtPr>
          <w:sdtEndPr/>
          <w:sdtContent>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被投资单位</w:t>
                </w:r>
              </w:p>
            </w:tc>
          </w:sdtContent>
        </w:sdt>
        <w:sdt>
          <w:sdtPr>
            <w:rPr>
              <w:color w:val="000000" w:themeColor="text1"/>
            </w:rPr>
            <w:tag w:val="_PLD_c8b6275a3567432ba7b63d4485a9cce5"/>
            <w:id w:val="147459273"/>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期初余额</w:t>
                </w:r>
              </w:p>
            </w:tc>
          </w:sdtContent>
        </w:sdt>
        <w:sdt>
          <w:sdtPr>
            <w:rPr>
              <w:color w:val="000000" w:themeColor="text1"/>
            </w:rPr>
            <w:tag w:val="_PLD_a192e1f764d54f39ad94a065019bc4f2"/>
            <w:id w:val="147460930"/>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本期增加</w:t>
                </w:r>
              </w:p>
            </w:tc>
          </w:sdtContent>
        </w:sdt>
        <w:sdt>
          <w:sdtPr>
            <w:rPr>
              <w:color w:val="000000" w:themeColor="text1"/>
            </w:rPr>
            <w:tag w:val="_PLD_3a74d3e1bc0e43debb3fdd0f1f6de769"/>
            <w:id w:val="147457003"/>
          </w:sdtPr>
          <w:sdtEndPr/>
          <w:sdtContent>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本期减少</w:t>
                </w:r>
              </w:p>
            </w:tc>
          </w:sdtContent>
        </w:sdt>
        <w:sdt>
          <w:sdtPr>
            <w:rPr>
              <w:color w:val="000000" w:themeColor="text1"/>
            </w:rPr>
            <w:tag w:val="_PLD_62acff2435cd434284a753ea8ebfa201"/>
            <w:id w:val="147461380"/>
          </w:sdt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期末余额</w:t>
                </w:r>
              </w:p>
            </w:tc>
          </w:sdtContent>
        </w:sdt>
        <w:sdt>
          <w:sdtPr>
            <w:rPr>
              <w:color w:val="000000" w:themeColor="text1"/>
            </w:rPr>
            <w:tag w:val="_PLD_67b1a9b1d215409ebb6ceb131ad5e8bf"/>
            <w:id w:val="147466891"/>
          </w:sdtPr>
          <w:sdtEnd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本期计提减值准备</w:t>
                </w:r>
              </w:p>
            </w:tc>
          </w:sdtContent>
        </w:sdt>
        <w:sdt>
          <w:sdtPr>
            <w:rPr>
              <w:color w:val="000000" w:themeColor="text1"/>
            </w:rPr>
            <w:tag w:val="_PLD_bfab2049a5684d7d922489b57382b080"/>
            <w:id w:val="147454293"/>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减值准备期末余额</w:t>
                </w:r>
              </w:p>
            </w:tc>
          </w:sdtContent>
        </w:sdt>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t>扬州倍加洁日化有限公司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59,071,718.87</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152,385.26</w:t>
            </w: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59,224,104.13</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pStyle w:val="Style325"/>
            </w:pPr>
            <w:r>
              <w:t>扬州美星口腔护理用品有限公司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55,007,749.55</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81,242.84</w:t>
            </w: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55,088,992.39</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t>扬州恒生精密模具有限公司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4,128,816.18</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5,269.80</w:t>
            </w: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4,134,085.98</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t>江苏明星牙刷有限公司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200,000,000.00</w:t>
            </w:r>
          </w:p>
        </w:tc>
        <w:tc>
          <w:tcPr>
            <w:tcW w:w="93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200,000,000.00</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t>倍加洁国际（香港）有限公司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252,230.47</w:t>
            </w:r>
          </w:p>
        </w:tc>
        <w:tc>
          <w:tcPr>
            <w:tcW w:w="93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252,230.47</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t>南京沄洁科技有限公司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239,731,380.00</w:t>
            </w:r>
          </w:p>
        </w:tc>
        <w:tc>
          <w:tcPr>
            <w:tcW w:w="93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239,731,380.00</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t>扬州烁阳新能源有限公司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4,055,864.62</w:t>
            </w:r>
          </w:p>
        </w:tc>
        <w:tc>
          <w:tcPr>
            <w:tcW w:w="93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t>4,055,864.62</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善恩康生物科技（苏州）有限公司</w:t>
            </w:r>
          </w:p>
        </w:tc>
        <w:tc>
          <w:tcPr>
            <w:tcW w:w="93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183,911,556.55</w:t>
            </w: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183,911,556.55</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r w:rsidR="000C5659">
        <w:tc>
          <w:tcPr>
            <w:tcW w:w="801"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pPr>
            <w:r>
              <w:t>合计</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562,247,759.69</w:t>
            </w: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184,150,454.45</w:t>
            </w:r>
          </w:p>
        </w:tc>
        <w:tc>
          <w:tcPr>
            <w:tcW w:w="641"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931"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746,398,214.14</w:t>
            </w:r>
          </w:p>
        </w:tc>
        <w:tc>
          <w:tcPr>
            <w:tcW w:w="293" w:type="pct"/>
            <w:tcBorders>
              <w:top w:val="single" w:sz="4" w:space="0" w:color="auto"/>
              <w:left w:val="single" w:sz="4" w:space="0" w:color="auto"/>
              <w:bottom w:val="single" w:sz="4" w:space="0" w:color="auto"/>
              <w:right w:val="single" w:sz="4" w:space="0" w:color="auto"/>
            </w:tcBorders>
          </w:tcPr>
          <w:p w:rsidR="000C5659" w:rsidRDefault="000C5659">
            <w:pPr>
              <w:jc w:val="right"/>
            </w:pPr>
          </w:p>
        </w:tc>
        <w:tc>
          <w:tcPr>
            <w:tcW w:w="468" w:type="pct"/>
            <w:tcBorders>
              <w:top w:val="single" w:sz="4" w:space="0" w:color="auto"/>
              <w:left w:val="single" w:sz="4" w:space="0" w:color="auto"/>
              <w:bottom w:val="single" w:sz="4" w:space="0" w:color="auto"/>
              <w:right w:val="single" w:sz="4" w:space="0" w:color="auto"/>
            </w:tcBorders>
          </w:tcPr>
          <w:p w:rsidR="000C5659" w:rsidRDefault="000C5659">
            <w:pPr>
              <w:jc w:val="right"/>
            </w:pPr>
          </w:p>
        </w:tc>
      </w:tr>
    </w:tbl>
    <w:p w:rsidR="000C5659" w:rsidRDefault="000C5659"/>
    <w:p w:rsidR="000C5659" w:rsidRDefault="000C5659">
      <w:pPr>
        <w:rPr>
          <w:color w:val="000000" w:themeColor="text1"/>
        </w:rPr>
      </w:pPr>
    </w:p>
    <w:p w:rsidR="000C5659" w:rsidRDefault="000C5659" w:rsidP="000743DD">
      <w:pPr>
        <w:pStyle w:val="43"/>
        <w:numPr>
          <w:ilvl w:val="0"/>
          <w:numId w:val="121"/>
        </w:numPr>
        <w:rPr>
          <w:rFonts w:ascii="宋体" w:hAnsi="宋体"/>
          <w:color w:val="000000" w:themeColor="text1"/>
          <w:szCs w:val="21"/>
        </w:rPr>
        <w:sectPr w:rsidR="000C5659">
          <w:pgSz w:w="11906" w:h="16838"/>
          <w:pgMar w:top="1525" w:right="1276" w:bottom="1440" w:left="1797" w:header="856" w:footer="992" w:gutter="0"/>
          <w:cols w:space="425"/>
          <w:docGrid w:linePitch="312"/>
        </w:sectPr>
      </w:pPr>
      <w:bookmarkStart w:id="447" w:name="_Hlk106375342"/>
    </w:p>
    <w:p w:rsidR="000C5659" w:rsidRDefault="000E33C4" w:rsidP="000743DD">
      <w:pPr>
        <w:pStyle w:val="43"/>
        <w:numPr>
          <w:ilvl w:val="0"/>
          <w:numId w:val="121"/>
        </w:numPr>
        <w:rPr>
          <w:rFonts w:ascii="宋体" w:hAnsi="宋体"/>
          <w:color w:val="000000" w:themeColor="text1"/>
          <w:szCs w:val="21"/>
        </w:rPr>
      </w:pPr>
      <w:r>
        <w:rPr>
          <w:rFonts w:ascii="宋体" w:hAnsi="宋体" w:hint="eastAsia"/>
          <w:color w:val="000000" w:themeColor="text1"/>
          <w:szCs w:val="21"/>
        </w:rPr>
        <w:lastRenderedPageBreak/>
        <w:t>对联营、</w:t>
      </w:r>
      <w:r>
        <w:rPr>
          <w:rFonts w:ascii="宋体" w:hAnsi="宋体" w:hint="eastAsia"/>
          <w:color w:val="000000" w:themeColor="text1"/>
        </w:rPr>
        <w:t>合营</w:t>
      </w:r>
      <w:r>
        <w:rPr>
          <w:rFonts w:ascii="宋体" w:hAnsi="宋体" w:hint="eastAsia"/>
          <w:color w:val="000000" w:themeColor="text1"/>
          <w:szCs w:val="21"/>
        </w:rPr>
        <w:t>企业投资</w:t>
      </w:r>
    </w:p>
    <w:sdt>
      <w:sdtPr>
        <w:rPr>
          <w:color w:val="000000" w:themeColor="text1"/>
        </w:rPr>
        <w:alias w:val="是否适用：母公司对联营、合营企业投资[双击切换]"/>
        <w:tag w:val="_GBC_0837f60a15fc4684b64085618adca8d2"/>
        <w:id w:val="-209577357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母公司财务附注：对联营、合营企业投资"/>
          <w:tag w:val="_GBC_d8af48cd34c54e749df777d4e6a5e2ed"/>
          <w:id w:val="905254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对联营、合营企业投资"/>
          <w:tag w:val="_GBC_5b4bb22c6cca42989bcd538938127ee2"/>
          <w:id w:val="-20536820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49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689"/>
        <w:gridCol w:w="393"/>
        <w:gridCol w:w="521"/>
        <w:gridCol w:w="1365"/>
        <w:gridCol w:w="1288"/>
        <w:gridCol w:w="726"/>
        <w:gridCol w:w="1396"/>
        <w:gridCol w:w="892"/>
        <w:gridCol w:w="739"/>
        <w:gridCol w:w="2077"/>
        <w:gridCol w:w="1498"/>
      </w:tblGrid>
      <w:tr w:rsidR="000C5659">
        <w:sdt>
          <w:sdtPr>
            <w:rPr>
              <w:color w:val="000000" w:themeColor="text1"/>
            </w:rPr>
            <w:tag w:val="_PLD_abfaca7df388426499f44c3fb444b469"/>
            <w:id w:val="1450736809"/>
          </w:sdtPr>
          <w:sdtEnd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投资</w:t>
                </w:r>
              </w:p>
              <w:p w:rsidR="000C5659" w:rsidRDefault="000E33C4">
                <w:pPr>
                  <w:jc w:val="center"/>
                  <w:rPr>
                    <w:color w:val="000000" w:themeColor="text1"/>
                  </w:rPr>
                </w:pPr>
                <w:r>
                  <w:rPr>
                    <w:rFonts w:hint="eastAsia"/>
                    <w:color w:val="000000" w:themeColor="text1"/>
                  </w:rPr>
                  <w:t>单位</w:t>
                </w:r>
              </w:p>
            </w:tc>
          </w:sdtContent>
        </w:sdt>
        <w:sdt>
          <w:sdtPr>
            <w:rPr>
              <w:color w:val="000000" w:themeColor="text1"/>
            </w:rPr>
            <w:tag w:val="_PLD_05798c5c44604c97a951491f90362ede"/>
            <w:id w:val="-1035112688"/>
          </w:sdtPr>
          <w:sdtEndPr/>
          <w:sdtContent>
            <w:tc>
              <w:tcPr>
                <w:tcW w:w="610"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期初</w:t>
                </w:r>
              </w:p>
              <w:p w:rsidR="000C5659" w:rsidRDefault="000E33C4">
                <w:pPr>
                  <w:jc w:val="center"/>
                  <w:rPr>
                    <w:color w:val="000000" w:themeColor="text1"/>
                  </w:rPr>
                </w:pPr>
                <w:r>
                  <w:rPr>
                    <w:rFonts w:hint="eastAsia"/>
                    <w:color w:val="000000" w:themeColor="text1"/>
                  </w:rPr>
                  <w:t>余额</w:t>
                </w:r>
              </w:p>
            </w:tc>
          </w:sdtContent>
        </w:sdt>
        <w:sdt>
          <w:sdtPr>
            <w:rPr>
              <w:color w:val="000000" w:themeColor="text1"/>
            </w:rPr>
            <w:tag w:val="_PLD_0a2bbaaacf944dc499773ce9e49a7a44"/>
            <w:id w:val="148095947"/>
          </w:sdtPr>
          <w:sdtEndPr/>
          <w:sdtContent>
            <w:tc>
              <w:tcPr>
                <w:tcW w:w="264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本期增减变动</w:t>
                </w:r>
              </w:p>
            </w:tc>
          </w:sdtContent>
        </w:sdt>
        <w:sdt>
          <w:sdtPr>
            <w:rPr>
              <w:color w:val="000000" w:themeColor="text1"/>
            </w:rPr>
            <w:tag w:val="_PLD_08d96ebd050e43e4a66f158230dee5ce"/>
            <w:id w:val="-1699845703"/>
          </w:sdtPr>
          <w:sdtEndPr/>
          <w:sdtContent>
            <w:tc>
              <w:tcPr>
                <w:tcW w:w="750"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期末</w:t>
                </w:r>
              </w:p>
              <w:p w:rsidR="000C5659" w:rsidRDefault="000E33C4">
                <w:pPr>
                  <w:jc w:val="center"/>
                  <w:rPr>
                    <w:color w:val="000000" w:themeColor="text1"/>
                  </w:rPr>
                </w:pPr>
                <w:r>
                  <w:rPr>
                    <w:rFonts w:hint="eastAsia"/>
                    <w:color w:val="000000" w:themeColor="text1"/>
                  </w:rPr>
                  <w:t>余额</w:t>
                </w:r>
              </w:p>
            </w:tc>
          </w:sdtContent>
        </w:sdt>
        <w:sdt>
          <w:sdtPr>
            <w:rPr>
              <w:color w:val="000000" w:themeColor="text1"/>
            </w:rPr>
            <w:tag w:val="_PLD_7926cd06c0474fbd9ec1c3b927ae616d"/>
            <w:id w:val="1172370213"/>
          </w:sdtPr>
          <w:sdtEndPr/>
          <w:sdtContent>
            <w:tc>
              <w:tcPr>
                <w:tcW w:w="541"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减值准备期末余额</w:t>
                </w:r>
              </w:p>
            </w:tc>
          </w:sdtContent>
        </w:sdt>
      </w:tr>
      <w:tr w:rsidR="000C5659">
        <w:tc>
          <w:tcPr>
            <w:tcW w:w="456"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tc>
          <w:tcPr>
            <w:tcW w:w="610"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sdt>
          <w:sdtPr>
            <w:rPr>
              <w:color w:val="000000" w:themeColor="text1"/>
            </w:rPr>
            <w:tag w:val="_PLD_c2a32165f0334d7c8fde829ff4c17575"/>
            <w:id w:val="1025897398"/>
          </w:sdtPr>
          <w:sdtEndPr/>
          <w:sdtContent>
            <w:tc>
              <w:tcPr>
                <w:tcW w:w="14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追加投资</w:t>
                </w:r>
              </w:p>
            </w:tc>
          </w:sdtContent>
        </w:sdt>
        <w:sdt>
          <w:sdtPr>
            <w:rPr>
              <w:color w:val="000000" w:themeColor="text1"/>
            </w:rPr>
            <w:tag w:val="_PLD_71fe608b4d73467797eee694efbf7ebb"/>
            <w:id w:val="-15310009"/>
          </w:sdtPr>
          <w:sdtEndPr/>
          <w:sdtContent>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减少投资</w:t>
                </w:r>
              </w:p>
            </w:tc>
          </w:sdtContent>
        </w:sdt>
        <w:sdt>
          <w:sdtPr>
            <w:rPr>
              <w:color w:val="000000" w:themeColor="text1"/>
            </w:rPr>
            <w:tag w:val="_PLD_f05a50a0bc284599af7a40502cd10a40"/>
            <w:id w:val="-98565185"/>
          </w:sdtPr>
          <w:sdtEndPr/>
          <w:sdtContent>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权益法下确认的投资损益</w:t>
                </w:r>
              </w:p>
            </w:tc>
          </w:sdtContent>
        </w:sdt>
        <w:sdt>
          <w:sdtPr>
            <w:rPr>
              <w:color w:val="000000" w:themeColor="text1"/>
            </w:rPr>
            <w:tag w:val="_PLD_02248a0958484589b824cff096f8d135"/>
            <w:id w:val="-208496745"/>
          </w:sdtPr>
          <w:sdtEndPr/>
          <w:sdtContent>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其他综合收益调整</w:t>
                </w:r>
              </w:p>
            </w:tc>
          </w:sdtContent>
        </w:sdt>
        <w:sdt>
          <w:sdtPr>
            <w:rPr>
              <w:color w:val="000000" w:themeColor="text1"/>
            </w:rPr>
            <w:tag w:val="_PLD_7fb58b4af07a4b58a9b3d08dc004f3ee"/>
            <w:id w:val="-400989232"/>
          </w:sdtPr>
          <w:sdtEndPr/>
          <w:sdtContent>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其他权益变动</w:t>
                </w:r>
              </w:p>
            </w:tc>
          </w:sdtContent>
        </w:sdt>
        <w:sdt>
          <w:sdtPr>
            <w:rPr>
              <w:color w:val="000000" w:themeColor="text1"/>
            </w:rPr>
            <w:tag w:val="_PLD_222556d83dca4844b27c9b0b28e96430"/>
            <w:id w:val="1933249210"/>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宣告发放现金股利或利润</w:t>
                </w:r>
              </w:p>
            </w:tc>
          </w:sdtContent>
        </w:sdt>
        <w:sdt>
          <w:sdtPr>
            <w:rPr>
              <w:color w:val="000000" w:themeColor="text1"/>
            </w:rPr>
            <w:tag w:val="_PLD_3ccc36abfffc49a99807a98ffb9d12d5"/>
            <w:id w:val="-1024629857"/>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计提减值准备</w:t>
                </w:r>
              </w:p>
            </w:tc>
          </w:sdtContent>
        </w:sdt>
        <w:sdt>
          <w:sdtPr>
            <w:rPr>
              <w:color w:val="000000" w:themeColor="text1"/>
            </w:rPr>
            <w:tag w:val="_PLD_a907ceb1e793491d9fd8ecad7300602c"/>
            <w:id w:val="657812469"/>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其他</w:t>
                </w:r>
              </w:p>
            </w:tc>
          </w:sdtContent>
        </w:sdt>
        <w:tc>
          <w:tcPr>
            <w:tcW w:w="750"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tc>
          <w:tcPr>
            <w:tcW w:w="541"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tr>
      <w:tr w:rsidR="000C5659">
        <w:sdt>
          <w:sdtPr>
            <w:rPr>
              <w:color w:val="000000" w:themeColor="text1"/>
            </w:rPr>
            <w:tag w:val="_PLD_61dc54109424419aa8f35cf797c2d59e"/>
            <w:id w:val="-417714106"/>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一、合营企业</w:t>
                </w:r>
              </w:p>
            </w:tc>
          </w:sdtContent>
        </w:sdt>
      </w:tr>
      <w:tr w:rsidR="000C5659">
        <w:tc>
          <w:tcPr>
            <w:tcW w:w="45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rPr>
                <w:color w:val="000000" w:themeColor="text1"/>
              </w:rPr>
            </w:pPr>
            <w:r>
              <w:rPr>
                <w:rFonts w:hint="eastAsia"/>
                <w:color w:val="000000" w:themeColor="text1"/>
              </w:rPr>
              <w:t>小计</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4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88"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r w:rsidR="000C5659">
        <w:sdt>
          <w:sdtPr>
            <w:rPr>
              <w:color w:val="000000" w:themeColor="text1"/>
            </w:rPr>
            <w:tag w:val="_PLD_90cc1e0799634510b44e4e55b4185a5a"/>
            <w:id w:val="914519864"/>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二、联营企业</w:t>
                </w:r>
              </w:p>
            </w:tc>
          </w:sdtContent>
        </w:sdt>
      </w:tr>
      <w:tr w:rsidR="000C5659">
        <w:tc>
          <w:tcPr>
            <w:tcW w:w="45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pPr>
            <w:r>
              <w:t>江苏扬州农村商业银行股份有限公司</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106,281,648.42</w:t>
            </w:r>
          </w:p>
        </w:tc>
        <w:tc>
          <w:tcPr>
            <w:tcW w:w="14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88"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6,655,939.82</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911,143.30</w:t>
            </w: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-758,791.98</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113,089,939.56</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r w:rsidR="000C5659">
        <w:tc>
          <w:tcPr>
            <w:tcW w:w="456"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both"/>
              <w:rPr>
                <w:color w:val="000000" w:themeColor="text1"/>
              </w:rPr>
            </w:pPr>
            <w:r>
              <w:rPr>
                <w:rFonts w:hint="eastAsia"/>
                <w:color w:val="000000" w:themeColor="text1"/>
              </w:rPr>
              <w:t>小计</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106,281,648.42</w:t>
            </w:r>
          </w:p>
        </w:tc>
        <w:tc>
          <w:tcPr>
            <w:tcW w:w="14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88"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6,655,939.82</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911,143.30</w:t>
            </w: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-758,791.98</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113,089,939.56</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r w:rsidR="000C5659">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106,281,648.42</w:t>
            </w:r>
          </w:p>
        </w:tc>
        <w:tc>
          <w:tcPr>
            <w:tcW w:w="14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188"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6,655,939.82</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911,143.30</w:t>
            </w: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-758,791.98</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113,089,939.56</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0C5659" w:rsidRDefault="000C5659">
            <w:pPr>
              <w:jc w:val="right"/>
            </w:pPr>
          </w:p>
        </w:tc>
      </w:tr>
    </w:tbl>
    <w:p w:rsidR="000C5659" w:rsidRDefault="000C5659">
      <w:pPr>
        <w:rPr>
          <w:color w:val="000000" w:themeColor="text1"/>
        </w:rPr>
      </w:pPr>
    </w:p>
    <w:p w:rsidR="000C5659" w:rsidRDefault="000C5659" w:rsidP="000743DD">
      <w:pPr>
        <w:pStyle w:val="43"/>
        <w:numPr>
          <w:ilvl w:val="0"/>
          <w:numId w:val="64"/>
        </w:numPr>
        <w:ind w:left="425" w:hanging="425"/>
        <w:rPr>
          <w:color w:val="000000" w:themeColor="text1"/>
        </w:rPr>
        <w:sectPr w:rsidR="000C5659">
          <w:pgSz w:w="16838" w:h="11906" w:orient="landscape"/>
          <w:pgMar w:top="1797" w:right="1525" w:bottom="1276" w:left="1440" w:header="856" w:footer="992" w:gutter="0"/>
          <w:cols w:space="425"/>
          <w:docGrid w:linePitch="312"/>
        </w:sectPr>
      </w:pPr>
      <w:bookmarkStart w:id="448" w:name="_Hlk155165896"/>
      <w:bookmarkStart w:id="449" w:name="_Hlk168057377"/>
      <w:bookmarkEnd w:id="447"/>
    </w:p>
    <w:p w:rsidR="000C5659" w:rsidRDefault="000E33C4" w:rsidP="000743DD">
      <w:pPr>
        <w:pStyle w:val="43"/>
        <w:numPr>
          <w:ilvl w:val="0"/>
          <w:numId w:val="64"/>
        </w:numPr>
        <w:ind w:left="425" w:hanging="425"/>
        <w:rPr>
          <w:color w:val="000000" w:themeColor="text1"/>
        </w:rPr>
      </w:pPr>
      <w:r>
        <w:rPr>
          <w:rFonts w:hint="eastAsia"/>
          <w:color w:val="000000" w:themeColor="text1"/>
        </w:rPr>
        <w:lastRenderedPageBreak/>
        <w:t>长期股权投资的减值测试情况</w:t>
      </w:r>
    </w:p>
    <w:sdt>
      <w:sdtPr>
        <w:rPr>
          <w:color w:val="000000" w:themeColor="text1"/>
        </w:rPr>
        <w:alias w:val="是否适用：减值测试情况[双击切换]"/>
        <w:tag w:val="_GBC_c0857dc1a8eb4f79b18a90f9b4b26d58"/>
        <w:id w:val="-362751225"/>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448"/>
    <w:bookmarkEnd w:id="449"/>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母公司长期股权投资其他说明[双击切换]"/>
        <w:tag w:val="_GBC_8b70582854684459adc77f46cbf4aac7"/>
        <w:id w:val="-15923704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117"/>
        </w:numPr>
        <w:rPr>
          <w:rFonts w:ascii="宋体" w:hAnsi="宋体"/>
          <w:color w:val="000000" w:themeColor="text1"/>
          <w:szCs w:val="21"/>
        </w:rPr>
      </w:pPr>
      <w:r>
        <w:rPr>
          <w:rFonts w:ascii="宋体" w:hAnsi="宋体" w:hint="eastAsia"/>
          <w:color w:val="000000" w:themeColor="text1"/>
          <w:szCs w:val="21"/>
        </w:rPr>
        <w:t>营业收入和营业成本</w:t>
      </w:r>
    </w:p>
    <w:p w:rsidR="000C5659" w:rsidRDefault="000E33C4" w:rsidP="000743DD">
      <w:pPr>
        <w:pStyle w:val="43"/>
        <w:numPr>
          <w:ilvl w:val="0"/>
          <w:numId w:val="122"/>
        </w:numPr>
        <w:rPr>
          <w:rFonts w:ascii="宋体" w:hAnsi="宋体"/>
          <w:color w:val="000000" w:themeColor="text1"/>
        </w:rPr>
      </w:pPr>
      <w:bookmarkStart w:id="450" w:name="_Hlk10548568"/>
      <w:r>
        <w:rPr>
          <w:rFonts w:ascii="宋体" w:hAnsi="宋体" w:hint="eastAsia"/>
          <w:color w:val="000000" w:themeColor="text1"/>
        </w:rPr>
        <w:t>营业收入和营业成本情况</w:t>
      </w:r>
    </w:p>
    <w:sdt>
      <w:sdtPr>
        <w:rPr>
          <w:color w:val="000000" w:themeColor="text1"/>
        </w:rPr>
        <w:alias w:val="是否适用：母公司营业收入和营业成本[双击切换]"/>
        <w:tag w:val="_GBC_f62d83b1068f4bfaae3a590b0ac9f4d7"/>
        <w:id w:val="-23362024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pStyle w:val="Style175"/>
        <w:ind w:firstLineChars="0" w:firstLine="0"/>
        <w:jc w:val="right"/>
        <w:rPr>
          <w:rFonts w:ascii="宋体" w:hAnsi="宋体"/>
          <w:color w:val="000000" w:themeColor="text1"/>
          <w:kern w:val="0"/>
          <w:szCs w:val="21"/>
        </w:rPr>
      </w:pPr>
      <w:r>
        <w:rPr>
          <w:rFonts w:ascii="宋体" w:hAnsi="宋体" w:hint="eastAsia"/>
          <w:color w:val="000000" w:themeColor="text1"/>
          <w:szCs w:val="21"/>
        </w:rPr>
        <w:t>单位：</w:t>
      </w:r>
      <w:sdt>
        <w:sdtPr>
          <w:rPr>
            <w:rFonts w:ascii="宋体" w:hAnsi="宋体" w:hint="eastAsia"/>
            <w:bCs w:val="0"/>
            <w:color w:val="000000" w:themeColor="text1"/>
            <w:szCs w:val="21"/>
          </w:rPr>
          <w:alias w:val="单位：母公司财务附注：营业收入"/>
          <w:tag w:val="_GBC_40a730bb869a41578a25e9cb66f4e28e"/>
          <w:id w:val="-15227705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bCs w:val="0"/>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bCs w:val="0"/>
            <w:color w:val="000000" w:themeColor="text1"/>
            <w:szCs w:val="21"/>
          </w:rPr>
          <w:alias w:val="币种：母公司财务附注：营业收入"/>
          <w:tag w:val="_GBC_1b6056b90b2c445a9b1bcdc97aa104ec"/>
          <w:id w:val="-5253263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bCs w:val="0"/>
              <w:color w:val="000000" w:themeColor="text1"/>
              <w:szCs w:val="2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86"/>
        <w:gridCol w:w="1686"/>
        <w:gridCol w:w="1686"/>
        <w:gridCol w:w="1686"/>
      </w:tblGrid>
      <w:tr w:rsidR="000C5659">
        <w:sdt>
          <w:sdtPr>
            <w:rPr>
              <w:color w:val="000000" w:themeColor="text1"/>
            </w:rPr>
            <w:tag w:val="_PLD_3dc9ae0da47e49d097992a176784945a"/>
            <w:id w:val="409823956"/>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项目</w:t>
                </w:r>
              </w:p>
            </w:tc>
          </w:sdtContent>
        </w:sdt>
        <w:sdt>
          <w:sdtPr>
            <w:rPr>
              <w:color w:val="000000" w:themeColor="text1"/>
            </w:rPr>
            <w:tag w:val="_PLD_b47efcaea8ca428781485b2625b4c252"/>
            <w:id w:val="-1925094270"/>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44320683f4394adcaf1711775bb320ef"/>
            <w:id w:val="815914752"/>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上期发生额</w:t>
                </w:r>
              </w:p>
            </w:tc>
          </w:sdtContent>
        </w:sdt>
      </w:tr>
      <w:tr w:rsidR="000C5659">
        <w:tc>
          <w:tcPr>
            <w:tcW w:w="1570" w:type="pct"/>
            <w:vMerge/>
            <w:tcBorders>
              <w:left w:val="single" w:sz="4" w:space="0" w:color="auto"/>
              <w:bottom w:val="single" w:sz="4" w:space="0" w:color="auto"/>
              <w:right w:val="single" w:sz="4" w:space="0" w:color="auto"/>
            </w:tcBorders>
            <w:shd w:val="clear" w:color="auto" w:fill="auto"/>
            <w:vAlign w:val="center"/>
          </w:tcPr>
          <w:p w:rsidR="000C5659" w:rsidRDefault="000C5659">
            <w:pPr>
              <w:jc w:val="center"/>
              <w:rPr>
                <w:color w:val="000000" w:themeColor="text1"/>
              </w:rPr>
            </w:pPr>
          </w:p>
        </w:tc>
        <w:sdt>
          <w:sdtPr>
            <w:rPr>
              <w:color w:val="000000" w:themeColor="text1"/>
            </w:rPr>
            <w:tag w:val="_PLD_efb75dfbe3924c3a9f286eefd26b357f"/>
            <w:id w:val="1903566801"/>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收入</w:t>
                </w:r>
              </w:p>
            </w:tc>
          </w:sdtContent>
        </w:sdt>
        <w:sdt>
          <w:sdtPr>
            <w:rPr>
              <w:color w:val="000000" w:themeColor="text1"/>
            </w:rPr>
            <w:tag w:val="_PLD_9ecc7b9050c24dcebd801ee01e950a91"/>
            <w:id w:val="-243188264"/>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成本</w:t>
                </w:r>
              </w:p>
            </w:tc>
          </w:sdtContent>
        </w:sdt>
        <w:sdt>
          <w:sdtPr>
            <w:rPr>
              <w:color w:val="000000" w:themeColor="text1"/>
            </w:rPr>
            <w:tag w:val="_PLD_b2940b2f59f24f969eea718c85f99dda"/>
            <w:id w:val="-330916971"/>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收入</w:t>
                </w:r>
              </w:p>
            </w:tc>
          </w:sdtContent>
        </w:sdt>
        <w:sdt>
          <w:sdtPr>
            <w:rPr>
              <w:color w:val="000000" w:themeColor="text1"/>
            </w:rPr>
            <w:tag w:val="_PLD_971c170c70c24975ba7524e53623bf00"/>
            <w:id w:val="150029936"/>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成本</w:t>
                </w:r>
              </w:p>
            </w:tc>
          </w:sdtContent>
        </w:sdt>
      </w:tr>
      <w:tr w:rsidR="000C5659">
        <w:tc>
          <w:tcPr>
            <w:tcW w:w="15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300,920,739.36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239,208,019.17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247,394,488.30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203,359,545.92</w:t>
            </w:r>
          </w:p>
        </w:tc>
      </w:tr>
      <w:tr w:rsidR="000C5659">
        <w:tc>
          <w:tcPr>
            <w:tcW w:w="15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rPr>
                <w:color w:val="000000" w:themeColor="text1"/>
              </w:rPr>
            </w:pPr>
            <w:r>
              <w:rPr>
                <w:rFonts w:hint="eastAsia"/>
                <w:color w:val="000000" w:themeColor="text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27,166,344.85</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25,336,243.61</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30,714,439.25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28,638,687.91</w:t>
            </w:r>
          </w:p>
        </w:tc>
      </w:tr>
      <w:tr w:rsidR="000C5659">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328,087,084.21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264,544,262.78</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278,108,927.55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t>231,998,233.83</w:t>
            </w:r>
          </w:p>
        </w:tc>
      </w:tr>
    </w:tbl>
    <w:p w:rsidR="000C5659" w:rsidRDefault="000C5659">
      <w:pPr>
        <w:pStyle w:val="Style325"/>
      </w:pPr>
    </w:p>
    <w:p w:rsidR="000C5659" w:rsidRDefault="000C5659">
      <w:pPr>
        <w:pStyle w:val="Style325"/>
      </w:pPr>
    </w:p>
    <w:p w:rsidR="000C5659" w:rsidRDefault="000C5659">
      <w:pPr>
        <w:rPr>
          <w:color w:val="000000" w:themeColor="text1"/>
        </w:rPr>
      </w:pPr>
    </w:p>
    <w:bookmarkEnd w:id="450" w:displacedByCustomXml="next"/>
    <w:bookmarkStart w:id="451" w:name="_Hlk533798810" w:displacedByCustomXml="next"/>
    <w:bookmarkStart w:id="452" w:name="_Hlk168057792" w:displacedByCustomXml="next"/>
    <w:sdt>
      <w:sdtPr>
        <w:rPr>
          <w:rFonts w:ascii="宋体" w:hAnsi="宋体" w:cs="宋体" w:hint="eastAsia"/>
          <w:b w:val="0"/>
          <w:bCs/>
          <w:color w:val="000000" w:themeColor="text1"/>
          <w:kern w:val="0"/>
          <w:szCs w:val="24"/>
        </w:rPr>
        <w:alias w:val="模块:合同产生的收入的情况"/>
        <w:tag w:val="_SEC_55b67c614f984b14baf467a8376baa6d"/>
        <w:id w:val="-1894652026"/>
        <w:placeholder>
          <w:docPart w:val="GBC22222222222222222222222222222"/>
        </w:placeholder>
      </w:sdtPr>
      <w:sdtEndPr>
        <w:rPr>
          <w:rFonts w:hint="default"/>
          <w:szCs w:val="21"/>
        </w:rPr>
      </w:sdtEndPr>
      <w:sdtContent>
        <w:p w:rsidR="000C5659" w:rsidRDefault="000E33C4" w:rsidP="000743DD">
          <w:pPr>
            <w:pStyle w:val="43"/>
            <w:numPr>
              <w:ilvl w:val="0"/>
              <w:numId w:val="122"/>
            </w:numPr>
            <w:rPr>
              <w:rFonts w:ascii="宋体" w:hAnsi="宋体"/>
              <w:color w:val="000000" w:themeColor="text1"/>
            </w:rPr>
          </w:pPr>
          <w:r>
            <w:rPr>
              <w:rFonts w:ascii="宋体" w:hAnsi="宋体" w:hint="eastAsia"/>
              <w:color w:val="000000" w:themeColor="text1"/>
            </w:rPr>
            <w:t xml:space="preserve">营业收入、营业成本的分解信息 </w:t>
          </w:r>
        </w:p>
        <w:sdt>
          <w:sdtPr>
            <w:rPr>
              <w:rFonts w:ascii="宋体" w:hAnsi="宋体"/>
              <w:color w:val="000000" w:themeColor="text1"/>
              <w:szCs w:val="21"/>
            </w:rPr>
            <w:alias w:val="是否适用：母公司营业收入、营业成本的分解信息 [双击切换]"/>
            <w:tag w:val="_GBC_f916612422c346448db58faef20dc792"/>
            <w:id w:val="2104295026"/>
            <w:placeholder>
              <w:docPart w:val="GBC22222222222222222222222222222"/>
            </w:placeholder>
          </w:sdtPr>
          <w:sdtEndPr/>
          <w:sdtContent>
            <w:p w:rsidR="000C5659" w:rsidRDefault="000E33C4">
              <w:pPr>
                <w:pStyle w:val="Style175"/>
                <w:ind w:firstLineChars="0" w:firstLine="0"/>
                <w:jc w:val="left"/>
                <w:rPr>
                  <w:rFonts w:ascii="宋体" w:hAnsi="宋体"/>
                  <w:color w:val="000000" w:themeColor="text1"/>
                  <w:szCs w:val="21"/>
                </w:rPr>
              </w:pPr>
              <w:r>
                <w:rPr>
                  <w:rFonts w:ascii="宋体" w:hAnsi="宋体"/>
                  <w:color w:val="000000" w:themeColor="text1"/>
                  <w:szCs w:val="21"/>
                </w:rPr>
                <w:fldChar w:fldCharType="begin"/>
              </w:r>
              <w:r>
                <w:rPr>
                  <w:rFonts w:ascii="宋体" w:hAnsi="宋体" w:hint="eastAsia"/>
                  <w:color w:val="000000" w:themeColor="text1"/>
                  <w:szCs w:val="21"/>
                </w:rPr>
                <w:instrText xml:space="preserve"> MACROBUTTON  SnrToggleCheckbox √适用 </w:instrText>
              </w:r>
              <w:r>
                <w:rPr>
                  <w:rFonts w:ascii="宋体" w:hAnsi="宋体"/>
                  <w:color w:val="000000" w:themeColor="text1"/>
                  <w:szCs w:val="21"/>
                </w:rPr>
                <w:fldChar w:fldCharType="end"/>
              </w:r>
              <w:r>
                <w:rPr>
                  <w:rFonts w:ascii="宋体" w:hAnsi="宋体"/>
                  <w:color w:val="000000" w:themeColor="text1"/>
                  <w:szCs w:val="21"/>
                </w:rPr>
                <w:fldChar w:fldCharType="begin"/>
              </w:r>
              <w:r>
                <w:rPr>
                  <w:rFonts w:ascii="宋体" w:hAnsi="宋体" w:hint="eastAsia"/>
                  <w:color w:val="000000" w:themeColor="text1"/>
                  <w:szCs w:val="21"/>
                </w:rPr>
                <w:instrText xml:space="preserve"> MACROBUTTON  SnrToggleCheckbox □不适用 </w:instrText>
              </w:r>
              <w:r>
                <w:rPr>
                  <w:rFonts w:ascii="宋体" w:hAnsi="宋体"/>
                  <w:color w:val="000000" w:themeColor="text1"/>
                  <w:szCs w:val="21"/>
                </w:rPr>
                <w:fldChar w:fldCharType="end"/>
              </w:r>
            </w:p>
          </w:sdtContent>
        </w:sdt>
        <w:p w:rsidR="000C5659" w:rsidRDefault="000E33C4">
          <w:pPr>
            <w:pStyle w:val="Style175"/>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母公司营业收入、营业成本的分解信息 "/>
              <w:tag w:val="_GBC_e6b85420b31744ebb82faab81c66888a"/>
              <w:id w:val="-10343390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营业收入、营业成本的分解信息 "/>
              <w:tag w:val="_GBC_a21eea1b0c6c42afa80a1b7e1f7aaf81"/>
              <w:id w:val="10334652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ascii="宋体" w:hAnsi="宋体" w:hint="eastAsia"/>
                  <w:color w:val="000000" w:themeColor="text1"/>
                  <w:szCs w:val="2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86"/>
            <w:gridCol w:w="1686"/>
            <w:gridCol w:w="1686"/>
            <w:gridCol w:w="1686"/>
          </w:tblGrid>
          <w:tr w:rsidR="000C5659">
            <w:sdt>
              <w:sdtPr>
                <w:rPr>
                  <w:rFonts w:hint="eastAsia"/>
                  <w:color w:val="000000" w:themeColor="text1"/>
                </w:rPr>
                <w:tag w:val="_PLD_088c04bc97c148b8985e04f4a2797f92"/>
                <w:id w:val="-474225925"/>
              </w:sdtPr>
              <w:sdtEndPr/>
              <w:sdtContent>
                <w:tc>
                  <w:tcPr>
                    <w:tcW w:w="1275" w:type="pct"/>
                    <w:vMerge w:val="restart"/>
                    <w:tcBorders>
                      <w:top w:val="single" w:sz="4" w:space="0" w:color="auto"/>
                      <w:left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合同分类</w:t>
                    </w:r>
                  </w:p>
                </w:tc>
              </w:sdtContent>
            </w:sdt>
            <w:sdt>
              <w:sdtPr>
                <w:rPr>
                  <w:rFonts w:hint="eastAsia"/>
                  <w:color w:val="000000" w:themeColor="text1"/>
                </w:rPr>
                <w:alias w:val="合同产生的收入分部名称"/>
                <w:tag w:val="_GBC_c5c34efb6d1048ee8de809eea51fc453"/>
                <w:id w:val="714702015"/>
              </w:sdtPr>
              <w:sdtEndPr>
                <w:rPr>
                  <w:rFonts w:hint="default"/>
                </w:rPr>
              </w:sdtEndPr>
              <w:sdtContent>
                <w:tc>
                  <w:tcPr>
                    <w:tcW w:w="18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货物销售</w:t>
                    </w:r>
                  </w:p>
                </w:tc>
              </w:sdtContent>
            </w:sdt>
            <w:sdt>
              <w:sdtPr>
                <w:rPr>
                  <w:rFonts w:hint="eastAsia"/>
                  <w:color w:val="000000" w:themeColor="text1"/>
                </w:rPr>
                <w:tag w:val="_PLD_1657446828694cd2a20836751aea1c9f"/>
                <w:id w:val="109940771"/>
              </w:sdtPr>
              <w:sdtEndPr/>
              <w:sdtContent>
                <w:tc>
                  <w:tcPr>
                    <w:tcW w:w="1901"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合计</w:t>
                    </w:r>
                  </w:p>
                </w:tc>
              </w:sdtContent>
            </w:sdt>
          </w:tr>
          <w:tr w:rsidR="000C5659">
            <w:tc>
              <w:tcPr>
                <w:tcW w:w="1275" w:type="pct"/>
                <w:vMerge/>
                <w:tcBorders>
                  <w:left w:val="single" w:sz="4" w:space="0" w:color="auto"/>
                  <w:bottom w:val="single" w:sz="4" w:space="0" w:color="auto"/>
                  <w:right w:val="single" w:sz="4" w:space="0" w:color="auto"/>
                </w:tcBorders>
                <w:shd w:val="clear" w:color="auto" w:fill="auto"/>
              </w:tcPr>
              <w:p w:rsidR="000C5659" w:rsidRDefault="000C5659">
                <w:pPr>
                  <w:jc w:val="center"/>
                  <w:rPr>
                    <w:color w:val="000000" w:themeColor="text1"/>
                  </w:rPr>
                </w:pPr>
              </w:p>
            </w:tc>
            <w:sdt>
              <w:sdtPr>
                <w:rPr>
                  <w:rFonts w:hint="eastAsia"/>
                  <w:color w:val="000000" w:themeColor="text1"/>
                </w:rPr>
                <w:tag w:val="_PLD_6328189f373e453691f48f4a96eb7e66"/>
                <w:id w:val="-513073696"/>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0C5659" w:rsidRDefault="000E33C4">
                    <w:pPr>
                      <w:jc w:val="center"/>
                      <w:rPr>
                        <w:color w:val="000000" w:themeColor="text1"/>
                      </w:rPr>
                    </w:pPr>
                    <w:r>
                      <w:rPr>
                        <w:rFonts w:hint="eastAsia"/>
                        <w:color w:val="000000" w:themeColor="text1"/>
                      </w:rPr>
                      <w:t>营业收入</w:t>
                    </w:r>
                  </w:p>
                </w:tc>
              </w:sdtContent>
            </w:sdt>
            <w:sdt>
              <w:sdtPr>
                <w:rPr>
                  <w:rFonts w:hint="eastAsia"/>
                  <w:color w:val="000000" w:themeColor="text1"/>
                </w:rPr>
                <w:tag w:val="_PLD_e120b6db68614c3f97aac7d6a3563e4a"/>
                <w:id w:val="1924523804"/>
              </w:sdtPr>
              <w:sdtEndPr/>
              <w:sdtContent>
                <w:tc>
                  <w:tcPr>
                    <w:tcW w:w="952"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营业成本</w:t>
                    </w:r>
                  </w:p>
                </w:tc>
              </w:sdtContent>
            </w:sdt>
            <w:sdt>
              <w:sdtPr>
                <w:rPr>
                  <w:rFonts w:hint="eastAsia"/>
                  <w:color w:val="000000" w:themeColor="text1"/>
                </w:rPr>
                <w:tag w:val="_PLD_bda6864537c1473787995e2ab3492e49"/>
                <w:id w:val="-1892257601"/>
              </w:sdtPr>
              <w:sdtEndPr/>
              <w:sdtContent>
                <w:tc>
                  <w:tcPr>
                    <w:tcW w:w="952"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rFonts w:hint="eastAsia"/>
                        <w:color w:val="000000" w:themeColor="text1"/>
                      </w:rPr>
                      <w:t>营业收入</w:t>
                    </w:r>
                  </w:p>
                </w:tc>
              </w:sdtContent>
            </w:sdt>
            <w:sdt>
              <w:sdtPr>
                <w:rPr>
                  <w:rFonts w:hint="eastAsia"/>
                  <w:color w:val="000000" w:themeColor="text1"/>
                </w:rPr>
                <w:tag w:val="_PLD_ccd631421f91491e9a03bf7a01d32791"/>
                <w:id w:val="-1480460719"/>
              </w:sdtPr>
              <w:sdtEndPr/>
              <w:sdtContent>
                <w:tc>
                  <w:tcPr>
                    <w:tcW w:w="949" w:type="pct"/>
                    <w:tcBorders>
                      <w:top w:val="single" w:sz="4" w:space="0" w:color="auto"/>
                      <w:left w:val="single" w:sz="4" w:space="0" w:color="auto"/>
                      <w:bottom w:val="single" w:sz="4" w:space="0" w:color="auto"/>
                      <w:right w:val="single" w:sz="4" w:space="0" w:color="auto"/>
                    </w:tcBorders>
                  </w:tcPr>
                  <w:p w:rsidR="000C5659" w:rsidRDefault="000E33C4">
                    <w:pPr>
                      <w:jc w:val="center"/>
                      <w:rPr>
                        <w:color w:val="000000" w:themeColor="text1"/>
                      </w:rPr>
                    </w:pPr>
                    <w:r>
                      <w:rPr>
                        <w:rFonts w:hint="eastAsia"/>
                        <w:color w:val="000000" w:themeColor="text1"/>
                      </w:rPr>
                      <w:t>营业成本</w:t>
                    </w:r>
                  </w:p>
                </w:tc>
              </w:sdtContent>
            </w:sdt>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jc w:val="both"/>
                  <w:rPr>
                    <w:color w:val="000000" w:themeColor="text1"/>
                  </w:rPr>
                </w:pPr>
                <w:r>
                  <w:rPr>
                    <w:rFonts w:hint="eastAsia"/>
                  </w:rPr>
                  <w:t>商品类型</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 xml:space="preserve">　</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snapToGrid w:val="0"/>
                  <w:jc w:val="both"/>
                </w:pPr>
                <w:r>
                  <w:rPr>
                    <w:szCs w:val="18"/>
                  </w:rPr>
                  <w:t xml:space="preserve">    牙刷类产品</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240,120,199.03</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188,534,369.10</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240,120,199.03</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188,534,369.10</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snapToGrid w:val="0"/>
                  <w:jc w:val="both"/>
                  <w:rPr>
                    <w:color w:val="000000" w:themeColor="text1"/>
                  </w:rPr>
                </w:pPr>
                <w:r>
                  <w:rPr>
                    <w:szCs w:val="18"/>
                  </w:rPr>
                  <w:t xml:space="preserve">    湿巾类产品</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5,999,058.51</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5,027,019.89</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5,999,058.51</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5,027,019.89</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snapToGrid w:val="0"/>
                  <w:jc w:val="both"/>
                  <w:rPr>
                    <w:color w:val="000000" w:themeColor="text1"/>
                  </w:rPr>
                </w:pPr>
                <w:r>
                  <w:rPr>
                    <w:szCs w:val="18"/>
                  </w:rPr>
                  <w:t xml:space="preserve">    其他产品</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81,967,826.67</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70,982,873.79</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81,967,826.67</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70,982,873.79</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snapToGrid w:val="0"/>
                  <w:jc w:val="center"/>
                </w:pPr>
                <w:r>
                  <w:rPr>
                    <w:rFonts w:hint="eastAsia"/>
                    <w:szCs w:val="18"/>
                  </w:rPr>
                  <w:t>合计</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328,087,084.21</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264,544,262.78</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328,087,084.21</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264,544,262.78</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jc w:val="both"/>
                  <w:rPr>
                    <w:color w:val="000000" w:themeColor="text1"/>
                  </w:rPr>
                </w:pPr>
                <w:r>
                  <w:rPr>
                    <w:rFonts w:hint="eastAsia"/>
                  </w:rPr>
                  <w:t>按经营地区分类</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 xml:space="preserve">　</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 xml:space="preserve">　</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snapToGrid w:val="0"/>
                  <w:jc w:val="both"/>
                  <w:rPr>
                    <w:color w:val="000000" w:themeColor="text1"/>
                  </w:rPr>
                </w:pPr>
                <w:r>
                  <w:rPr>
                    <w:szCs w:val="18"/>
                  </w:rPr>
                  <w:t xml:space="preserve">      国内销售</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239,208,079.27</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196,847,316.87</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239,208,079.27</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196,847,316.87</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snapToGrid w:val="0"/>
                  <w:jc w:val="both"/>
                </w:pPr>
                <w:r>
                  <w:rPr>
                    <w:szCs w:val="18"/>
                  </w:rPr>
                  <w:t xml:space="preserve">      国外销售</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pPr>
                <w:r>
                  <w:rPr>
                    <w:rFonts w:hint="eastAsia"/>
                  </w:rPr>
                  <w:t>88,879,004.94</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 xml:space="preserve">67,696,945.91　</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88,879,004.94</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67,696,945.91</w:t>
                </w:r>
              </w:p>
            </w:tc>
          </w:tr>
          <w:tr w:rsidR="000C5659">
            <w:tc>
              <w:tcPr>
                <w:tcW w:w="1275"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widowControl w:val="0"/>
                  <w:snapToGrid w:val="0"/>
                  <w:jc w:val="center"/>
                  <w:rPr>
                    <w:color w:val="000000" w:themeColor="text1"/>
                  </w:rPr>
                </w:pPr>
                <w:r>
                  <w:rPr>
                    <w:rFonts w:hint="eastAsia"/>
                    <w:szCs w:val="18"/>
                  </w:rPr>
                  <w:t>合计</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0C5659" w:rsidRDefault="000E33C4">
                <w:pPr>
                  <w:jc w:val="right"/>
                  <w:rPr>
                    <w:color w:val="000000" w:themeColor="text1"/>
                  </w:rPr>
                </w:pPr>
                <w:r>
                  <w:rPr>
                    <w:rFonts w:hint="eastAsia"/>
                    <w:color w:val="000000" w:themeColor="text1"/>
                  </w:rPr>
                  <w:t>328,087,084.21</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264,544,262.78</w:t>
                </w:r>
              </w:p>
            </w:tc>
            <w:tc>
              <w:tcPr>
                <w:tcW w:w="952"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328,087,084.21</w:t>
                </w:r>
              </w:p>
            </w:tc>
            <w:tc>
              <w:tcPr>
                <w:tcW w:w="949" w:type="pct"/>
                <w:tcBorders>
                  <w:top w:val="single" w:sz="4" w:space="0" w:color="auto"/>
                  <w:left w:val="single" w:sz="4" w:space="0" w:color="auto"/>
                  <w:bottom w:val="single" w:sz="4" w:space="0" w:color="auto"/>
                  <w:right w:val="single" w:sz="4" w:space="0" w:color="auto"/>
                </w:tcBorders>
              </w:tcPr>
              <w:p w:rsidR="000C5659" w:rsidRDefault="000E33C4">
                <w:pPr>
                  <w:jc w:val="right"/>
                  <w:rPr>
                    <w:color w:val="000000" w:themeColor="text1"/>
                  </w:rPr>
                </w:pPr>
                <w:r>
                  <w:rPr>
                    <w:rFonts w:hint="eastAsia"/>
                    <w:color w:val="000000" w:themeColor="text1"/>
                  </w:rPr>
                  <w:t>264,544,262.78</w:t>
                </w:r>
              </w:p>
            </w:tc>
          </w:tr>
        </w:tbl>
        <w:p w:rsidR="000C5659" w:rsidRDefault="000C5659">
          <w:pPr>
            <w:rPr>
              <w:color w:val="000000" w:themeColor="text1"/>
            </w:rPr>
          </w:pPr>
        </w:p>
        <w:p w:rsidR="000C5659" w:rsidRDefault="000E33C4">
          <w:pPr>
            <w:rPr>
              <w:color w:val="000000" w:themeColor="text1"/>
            </w:rPr>
          </w:pPr>
          <w:r>
            <w:rPr>
              <w:rFonts w:hint="eastAsia"/>
              <w:color w:val="000000" w:themeColor="text1"/>
            </w:rPr>
            <w:t>其他说明</w:t>
          </w:r>
        </w:p>
        <w:sdt>
          <w:sdtPr>
            <w:rPr>
              <w:color w:val="000000" w:themeColor="text1"/>
            </w:rPr>
            <w:alias w:val="是否适用：母公司营业收入、营业成本的分解信息说明 [双击切换]"/>
            <w:tag w:val="_GBC_adf50e989b9642a6a5b483866ecd2065"/>
            <w:id w:val="-124774597"/>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220B84">
          <w:pPr>
            <w:rPr>
              <w:color w:val="000000" w:themeColor="text1"/>
            </w:rPr>
          </w:pPr>
        </w:p>
      </w:sdtContent>
    </w:sdt>
    <w:p w:rsidR="000C5659" w:rsidRDefault="000E33C4" w:rsidP="000743DD">
      <w:pPr>
        <w:pStyle w:val="43"/>
        <w:numPr>
          <w:ilvl w:val="0"/>
          <w:numId w:val="122"/>
        </w:numPr>
        <w:rPr>
          <w:rFonts w:ascii="宋体" w:hAnsi="宋体"/>
          <w:color w:val="000000" w:themeColor="text1"/>
        </w:rPr>
      </w:pPr>
      <w:bookmarkStart w:id="453" w:name="_Hlk155961563"/>
      <w:r>
        <w:rPr>
          <w:rFonts w:ascii="宋体" w:hAnsi="宋体" w:hint="eastAsia"/>
          <w:color w:val="000000" w:themeColor="text1"/>
        </w:rPr>
        <w:t>履约义务的说明</w:t>
      </w:r>
    </w:p>
    <w:sdt>
      <w:sdtPr>
        <w:rPr>
          <w:color w:val="000000" w:themeColor="text1"/>
        </w:rPr>
        <w:alias w:val="是否适用：履约义务的说明[双击切换]"/>
        <w:tag w:val="_GBC_7eb65f1aefb848c3be4d6abd4048aef7"/>
        <w:id w:val="2026744900"/>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43"/>
        <w:numPr>
          <w:ilvl w:val="0"/>
          <w:numId w:val="122"/>
        </w:numPr>
        <w:rPr>
          <w:rFonts w:ascii="宋体" w:hAnsi="宋体"/>
          <w:color w:val="000000" w:themeColor="text1"/>
        </w:rPr>
      </w:pPr>
      <w:bookmarkStart w:id="454" w:name="_Hlk533798958"/>
      <w:bookmarkEnd w:id="451"/>
      <w:bookmarkEnd w:id="453"/>
      <w:r>
        <w:rPr>
          <w:rFonts w:ascii="宋体" w:hAnsi="宋体" w:hint="eastAsia"/>
          <w:color w:val="000000" w:themeColor="text1"/>
        </w:rPr>
        <w:t>分摊至剩余履约义务的说明</w:t>
      </w:r>
    </w:p>
    <w:sdt>
      <w:sdtPr>
        <w:rPr>
          <w:color w:val="000000" w:themeColor="text1"/>
        </w:rPr>
        <w:alias w:val="是否适用：母公司分摊至剩余履约义务的说明[双击切换]"/>
        <w:tag w:val="_GBC_3aac73ec336d4015bdb4b42a7b0d24ea"/>
        <w:id w:val="236679371"/>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rFonts w:ascii="Arial" w:hAnsi="Arial"/>
          <w:color w:val="000000" w:themeColor="text1"/>
        </w:rPr>
      </w:pPr>
    </w:p>
    <w:p w:rsidR="000C5659" w:rsidRDefault="000E33C4" w:rsidP="000743DD">
      <w:pPr>
        <w:pStyle w:val="43"/>
        <w:numPr>
          <w:ilvl w:val="0"/>
          <w:numId w:val="122"/>
        </w:numPr>
        <w:rPr>
          <w:rFonts w:ascii="宋体" w:hAnsi="宋体"/>
          <w:color w:val="000000" w:themeColor="text1"/>
        </w:rPr>
      </w:pPr>
      <w:bookmarkStart w:id="455" w:name="_Hlk153798573"/>
      <w:bookmarkEnd w:id="454"/>
      <w:r>
        <w:rPr>
          <w:rFonts w:ascii="宋体" w:hAnsi="宋体" w:hint="eastAsia"/>
          <w:color w:val="000000" w:themeColor="text1"/>
        </w:rPr>
        <w:t>重大合同变更或重大交易价格调整</w:t>
      </w:r>
    </w:p>
    <w:sdt>
      <w:sdtPr>
        <w:rPr>
          <w:color w:val="000000" w:themeColor="text1"/>
        </w:rPr>
        <w:alias w:val="是否适用：母公司重大合同变更或重大交易价格调整[双击切换]"/>
        <w:tag w:val="_GBC_37b150e92b5a4605be19135cd46e097e"/>
        <w:id w:val="21442267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spacing w:before="60" w:after="60"/>
        <w:rPr>
          <w:color w:val="000000" w:themeColor="text1"/>
        </w:rPr>
      </w:pPr>
      <w:bookmarkStart w:id="456" w:name="_Hlk533798751"/>
      <w:bookmarkEnd w:id="455"/>
      <w:r>
        <w:rPr>
          <w:rFonts w:hint="eastAsia"/>
          <w:color w:val="000000" w:themeColor="text1"/>
        </w:rPr>
        <w:t>其他说明：</w:t>
      </w:r>
    </w:p>
    <w:p w:rsidR="000C5659" w:rsidRDefault="00220B84">
      <w:pPr>
        <w:rPr>
          <w:color w:val="000000" w:themeColor="text1"/>
        </w:rPr>
      </w:pPr>
      <w:sdt>
        <w:sdtPr>
          <w:rPr>
            <w:color w:val="000000" w:themeColor="text1"/>
          </w:rPr>
          <w:alias w:val="主营业务说明"/>
          <w:tag w:val="_GBC_1758332f6c7d4ddf94e12be06682add9"/>
          <w:id w:val="-294067196"/>
          <w:placeholder>
            <w:docPart w:val="GBC22222222222222222222222222222"/>
          </w:placeholder>
        </w:sdtPr>
        <w:sdtEndPr/>
        <w:sdtContent>
          <w:r w:rsidR="000E33C4">
            <w:rPr>
              <w:rFonts w:hint="eastAsia"/>
              <w:color w:val="000000" w:themeColor="text1"/>
            </w:rPr>
            <w:t>无</w:t>
          </w:r>
        </w:sdtContent>
      </w:sdt>
    </w:p>
    <w:p w:rsidR="000C5659" w:rsidRDefault="000C5659">
      <w:pPr>
        <w:rPr>
          <w:color w:val="000000" w:themeColor="text1"/>
        </w:rPr>
      </w:pPr>
    </w:p>
    <w:p w:rsidR="000C5659" w:rsidRDefault="000E33C4" w:rsidP="000743DD">
      <w:pPr>
        <w:pStyle w:val="35"/>
        <w:numPr>
          <w:ilvl w:val="0"/>
          <w:numId w:val="117"/>
        </w:numPr>
        <w:rPr>
          <w:rFonts w:ascii="宋体" w:hAnsi="宋体"/>
          <w:color w:val="000000" w:themeColor="text1"/>
          <w:szCs w:val="21"/>
        </w:rPr>
      </w:pPr>
      <w:bookmarkStart w:id="457" w:name="OLE_LINK6"/>
      <w:bookmarkStart w:id="458" w:name="_Hlk10548739"/>
      <w:bookmarkEnd w:id="452"/>
      <w:bookmarkEnd w:id="456"/>
      <w:r>
        <w:rPr>
          <w:rFonts w:ascii="宋体" w:hAnsi="宋体" w:hint="eastAsia"/>
          <w:color w:val="000000" w:themeColor="text1"/>
          <w:szCs w:val="21"/>
        </w:rPr>
        <w:t>投资收益</w:t>
      </w:r>
      <w:bookmarkEnd w:id="457"/>
    </w:p>
    <w:sdt>
      <w:sdtPr>
        <w:rPr>
          <w:color w:val="000000" w:themeColor="text1"/>
        </w:rPr>
        <w:alias w:val="是否适用：母公司投资收益[双击切换]"/>
        <w:tag w:val="_GBC_bdba48f0322747499f6908fbbf78a16f"/>
        <w:id w:val="-67110914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613aeed04bd941b2899e7b84fac67e3a"/>
          <w:id w:val="-13231955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708C8">
            <w:rPr>
              <w:rFonts w:hint="eastAsia"/>
              <w:color w:val="000000" w:themeColor="text1"/>
            </w:rPr>
            <w:t>元</w:t>
          </w:r>
        </w:sdtContent>
      </w:sdt>
      <w:r>
        <w:rPr>
          <w:color w:val="000000" w:themeColor="text1"/>
        </w:rPr>
        <w:t xml:space="preserve">  币种</w:t>
      </w:r>
      <w:r>
        <w:rPr>
          <w:rFonts w:hint="eastAsia"/>
          <w:color w:val="000000" w:themeColor="text1"/>
        </w:rPr>
        <w:t>：</w:t>
      </w:r>
      <w:sdt>
        <w:sdtPr>
          <w:rPr>
            <w:rFonts w:hint="eastAsia"/>
            <w:color w:val="000000" w:themeColor="text1"/>
          </w:rPr>
          <w:alias w:val="币种：财务附注：会计报表中的投资收益项目增加"/>
          <w:tag w:val="_GBC_8976301949824df2a90aa6f83aad84f0"/>
          <w:id w:val="6176443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708C8">
            <w:rPr>
              <w:rFonts w:hint="eastAsia"/>
              <w:color w:val="000000" w:themeColor="text1"/>
            </w:rPr>
            <w:t>人民币</w:t>
          </w:r>
        </w:sdtContent>
      </w:sdt>
    </w:p>
    <w:tbl>
      <w:tblPr>
        <w:tblStyle w:val="g1"/>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7"/>
        <w:gridCol w:w="2636"/>
      </w:tblGrid>
      <w:tr w:rsidR="000C5659">
        <w:bookmarkEnd w:id="458" w:displacedByCustomXml="next"/>
        <w:bookmarkStart w:id="459" w:name="_Hlk10720480" w:displacedByCustomXml="next"/>
        <w:sdt>
          <w:sdtPr>
            <w:rPr>
              <w:color w:val="000000" w:themeColor="text1"/>
            </w:rPr>
            <w:tag w:val="_PLD_1263506df19847a5a86c9b873a7b7673"/>
            <w:id w:val="933321487"/>
          </w:sdtPr>
          <w:sdtEndPr/>
          <w:sdtContent>
            <w:tc>
              <w:tcPr>
                <w:tcW w:w="2017" w:type="pct"/>
                <w:vAlign w:val="center"/>
              </w:tcPr>
              <w:p w:rsidR="000C5659" w:rsidRDefault="000E33C4">
                <w:pPr>
                  <w:ind w:left="420" w:hanging="420"/>
                  <w:jc w:val="center"/>
                  <w:rPr>
                    <w:color w:val="000000" w:themeColor="text1"/>
                  </w:rPr>
                </w:pPr>
                <w:r>
                  <w:rPr>
                    <w:rFonts w:hint="eastAsia"/>
                    <w:color w:val="000000" w:themeColor="text1"/>
                  </w:rPr>
                  <w:t>项目</w:t>
                </w:r>
              </w:p>
            </w:tc>
          </w:sdtContent>
        </w:sdt>
        <w:sdt>
          <w:sdtPr>
            <w:rPr>
              <w:color w:val="000000" w:themeColor="text1"/>
            </w:rPr>
            <w:tag w:val="_PLD_6da456fe7d784e789fe8204c2cc499b3"/>
            <w:id w:val="-1806689343"/>
          </w:sdtPr>
          <w:sdtEndPr/>
          <w:sdtContent>
            <w:tc>
              <w:tcPr>
                <w:tcW w:w="1489" w:type="pct"/>
                <w:vAlign w:val="center"/>
              </w:tcPr>
              <w:p w:rsidR="000C5659" w:rsidRDefault="000E33C4">
                <w:pPr>
                  <w:jc w:val="center"/>
                  <w:rPr>
                    <w:color w:val="000000" w:themeColor="text1"/>
                  </w:rPr>
                </w:pPr>
                <w:r>
                  <w:rPr>
                    <w:rFonts w:hint="eastAsia"/>
                    <w:color w:val="000000" w:themeColor="text1"/>
                  </w:rPr>
                  <w:t>本期发生额</w:t>
                </w:r>
              </w:p>
            </w:tc>
          </w:sdtContent>
        </w:sdt>
        <w:sdt>
          <w:sdtPr>
            <w:rPr>
              <w:color w:val="000000" w:themeColor="text1"/>
            </w:rPr>
            <w:tag w:val="_PLD_d81207d79e9643e0a08aec2616f96432"/>
            <w:id w:val="194975694"/>
          </w:sdtPr>
          <w:sdtEndPr/>
          <w:sdtContent>
            <w:tc>
              <w:tcPr>
                <w:tcW w:w="1494" w:type="pct"/>
                <w:vAlign w:val="center"/>
              </w:tcPr>
              <w:p w:rsidR="000C5659" w:rsidRDefault="000E33C4">
                <w:pPr>
                  <w:jc w:val="center"/>
                  <w:rPr>
                    <w:color w:val="000000" w:themeColor="text1"/>
                  </w:rPr>
                </w:pPr>
                <w:r>
                  <w:rPr>
                    <w:rFonts w:hint="eastAsia"/>
                    <w:color w:val="000000" w:themeColor="text1"/>
                  </w:rPr>
                  <w:t>上期发生额</w:t>
                </w:r>
              </w:p>
            </w:tc>
          </w:sdtContent>
        </w:sdt>
      </w:tr>
      <w:tr w:rsidR="000C5659">
        <w:tc>
          <w:tcPr>
            <w:tcW w:w="2017" w:type="pct"/>
          </w:tcPr>
          <w:p w:rsidR="000C5659" w:rsidRDefault="000E33C4">
            <w:pPr>
              <w:rPr>
                <w:color w:val="000000" w:themeColor="text1"/>
              </w:rPr>
            </w:pPr>
            <w:r>
              <w:rPr>
                <w:color w:val="000000" w:themeColor="text1"/>
              </w:rPr>
              <w:t>成本法核算的长期股权投资收益</w:t>
            </w:r>
          </w:p>
        </w:tc>
        <w:tc>
          <w:tcPr>
            <w:tcW w:w="1489" w:type="pct"/>
          </w:tcPr>
          <w:p w:rsidR="000C5659" w:rsidRDefault="000C5659">
            <w:pPr>
              <w:jc w:val="right"/>
            </w:pPr>
          </w:p>
        </w:tc>
        <w:tc>
          <w:tcPr>
            <w:tcW w:w="1494" w:type="pct"/>
          </w:tcPr>
          <w:p w:rsidR="000C5659" w:rsidRDefault="000C5659">
            <w:pPr>
              <w:jc w:val="right"/>
            </w:pPr>
          </w:p>
        </w:tc>
      </w:tr>
      <w:tr w:rsidR="000C5659">
        <w:tc>
          <w:tcPr>
            <w:tcW w:w="2017" w:type="pct"/>
          </w:tcPr>
          <w:p w:rsidR="000C5659" w:rsidRDefault="000E33C4">
            <w:pPr>
              <w:rPr>
                <w:color w:val="000000" w:themeColor="text1"/>
              </w:rPr>
            </w:pPr>
            <w:r>
              <w:rPr>
                <w:rFonts w:hint="eastAsia"/>
                <w:color w:val="000000" w:themeColor="text1"/>
              </w:rPr>
              <w:t>权益法核算的长期股权投资收益</w:t>
            </w:r>
          </w:p>
        </w:tc>
        <w:tc>
          <w:tcPr>
            <w:tcW w:w="1489" w:type="pct"/>
          </w:tcPr>
          <w:p w:rsidR="000C5659" w:rsidRDefault="000E33C4">
            <w:pPr>
              <w:jc w:val="right"/>
            </w:pPr>
            <w:r>
              <w:rPr>
                <w:rFonts w:hint="eastAsia"/>
              </w:rPr>
              <w:t>6,655,939.82</w:t>
            </w:r>
          </w:p>
        </w:tc>
        <w:tc>
          <w:tcPr>
            <w:tcW w:w="1494" w:type="pct"/>
          </w:tcPr>
          <w:p w:rsidR="000C5659" w:rsidRDefault="000E33C4">
            <w:pPr>
              <w:jc w:val="right"/>
            </w:pPr>
            <w:r>
              <w:t>7,381,633.14</w:t>
            </w:r>
          </w:p>
        </w:tc>
      </w:tr>
      <w:tr w:rsidR="000C5659">
        <w:tc>
          <w:tcPr>
            <w:tcW w:w="2017" w:type="pct"/>
          </w:tcPr>
          <w:p w:rsidR="000C5659" w:rsidRDefault="000E33C4">
            <w:pPr>
              <w:rPr>
                <w:color w:val="000000" w:themeColor="text1"/>
              </w:rPr>
            </w:pPr>
            <w:r>
              <w:rPr>
                <w:rFonts w:hint="eastAsia"/>
                <w:color w:val="000000" w:themeColor="text1"/>
              </w:rPr>
              <w:t>处置长期股权投资产生的投资收益</w:t>
            </w:r>
          </w:p>
        </w:tc>
        <w:tc>
          <w:tcPr>
            <w:tcW w:w="1489" w:type="pct"/>
          </w:tcPr>
          <w:p w:rsidR="000C5659" w:rsidRDefault="000C5659">
            <w:pPr>
              <w:jc w:val="right"/>
            </w:pPr>
          </w:p>
        </w:tc>
        <w:tc>
          <w:tcPr>
            <w:tcW w:w="1494" w:type="pct"/>
          </w:tcPr>
          <w:p w:rsidR="000C5659" w:rsidRDefault="000C5659">
            <w:pPr>
              <w:jc w:val="right"/>
            </w:pPr>
          </w:p>
        </w:tc>
      </w:tr>
      <w:tr w:rsidR="000C5659">
        <w:tc>
          <w:tcPr>
            <w:tcW w:w="2017" w:type="pct"/>
          </w:tcPr>
          <w:p w:rsidR="000C5659" w:rsidRDefault="000E33C4">
            <w:pPr>
              <w:rPr>
                <w:color w:val="000000" w:themeColor="text1"/>
              </w:rPr>
            </w:pPr>
            <w:r>
              <w:rPr>
                <w:rFonts w:hint="eastAsia"/>
                <w:color w:val="000000" w:themeColor="text1"/>
              </w:rPr>
              <w:t>交易性金融资产在持有期间的投资收益</w:t>
            </w:r>
          </w:p>
        </w:tc>
        <w:tc>
          <w:tcPr>
            <w:tcW w:w="1489" w:type="pct"/>
          </w:tcPr>
          <w:p w:rsidR="000C5659" w:rsidRDefault="000C5659">
            <w:pPr>
              <w:jc w:val="right"/>
            </w:pPr>
          </w:p>
        </w:tc>
        <w:tc>
          <w:tcPr>
            <w:tcW w:w="1494" w:type="pct"/>
          </w:tcPr>
          <w:p w:rsidR="000C5659" w:rsidRDefault="000E33C4">
            <w:pPr>
              <w:jc w:val="right"/>
            </w:pPr>
            <w:r>
              <w:t>-3,387.76</w:t>
            </w:r>
          </w:p>
        </w:tc>
      </w:tr>
      <w:tr w:rsidR="000C5659">
        <w:tc>
          <w:tcPr>
            <w:tcW w:w="2017" w:type="pct"/>
          </w:tcPr>
          <w:p w:rsidR="000C5659" w:rsidRDefault="000E33C4">
            <w:pPr>
              <w:rPr>
                <w:color w:val="000000" w:themeColor="text1"/>
              </w:rPr>
            </w:pPr>
            <w:r>
              <w:rPr>
                <w:rFonts w:hint="eastAsia"/>
                <w:color w:val="000000" w:themeColor="text1"/>
              </w:rPr>
              <w:t>其他权益工具投资在持有期间取得的股利收入</w:t>
            </w:r>
          </w:p>
        </w:tc>
        <w:tc>
          <w:tcPr>
            <w:tcW w:w="1489" w:type="pct"/>
          </w:tcPr>
          <w:p w:rsidR="000C5659" w:rsidRDefault="000C5659">
            <w:pPr>
              <w:jc w:val="right"/>
            </w:pPr>
          </w:p>
        </w:tc>
        <w:tc>
          <w:tcPr>
            <w:tcW w:w="1494" w:type="pct"/>
          </w:tcPr>
          <w:p w:rsidR="000C5659" w:rsidRDefault="000C5659">
            <w:pPr>
              <w:jc w:val="right"/>
            </w:pPr>
          </w:p>
        </w:tc>
      </w:tr>
      <w:tr w:rsidR="000C5659">
        <w:tc>
          <w:tcPr>
            <w:tcW w:w="2017" w:type="pct"/>
          </w:tcPr>
          <w:p w:rsidR="000C5659" w:rsidRDefault="000E33C4">
            <w:pPr>
              <w:rPr>
                <w:color w:val="000000" w:themeColor="text1"/>
              </w:rPr>
            </w:pPr>
            <w:r>
              <w:rPr>
                <w:rFonts w:hint="eastAsia"/>
                <w:color w:val="000000" w:themeColor="text1"/>
              </w:rPr>
              <w:t>债权投资在持有期间取得的利息收入</w:t>
            </w:r>
          </w:p>
        </w:tc>
        <w:tc>
          <w:tcPr>
            <w:tcW w:w="1489" w:type="pct"/>
          </w:tcPr>
          <w:p w:rsidR="000C5659" w:rsidRDefault="000C5659">
            <w:pPr>
              <w:jc w:val="right"/>
            </w:pPr>
          </w:p>
        </w:tc>
        <w:tc>
          <w:tcPr>
            <w:tcW w:w="1494" w:type="pct"/>
          </w:tcPr>
          <w:p w:rsidR="000C5659" w:rsidRDefault="000C5659">
            <w:pPr>
              <w:jc w:val="right"/>
            </w:pPr>
          </w:p>
        </w:tc>
      </w:tr>
      <w:tr w:rsidR="000C5659">
        <w:tc>
          <w:tcPr>
            <w:tcW w:w="2017" w:type="pct"/>
          </w:tcPr>
          <w:p w:rsidR="000C5659" w:rsidRDefault="000E33C4">
            <w:pPr>
              <w:rPr>
                <w:color w:val="000000" w:themeColor="text1"/>
              </w:rPr>
            </w:pPr>
            <w:r>
              <w:rPr>
                <w:rFonts w:hint="eastAsia"/>
                <w:color w:val="000000" w:themeColor="text1"/>
              </w:rPr>
              <w:t>其他债权投资在持有期间取得的利息收入</w:t>
            </w:r>
          </w:p>
        </w:tc>
        <w:tc>
          <w:tcPr>
            <w:tcW w:w="1489" w:type="pct"/>
          </w:tcPr>
          <w:p w:rsidR="000C5659" w:rsidRDefault="000C5659">
            <w:pPr>
              <w:jc w:val="right"/>
            </w:pPr>
          </w:p>
        </w:tc>
        <w:tc>
          <w:tcPr>
            <w:tcW w:w="1494" w:type="pct"/>
          </w:tcPr>
          <w:p w:rsidR="000C5659" w:rsidRDefault="000C5659">
            <w:pPr>
              <w:jc w:val="right"/>
            </w:pPr>
          </w:p>
        </w:tc>
      </w:tr>
      <w:tr w:rsidR="000C5659">
        <w:tc>
          <w:tcPr>
            <w:tcW w:w="2017" w:type="pct"/>
          </w:tcPr>
          <w:p w:rsidR="000C5659" w:rsidRDefault="000E33C4">
            <w:pPr>
              <w:rPr>
                <w:color w:val="000000" w:themeColor="text1"/>
              </w:rPr>
            </w:pPr>
            <w:r>
              <w:rPr>
                <w:rFonts w:hint="eastAsia"/>
                <w:color w:val="000000" w:themeColor="text1"/>
              </w:rPr>
              <w:t>处置交易性金融资产取得的投资收益</w:t>
            </w:r>
          </w:p>
        </w:tc>
        <w:tc>
          <w:tcPr>
            <w:tcW w:w="1489" w:type="pct"/>
          </w:tcPr>
          <w:p w:rsidR="000C5659" w:rsidRDefault="000E33C4">
            <w:pPr>
              <w:jc w:val="right"/>
            </w:pPr>
            <w:r>
              <w:rPr>
                <w:rFonts w:hint="eastAsia"/>
              </w:rPr>
              <w:t>-42,984.27</w:t>
            </w:r>
          </w:p>
        </w:tc>
        <w:tc>
          <w:tcPr>
            <w:tcW w:w="1494" w:type="pct"/>
          </w:tcPr>
          <w:p w:rsidR="000C5659" w:rsidRDefault="000E33C4">
            <w:pPr>
              <w:jc w:val="right"/>
            </w:pPr>
            <w:r>
              <w:t>-4,789,773.22</w:t>
            </w:r>
          </w:p>
        </w:tc>
      </w:tr>
      <w:tr w:rsidR="000C5659">
        <w:tc>
          <w:tcPr>
            <w:tcW w:w="2017" w:type="pct"/>
          </w:tcPr>
          <w:p w:rsidR="000C5659" w:rsidRDefault="000E33C4">
            <w:pPr>
              <w:rPr>
                <w:color w:val="000000" w:themeColor="text1"/>
              </w:rPr>
            </w:pPr>
            <w:r>
              <w:rPr>
                <w:rFonts w:hint="eastAsia"/>
                <w:color w:val="000000" w:themeColor="text1"/>
              </w:rPr>
              <w:t>处置其他权益工具投资取得的投资收益</w:t>
            </w:r>
          </w:p>
        </w:tc>
        <w:tc>
          <w:tcPr>
            <w:tcW w:w="1489" w:type="pct"/>
          </w:tcPr>
          <w:p w:rsidR="000C5659" w:rsidRDefault="000C5659">
            <w:pPr>
              <w:jc w:val="right"/>
            </w:pPr>
          </w:p>
        </w:tc>
        <w:tc>
          <w:tcPr>
            <w:tcW w:w="1494" w:type="pct"/>
          </w:tcPr>
          <w:p w:rsidR="000C5659" w:rsidRDefault="000C5659">
            <w:pPr>
              <w:jc w:val="right"/>
            </w:pPr>
          </w:p>
        </w:tc>
      </w:tr>
      <w:tr w:rsidR="000C5659">
        <w:tc>
          <w:tcPr>
            <w:tcW w:w="2017" w:type="pct"/>
          </w:tcPr>
          <w:p w:rsidR="000C5659" w:rsidRDefault="000E33C4">
            <w:pPr>
              <w:rPr>
                <w:color w:val="000000" w:themeColor="text1"/>
              </w:rPr>
            </w:pPr>
            <w:r>
              <w:rPr>
                <w:rFonts w:hint="eastAsia"/>
                <w:color w:val="000000" w:themeColor="text1"/>
              </w:rPr>
              <w:t>处置债权投资取得的投资收益</w:t>
            </w:r>
          </w:p>
        </w:tc>
        <w:tc>
          <w:tcPr>
            <w:tcW w:w="1489" w:type="pct"/>
          </w:tcPr>
          <w:p w:rsidR="000C5659" w:rsidRDefault="000C5659">
            <w:pPr>
              <w:jc w:val="right"/>
            </w:pPr>
          </w:p>
        </w:tc>
        <w:tc>
          <w:tcPr>
            <w:tcW w:w="1494" w:type="pct"/>
          </w:tcPr>
          <w:p w:rsidR="000C5659" w:rsidRDefault="000C5659">
            <w:pPr>
              <w:jc w:val="right"/>
            </w:pPr>
          </w:p>
        </w:tc>
      </w:tr>
      <w:tr w:rsidR="000C5659">
        <w:tc>
          <w:tcPr>
            <w:tcW w:w="2017" w:type="pct"/>
            <w:tcBorders>
              <w:bottom w:val="single" w:sz="4" w:space="0" w:color="auto"/>
            </w:tcBorders>
          </w:tcPr>
          <w:p w:rsidR="000C5659" w:rsidRDefault="000E33C4">
            <w:pPr>
              <w:rPr>
                <w:color w:val="000000" w:themeColor="text1"/>
              </w:rPr>
            </w:pPr>
            <w:r>
              <w:rPr>
                <w:rFonts w:hint="eastAsia"/>
                <w:color w:val="000000" w:themeColor="text1"/>
              </w:rPr>
              <w:t>处置其他债权投资取得的投资收益</w:t>
            </w:r>
          </w:p>
        </w:tc>
        <w:tc>
          <w:tcPr>
            <w:tcW w:w="1489" w:type="pct"/>
            <w:tcBorders>
              <w:bottom w:val="single" w:sz="4" w:space="0" w:color="auto"/>
            </w:tcBorders>
          </w:tcPr>
          <w:p w:rsidR="000C5659" w:rsidRDefault="000C5659">
            <w:pPr>
              <w:jc w:val="right"/>
            </w:pPr>
          </w:p>
        </w:tc>
        <w:tc>
          <w:tcPr>
            <w:tcW w:w="1494" w:type="pct"/>
            <w:tcBorders>
              <w:bottom w:val="single" w:sz="4" w:space="0" w:color="auto"/>
            </w:tcBorders>
          </w:tcPr>
          <w:p w:rsidR="000C5659" w:rsidRDefault="000C5659">
            <w:pPr>
              <w:jc w:val="right"/>
            </w:pPr>
          </w:p>
        </w:tc>
      </w:tr>
      <w:tr w:rsidR="000C5659">
        <w:tc>
          <w:tcPr>
            <w:tcW w:w="2017" w:type="pct"/>
            <w:tcBorders>
              <w:bottom w:val="single" w:sz="4" w:space="0" w:color="auto"/>
            </w:tcBorders>
          </w:tcPr>
          <w:p w:rsidR="000C5659" w:rsidRDefault="000E33C4">
            <w:pPr>
              <w:rPr>
                <w:color w:val="000000" w:themeColor="text1"/>
              </w:rPr>
            </w:pPr>
            <w:r>
              <w:rPr>
                <w:rFonts w:hint="eastAsia"/>
                <w:color w:val="000000" w:themeColor="text1"/>
              </w:rPr>
              <w:t>债务重组收益</w:t>
            </w:r>
          </w:p>
        </w:tc>
        <w:tc>
          <w:tcPr>
            <w:tcW w:w="1489" w:type="pct"/>
            <w:tcBorders>
              <w:bottom w:val="single" w:sz="4" w:space="0" w:color="auto"/>
            </w:tcBorders>
          </w:tcPr>
          <w:p w:rsidR="000C5659" w:rsidRDefault="000C5659">
            <w:pPr>
              <w:jc w:val="right"/>
            </w:pPr>
          </w:p>
        </w:tc>
        <w:tc>
          <w:tcPr>
            <w:tcW w:w="1494" w:type="pct"/>
            <w:tcBorders>
              <w:bottom w:val="single" w:sz="4" w:space="0" w:color="auto"/>
            </w:tcBorders>
          </w:tcPr>
          <w:p w:rsidR="000C5659" w:rsidRDefault="000C5659">
            <w:pPr>
              <w:jc w:val="right"/>
            </w:pPr>
          </w:p>
        </w:tc>
      </w:tr>
      <w:tr w:rsidR="000C5659">
        <w:tc>
          <w:tcPr>
            <w:tcW w:w="2017" w:type="pct"/>
            <w:vAlign w:val="center"/>
          </w:tcPr>
          <w:p w:rsidR="000C5659" w:rsidRDefault="000E33C4">
            <w:pPr>
              <w:jc w:val="center"/>
              <w:rPr>
                <w:color w:val="000000" w:themeColor="text1"/>
              </w:rPr>
            </w:pPr>
            <w:r>
              <w:rPr>
                <w:rFonts w:hint="eastAsia"/>
                <w:color w:val="000000" w:themeColor="text1"/>
              </w:rPr>
              <w:t>合计</w:t>
            </w:r>
          </w:p>
        </w:tc>
        <w:tc>
          <w:tcPr>
            <w:tcW w:w="1489" w:type="pct"/>
          </w:tcPr>
          <w:p w:rsidR="000C5659" w:rsidRDefault="000E33C4">
            <w:pPr>
              <w:jc w:val="right"/>
            </w:pPr>
            <w:r>
              <w:rPr>
                <w:rFonts w:hint="eastAsia"/>
              </w:rPr>
              <w:t>6,612,955.55</w:t>
            </w:r>
          </w:p>
        </w:tc>
        <w:tc>
          <w:tcPr>
            <w:tcW w:w="1494" w:type="pct"/>
          </w:tcPr>
          <w:p w:rsidR="000C5659" w:rsidRDefault="000E33C4">
            <w:pPr>
              <w:jc w:val="right"/>
            </w:pPr>
            <w:r>
              <w:t>2,588,472.16</w:t>
            </w:r>
          </w:p>
        </w:tc>
      </w:tr>
    </w:tbl>
    <w:p w:rsidR="000C5659" w:rsidRDefault="000C5659">
      <w:pPr>
        <w:pStyle w:val="Style325"/>
      </w:pPr>
    </w:p>
    <w:p w:rsidR="000C5659" w:rsidRDefault="000E33C4">
      <w:pPr>
        <w:spacing w:line="360" w:lineRule="exact"/>
        <w:rPr>
          <w:color w:val="000000" w:themeColor="text1"/>
        </w:rPr>
      </w:pPr>
      <w:r>
        <w:rPr>
          <w:rFonts w:hint="eastAsia"/>
          <w:color w:val="000000" w:themeColor="text1"/>
        </w:rPr>
        <w:t>其他说明：</w:t>
      </w:r>
      <w:bookmarkEnd w:id="459"/>
    </w:p>
    <w:sdt>
      <w:sdtPr>
        <w:rPr>
          <w:color w:val="000000" w:themeColor="text1"/>
        </w:rPr>
        <w:alias w:val="投资收益说明"/>
        <w:tag w:val="_GBC_e91b47a8afc84e119383bf071cb9a50d"/>
        <w:id w:val="-1885942134"/>
        <w:placeholder>
          <w:docPart w:val="GBC22222222222222222222222222222"/>
        </w:placeholder>
      </w:sdtPr>
      <w:sdtEndPr/>
      <w:sdtContent>
        <w:p w:rsidR="000C5659" w:rsidRDefault="000E33C4">
          <w:pPr>
            <w:rPr>
              <w:color w:val="000000" w:themeColor="text1"/>
            </w:rPr>
          </w:pPr>
          <w:r>
            <w:rPr>
              <w:rFonts w:hint="eastAsia"/>
              <w:color w:val="000000" w:themeColor="text1"/>
            </w:rPr>
            <w:t>无</w:t>
          </w:r>
        </w:p>
      </w:sdtContent>
    </w:sdt>
    <w:p w:rsidR="000C5659" w:rsidRDefault="000C5659">
      <w:pPr>
        <w:rPr>
          <w:color w:val="000000" w:themeColor="text1"/>
        </w:rPr>
      </w:pPr>
    </w:p>
    <w:p w:rsidR="000C5659" w:rsidRDefault="000E33C4" w:rsidP="000743DD">
      <w:pPr>
        <w:pStyle w:val="35"/>
        <w:numPr>
          <w:ilvl w:val="0"/>
          <w:numId w:val="117"/>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母公司会计报表附注的其他说明事项[双击切换]"/>
        <w:tag w:val="_GBC_198503cdf8c8448ea7bb4de3243a4de8"/>
        <w:id w:val="-25335334"/>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23"/>
        <w:numPr>
          <w:ilvl w:val="0"/>
          <w:numId w:val="37"/>
        </w:numPr>
        <w:ind w:left="422" w:hanging="422"/>
        <w:rPr>
          <w:rFonts w:ascii="宋体" w:hAnsi="宋体"/>
          <w:color w:val="000000" w:themeColor="text1"/>
        </w:rPr>
      </w:pPr>
      <w:r>
        <w:rPr>
          <w:rFonts w:ascii="宋体" w:hAnsi="宋体" w:hint="eastAsia"/>
          <w:color w:val="000000" w:themeColor="text1"/>
        </w:rPr>
        <w:t>补充资料</w:t>
      </w:r>
    </w:p>
    <w:p w:rsidR="000C5659" w:rsidRDefault="000E33C4" w:rsidP="000743DD">
      <w:pPr>
        <w:pStyle w:val="35"/>
        <w:numPr>
          <w:ilvl w:val="0"/>
          <w:numId w:val="123"/>
        </w:numPr>
        <w:rPr>
          <w:rFonts w:ascii="宋体" w:hAnsi="宋体"/>
          <w:color w:val="000000" w:themeColor="text1"/>
          <w:szCs w:val="21"/>
        </w:rPr>
      </w:pPr>
      <w:bookmarkStart w:id="460" w:name="_Hlk152579827"/>
      <w:bookmarkStart w:id="461" w:name="_Hlk168057952"/>
      <w:bookmarkStart w:id="462" w:name="_Hlk535584690"/>
      <w:r>
        <w:rPr>
          <w:rFonts w:ascii="宋体" w:hAnsi="宋体" w:hint="eastAsia"/>
          <w:color w:val="000000" w:themeColor="text1"/>
          <w:szCs w:val="21"/>
        </w:rPr>
        <w:t>当期非经常性损益明细表</w:t>
      </w:r>
    </w:p>
    <w:sdt>
      <w:sdtPr>
        <w:rPr>
          <w:color w:val="000000" w:themeColor="text1"/>
        </w:rPr>
        <w:alias w:val="是否适用：当期非经常性损益明细表[双击切换]"/>
        <w:tag w:val="_GBC_28c90d0fec4248b7be00ea74910120f8"/>
        <w:id w:val="322480259"/>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E33C4">
      <w:pPr>
        <w:jc w:val="right"/>
        <w:rPr>
          <w:color w:val="000000" w:themeColor="text1"/>
        </w:rPr>
      </w:pPr>
      <w:r>
        <w:rPr>
          <w:rFonts w:hint="eastAsia"/>
          <w:color w:val="000000" w:themeColor="text1"/>
        </w:rPr>
        <w:t>单位：</w:t>
      </w:r>
      <w:sdt>
        <w:sdtPr>
          <w:rPr>
            <w:rFonts w:hint="eastAsia"/>
            <w:color w:val="000000" w:themeColor="text1"/>
          </w:rPr>
          <w:alias w:val="单位：扣除非经常性损益项目和金额"/>
          <w:tag w:val="_GBC_acdddcaac70249d2a73e5ac878d6874b"/>
          <w:id w:val="129214253"/>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F4556F">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扣除非经常性损益项目和金额"/>
          <w:tag w:val="_GBC_84f107bd64a74a689cd74b834aaa0b17"/>
          <w:id w:val="-1153448250"/>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556F">
            <w:rPr>
              <w:rFonts w:hint="eastAsia"/>
              <w:color w:val="000000" w:themeColor="text1"/>
            </w:rPr>
            <w:t>人民币</w:t>
          </w:r>
        </w:sdtContent>
      </w:sdt>
    </w:p>
    <w:tbl>
      <w:tblPr>
        <w:tblStyle w:val="g2"/>
        <w:tblW w:w="5000" w:type="pct"/>
        <w:tblLook w:val="04A0" w:firstRow="1" w:lastRow="0" w:firstColumn="1" w:lastColumn="0" w:noHBand="0" w:noVBand="1"/>
      </w:tblPr>
      <w:tblGrid>
        <w:gridCol w:w="4369"/>
        <w:gridCol w:w="2135"/>
        <w:gridCol w:w="2319"/>
      </w:tblGrid>
      <w:tr w:rsidR="000C5659">
        <w:sdt>
          <w:sdtPr>
            <w:rPr>
              <w:rFonts w:ascii="Times New Roman" w:hAnsi="Times New Roman"/>
              <w:color w:val="000000" w:themeColor="text1"/>
            </w:rPr>
            <w:tag w:val="_PLD_eb975916b80e49408e340b80d53082be"/>
            <w:id w:val="62841019"/>
          </w:sdtPr>
          <w:sdtEndPr/>
          <w:sdtContent>
            <w:tc>
              <w:tcPr>
                <w:tcW w:w="2474" w:type="pct"/>
                <w:vAlign w:val="center"/>
              </w:tcPr>
              <w:p w:rsidR="000C5659" w:rsidRDefault="000E33C4">
                <w:pPr>
                  <w:pStyle w:val="Style175"/>
                  <w:ind w:firstLineChars="0" w:firstLine="0"/>
                  <w:jc w:val="center"/>
                  <w:rPr>
                    <w:rFonts w:ascii="宋体" w:hAnsi="宋体"/>
                    <w:color w:val="000000" w:themeColor="text1"/>
                    <w:szCs w:val="21"/>
                  </w:rPr>
                </w:pPr>
                <w:r>
                  <w:rPr>
                    <w:rFonts w:ascii="宋体" w:hAnsi="宋体" w:hint="eastAsia"/>
                    <w:color w:val="000000" w:themeColor="text1"/>
                    <w:szCs w:val="21"/>
                  </w:rPr>
                  <w:t>项目</w:t>
                </w:r>
              </w:p>
            </w:tc>
          </w:sdtContent>
        </w:sdt>
        <w:sdt>
          <w:sdtPr>
            <w:rPr>
              <w:rFonts w:ascii="Times New Roman" w:hAnsi="Times New Roman"/>
              <w:color w:val="000000" w:themeColor="text1"/>
            </w:rPr>
            <w:tag w:val="_PLD_871069ab0242459987d2cd8153c439e3"/>
            <w:id w:val="-838843232"/>
          </w:sdtPr>
          <w:sdtEndPr/>
          <w:sdtContent>
            <w:tc>
              <w:tcPr>
                <w:tcW w:w="1209" w:type="pct"/>
                <w:vAlign w:val="center"/>
              </w:tcPr>
              <w:p w:rsidR="000C5659" w:rsidRDefault="000E33C4">
                <w:pPr>
                  <w:pStyle w:val="Style175"/>
                  <w:ind w:firstLineChars="0" w:firstLine="0"/>
                  <w:jc w:val="center"/>
                  <w:rPr>
                    <w:rFonts w:ascii="宋体" w:hAnsi="宋体"/>
                    <w:color w:val="000000" w:themeColor="text1"/>
                    <w:szCs w:val="21"/>
                  </w:rPr>
                </w:pPr>
                <w:r>
                  <w:rPr>
                    <w:rFonts w:ascii="宋体" w:hAnsi="宋体" w:hint="eastAsia"/>
                    <w:color w:val="000000" w:themeColor="text1"/>
                    <w:szCs w:val="21"/>
                  </w:rPr>
                  <w:t>金额</w:t>
                </w:r>
              </w:p>
            </w:tc>
          </w:sdtContent>
        </w:sdt>
        <w:sdt>
          <w:sdtPr>
            <w:rPr>
              <w:rFonts w:ascii="Times New Roman" w:hAnsi="Times New Roman"/>
              <w:color w:val="000000" w:themeColor="text1"/>
            </w:rPr>
            <w:tag w:val="_PLD_2b6844f78d7043ca94a5b478c9729ca8"/>
            <w:id w:val="278224184"/>
          </w:sdtPr>
          <w:sdtEndPr/>
          <w:sdtContent>
            <w:tc>
              <w:tcPr>
                <w:tcW w:w="1313" w:type="pct"/>
                <w:vAlign w:val="center"/>
              </w:tcPr>
              <w:p w:rsidR="000C5659" w:rsidRDefault="000E33C4">
                <w:pPr>
                  <w:pStyle w:val="Style175"/>
                  <w:ind w:firstLineChars="0" w:firstLine="0"/>
                  <w:jc w:val="center"/>
                  <w:rPr>
                    <w:rFonts w:ascii="宋体" w:hAnsi="宋体"/>
                    <w:color w:val="000000" w:themeColor="text1"/>
                    <w:szCs w:val="21"/>
                  </w:rPr>
                </w:pPr>
                <w:r>
                  <w:rPr>
                    <w:rFonts w:ascii="宋体" w:hAnsi="宋体" w:hint="eastAsia"/>
                    <w:color w:val="000000" w:themeColor="text1"/>
                    <w:szCs w:val="21"/>
                  </w:rPr>
                  <w:t>说明</w:t>
                </w:r>
              </w:p>
            </w:tc>
          </w:sdtContent>
        </w:sdt>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非流动</w:t>
            </w:r>
            <w:r>
              <w:rPr>
                <w:rFonts w:hint="eastAsia"/>
                <w:color w:val="000000" w:themeColor="text1"/>
                <w:szCs w:val="21"/>
              </w:rPr>
              <w:t>性</w:t>
            </w:r>
            <w:r>
              <w:rPr>
                <w:color w:val="000000" w:themeColor="text1"/>
                <w:szCs w:val="21"/>
              </w:rPr>
              <w:t>资产处置损益</w:t>
            </w:r>
            <w:r>
              <w:rPr>
                <w:rFonts w:hint="eastAsia"/>
                <w:color w:val="000000" w:themeColor="text1"/>
                <w:szCs w:val="21"/>
              </w:rPr>
              <w:t>，包括已计提资产减值准备的冲销部分</w:t>
            </w:r>
          </w:p>
        </w:tc>
        <w:tc>
          <w:tcPr>
            <w:tcW w:w="2190" w:type="dxa"/>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-94,544.03</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计入当期损益的政府补助</w:t>
            </w:r>
            <w:r>
              <w:rPr>
                <w:rFonts w:hint="eastAsia"/>
                <w:color w:val="000000" w:themeColor="text1"/>
                <w:szCs w:val="21"/>
              </w:rPr>
              <w:t>，但与公司正常经营业务密切相关、符合国家政策规定、按照确定的标准享有、对公司损益产生持续影响的政府补助除外</w:t>
            </w:r>
          </w:p>
        </w:tc>
        <w:tc>
          <w:tcPr>
            <w:tcW w:w="2190" w:type="dxa"/>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2,500,743.66</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rFonts w:hint="eastAsia"/>
                <w:color w:val="000000" w:themeColor="text1"/>
              </w:rPr>
              <w:t>除同公司正常经营业务相关的有效套期保值业务外，</w:t>
            </w:r>
            <w:r>
              <w:rPr>
                <w:color w:val="000000" w:themeColor="text1"/>
              </w:rPr>
              <w:t>非金融企业持有金融资产和金融负债产生的公允价值变动损益以及处置金融资产和金融负债产生的损益</w:t>
            </w:r>
          </w:p>
        </w:tc>
        <w:tc>
          <w:tcPr>
            <w:tcW w:w="2190" w:type="dxa"/>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-165,705.98</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计入当期损益的对非金融企业收取的资金占用费</w:t>
            </w:r>
          </w:p>
        </w:tc>
        <w:tc>
          <w:tcPr>
            <w:tcW w:w="2190" w:type="dxa"/>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lastRenderedPageBreak/>
              <w:t>委托他人投资或管理资产的损益</w:t>
            </w:r>
          </w:p>
        </w:tc>
        <w:tc>
          <w:tcPr>
            <w:tcW w:w="2190" w:type="dxa"/>
            <w:vAlign w:val="center"/>
          </w:tcPr>
          <w:p w:rsidR="000C5659" w:rsidRDefault="000E33C4">
            <w:pPr>
              <w:jc w:val="righ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-32,961.87</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对外委托贷款取得的损益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因不可抗力因</w:t>
            </w:r>
            <w:r>
              <w:rPr>
                <w:rFonts w:hint="eastAsia"/>
                <w:color w:val="000000" w:themeColor="text1"/>
                <w:szCs w:val="21"/>
              </w:rPr>
              <w:t>素，如遭受自然灾害而产生的各项资产损失</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rFonts w:hint="eastAsia"/>
                <w:color w:val="000000" w:themeColor="text1"/>
              </w:rPr>
              <w:t>单独进行减值测试的应收款项减值准备转回</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企业取得子公司、联营企业及合营企业的投资成本小于取得投资时应享有被投资单位可辨认净资产公允价值产生的收益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同一控制下企业合并产生的子公司期初至合并日的当期净损益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非货币性资产交换损益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债务重组损益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企业</w:t>
            </w:r>
            <w:r>
              <w:rPr>
                <w:rFonts w:hint="eastAsia"/>
                <w:color w:val="000000" w:themeColor="text1"/>
                <w:szCs w:val="21"/>
              </w:rPr>
              <w:t>因相关经营活动不再持续而发生的一次性费用，如安置职工的支出等</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因税收、会计等法律、法规</w:t>
            </w:r>
            <w:r>
              <w:rPr>
                <w:rFonts w:hint="eastAsia"/>
                <w:color w:val="000000" w:themeColor="text1"/>
                <w:szCs w:val="21"/>
              </w:rPr>
              <w:t>的调整对当期损益产生的一次性影响</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因取消、修改股权激励计划一次性确认的股份支付费用</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C5659">
            <w:pPr>
              <w:rPr>
                <w:rFonts w:ascii="Times New Roman" w:hAnsi="Times New Roman"/>
              </w:rPr>
            </w:pPr>
          </w:p>
        </w:tc>
      </w:tr>
      <w:tr w:rsidR="000C5659">
        <w:tc>
          <w:tcPr>
            <w:tcW w:w="2474" w:type="pct"/>
          </w:tcPr>
          <w:p w:rsidR="000C5659" w:rsidRDefault="000E33C4">
            <w:pPr>
              <w:pStyle w:val="Style175"/>
              <w:ind w:firstLineChars="0" w:firstLine="0"/>
              <w:jc w:val="left"/>
              <w:rPr>
                <w:color w:val="000000" w:themeColor="text1"/>
              </w:rPr>
            </w:pPr>
            <w:r>
              <w:rPr>
                <w:color w:val="000000" w:themeColor="text1"/>
              </w:rPr>
              <w:t>对于现金结算的股份支付，在可行权日之后，应付职工薪酬的公允价值变动产生的损益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C5659">
            <w:pPr>
              <w:rPr>
                <w:rFonts w:ascii="Times New Roman" w:hAnsi="Times New Roman"/>
              </w:rPr>
            </w:pP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采用公允价值模式进行后续计量的投资性房地产公允价值变动产生的损益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rFonts w:hint="eastAsia"/>
                <w:color w:val="000000" w:themeColor="text1"/>
                <w:szCs w:val="21"/>
              </w:rPr>
              <w:t>交易价格显失公允的交易产生的收益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与公司正常经营业务无关的或有事项产生的损益</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受托经营取得的托管费收入</w:t>
            </w:r>
          </w:p>
        </w:tc>
        <w:tc>
          <w:tcPr>
            <w:tcW w:w="1209" w:type="pct"/>
            <w:vAlign w:val="center"/>
          </w:tcPr>
          <w:p w:rsidR="000C5659" w:rsidRDefault="000C5659">
            <w:pPr>
              <w:jc w:val="right"/>
              <w:rPr>
                <w:rFonts w:ascii="Times New Roman" w:hAnsi="Times New Roman"/>
                <w:color w:val="000000" w:themeColor="text1"/>
              </w:rPr>
            </w:pP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除上述各项之外的其他营业外收入和支出</w:t>
            </w:r>
          </w:p>
        </w:tc>
        <w:tc>
          <w:tcPr>
            <w:tcW w:w="2190" w:type="dxa"/>
            <w:vAlign w:val="center"/>
          </w:tcPr>
          <w:p w:rsidR="000C5659" w:rsidRDefault="000E33C4">
            <w:pPr>
              <w:jc w:val="right"/>
              <w:rPr>
                <w:rFonts w:ascii="Times New Roman" w:hAnsi="Times New Roman"/>
                <w:color w:val="000000" w:themeColor="text1"/>
              </w:rPr>
            </w:pPr>
            <w:r>
              <w:rPr>
                <w:rFonts w:asciiTheme="minorEastAsia" w:eastAsiaTheme="minorEastAsia" w:hAnsiTheme="minorEastAsia" w:cstheme="minorEastAsia" w:hint="eastAsia"/>
                <w:color w:val="000000" w:themeColor="text1"/>
              </w:rPr>
              <w:t xml:space="preserve">-86,571.59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color w:val="000000" w:themeColor="text1"/>
                <w:szCs w:val="21"/>
              </w:rPr>
              <w:t>其他符合非经常性损益定义的损益项目</w:t>
            </w:r>
          </w:p>
        </w:tc>
        <w:tc>
          <w:tcPr>
            <w:tcW w:w="2190" w:type="dxa"/>
            <w:vAlign w:val="center"/>
          </w:tcPr>
          <w:p w:rsidR="000C5659" w:rsidRDefault="000E33C4">
            <w:pPr>
              <w:jc w:val="right"/>
              <w:rPr>
                <w:rFonts w:ascii="Times New Roman" w:hAnsi="Times New Roman"/>
                <w:color w:val="000000" w:themeColor="text1"/>
              </w:rPr>
            </w:pPr>
            <w:r>
              <w:rPr>
                <w:rFonts w:asciiTheme="minorEastAsia" w:eastAsiaTheme="minorEastAsia" w:hAnsiTheme="minorEastAsia" w:cstheme="minorEastAsia"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ind w:firstLineChars="0" w:firstLine="0"/>
              <w:jc w:val="left"/>
              <w:rPr>
                <w:color w:val="000000" w:themeColor="text1"/>
                <w:szCs w:val="21"/>
              </w:rPr>
            </w:pPr>
            <w:r>
              <w:rPr>
                <w:rFonts w:hint="eastAsia"/>
                <w:color w:val="000000" w:themeColor="text1"/>
              </w:rPr>
              <w:t>减：</w:t>
            </w:r>
            <w:r>
              <w:rPr>
                <w:color w:val="000000" w:themeColor="text1"/>
                <w:szCs w:val="21"/>
              </w:rPr>
              <w:t>所得税影响额</w:t>
            </w:r>
          </w:p>
        </w:tc>
        <w:tc>
          <w:tcPr>
            <w:tcW w:w="2190" w:type="dxa"/>
            <w:vAlign w:val="center"/>
          </w:tcPr>
          <w:p w:rsidR="000C5659" w:rsidRDefault="000E33C4">
            <w:pPr>
              <w:jc w:val="right"/>
              <w:rPr>
                <w:rFonts w:ascii="Times New Roman" w:hAnsi="Times New Roman"/>
                <w:color w:val="000000" w:themeColor="text1"/>
              </w:rPr>
            </w:pPr>
            <w:r>
              <w:rPr>
                <w:rFonts w:asciiTheme="minorEastAsia" w:eastAsiaTheme="minorEastAsia" w:hAnsiTheme="minorEastAsia" w:cstheme="minorEastAsia" w:hint="eastAsia"/>
              </w:rPr>
              <w:t>460,992.46</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tcPr>
          <w:p w:rsidR="000C5659" w:rsidRDefault="000E33C4">
            <w:pPr>
              <w:pStyle w:val="Style175"/>
              <w:jc w:val="left"/>
              <w:rPr>
                <w:color w:val="000000" w:themeColor="text1"/>
                <w:szCs w:val="21"/>
              </w:rPr>
            </w:pPr>
            <w:r>
              <w:rPr>
                <w:color w:val="000000" w:themeColor="text1"/>
                <w:szCs w:val="21"/>
              </w:rPr>
              <w:t>少数股东权益影响额</w:t>
            </w:r>
            <w:r>
              <w:rPr>
                <w:rFonts w:hint="eastAsia"/>
                <w:color w:val="000000" w:themeColor="text1"/>
                <w:szCs w:val="21"/>
              </w:rPr>
              <w:t>（税后）</w:t>
            </w:r>
          </w:p>
        </w:tc>
        <w:tc>
          <w:tcPr>
            <w:tcW w:w="2190" w:type="dxa"/>
            <w:vAlign w:val="center"/>
          </w:tcPr>
          <w:p w:rsidR="000C5659" w:rsidRDefault="000E33C4">
            <w:pPr>
              <w:jc w:val="right"/>
              <w:rPr>
                <w:rFonts w:ascii="Times New Roman" w:hAnsi="Times New Roman"/>
                <w:color w:val="000000" w:themeColor="text1"/>
              </w:rPr>
            </w:pPr>
            <w:r>
              <w:rPr>
                <w:rFonts w:asciiTheme="minorEastAsia" w:eastAsiaTheme="minorEastAsia" w:hAnsiTheme="minorEastAsia" w:cstheme="minorEastAsia" w:hint="eastAsia"/>
                <w:color w:val="000000" w:themeColor="text1"/>
              </w:rPr>
              <w:t xml:space="preserve">　</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r w:rsidR="000C5659">
        <w:tc>
          <w:tcPr>
            <w:tcW w:w="2474" w:type="pct"/>
            <w:vAlign w:val="center"/>
          </w:tcPr>
          <w:p w:rsidR="000C5659" w:rsidRDefault="000E33C4">
            <w:pPr>
              <w:pStyle w:val="Style175"/>
              <w:ind w:firstLineChars="0" w:firstLine="0"/>
              <w:jc w:val="center"/>
              <w:rPr>
                <w:color w:val="000000" w:themeColor="text1"/>
                <w:szCs w:val="21"/>
              </w:rPr>
            </w:pPr>
            <w:r>
              <w:rPr>
                <w:color w:val="000000" w:themeColor="text1"/>
                <w:szCs w:val="21"/>
              </w:rPr>
              <w:t>合计</w:t>
            </w:r>
          </w:p>
        </w:tc>
        <w:tc>
          <w:tcPr>
            <w:tcW w:w="2190" w:type="dxa"/>
            <w:vAlign w:val="center"/>
          </w:tcPr>
          <w:p w:rsidR="000C5659" w:rsidRDefault="000E33C4">
            <w:pPr>
              <w:jc w:val="right"/>
              <w:rPr>
                <w:rFonts w:ascii="Times New Roman" w:hAnsi="Times New Roman"/>
                <w:color w:val="000000" w:themeColor="text1"/>
              </w:rPr>
            </w:pPr>
            <w:r>
              <w:rPr>
                <w:rFonts w:asciiTheme="minorEastAsia" w:eastAsiaTheme="minorEastAsia" w:hAnsiTheme="minorEastAsia" w:cstheme="minorEastAsia" w:hint="eastAsia"/>
                <w:color w:val="000000" w:themeColor="text1"/>
              </w:rPr>
              <w:t>1,659,967.73</w:t>
            </w:r>
          </w:p>
        </w:tc>
        <w:tc>
          <w:tcPr>
            <w:tcW w:w="1313" w:type="pct"/>
            <w:vAlign w:val="center"/>
          </w:tcPr>
          <w:p w:rsidR="000C5659" w:rsidRDefault="000E33C4">
            <w:pPr>
              <w:rPr>
                <w:rFonts w:ascii="Times New Roman" w:hAnsi="Times New Roman"/>
                <w:color w:val="000000" w:themeColor="text1"/>
              </w:rPr>
            </w:pPr>
            <w:r>
              <w:rPr>
                <w:rFonts w:ascii="Times New Roman" w:hAnsi="Times New Roman" w:hint="eastAsia"/>
                <w:color w:val="000000" w:themeColor="text1"/>
              </w:rPr>
              <w:t xml:space="preserve">　</w:t>
            </w:r>
          </w:p>
        </w:tc>
      </w:tr>
    </w:tbl>
    <w:p w:rsidR="000C5659" w:rsidRDefault="000C5659">
      <w:pPr>
        <w:rPr>
          <w:color w:val="000000" w:themeColor="text1"/>
        </w:rPr>
      </w:pPr>
    </w:p>
    <w:bookmarkEnd w:id="460"/>
    <w:bookmarkEnd w:id="461"/>
    <w:bookmarkEnd w:id="462"/>
    <w:p w:rsidR="000C5659" w:rsidRDefault="000E33C4">
      <w:pPr>
        <w:rPr>
          <w:color w:val="000000" w:themeColor="text1"/>
        </w:rPr>
      </w:pPr>
      <w:r>
        <w:rPr>
          <w:rFonts w:hint="eastAsia"/>
          <w:color w:val="000000" w:themeColor="text1"/>
        </w:rPr>
        <w:t>对公司</w:t>
      </w:r>
      <w:bookmarkStart w:id="463" w:name="_Hlk169079435"/>
      <w:r>
        <w:rPr>
          <w:rFonts w:hint="eastAsia"/>
          <w:color w:val="000000" w:themeColor="text1"/>
        </w:rPr>
        <w:t>将《公开发行证券的公司信息披露解释性公告第</w:t>
      </w:r>
      <w:r>
        <w:rPr>
          <w:color w:val="000000" w:themeColor="text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bookmarkEnd w:id="463"/>
    </w:p>
    <w:sdt>
      <w:sdtPr>
        <w:rPr>
          <w:color w:val="000000" w:themeColor="text1"/>
        </w:rPr>
        <w:alias w:val="是否适用：将非经常性损益项目界定为经常性损益项目[双击切换]"/>
        <w:tag w:val="_GBC_5f8a059d4da1440d8ef10197ecd89cd6"/>
        <w:id w:val="2095979088"/>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pPr>
        <w:spacing w:line="360" w:lineRule="exact"/>
        <w:rPr>
          <w:color w:val="000000" w:themeColor="text1"/>
        </w:rPr>
      </w:pPr>
      <w:bookmarkStart w:id="464" w:name="_Hlk168058078"/>
      <w:r>
        <w:rPr>
          <w:rFonts w:hint="eastAsia"/>
          <w:color w:val="000000" w:themeColor="text1"/>
        </w:rPr>
        <w:t>其他说明</w:t>
      </w:r>
    </w:p>
    <w:sdt>
      <w:sdtPr>
        <w:rPr>
          <w:color w:val="000000" w:themeColor="text1"/>
        </w:rPr>
        <w:alias w:val="是否适用：非经常性损益的其他说明[双击切换]"/>
        <w:tag w:val="_GBC_98984b33dead4179aa5566c8753f4b5e"/>
        <w:id w:val="-118682233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bookmarkEnd w:id="464"/>
    <w:p w:rsidR="000C5659" w:rsidRDefault="000E33C4" w:rsidP="000743DD">
      <w:pPr>
        <w:pStyle w:val="35"/>
        <w:numPr>
          <w:ilvl w:val="0"/>
          <w:numId w:val="123"/>
        </w:numPr>
        <w:rPr>
          <w:rFonts w:ascii="宋体" w:hAnsi="宋体"/>
          <w:color w:val="000000" w:themeColor="text1"/>
          <w:szCs w:val="21"/>
        </w:rPr>
      </w:pPr>
      <w:r>
        <w:rPr>
          <w:rFonts w:ascii="宋体" w:hAnsi="宋体" w:hint="eastAsia"/>
          <w:color w:val="000000" w:themeColor="text1"/>
          <w:szCs w:val="21"/>
        </w:rPr>
        <w:t>净资产收益率及每股收益</w:t>
      </w:r>
    </w:p>
    <w:sdt>
      <w:sdtPr>
        <w:rPr>
          <w:color w:val="000000" w:themeColor="text1"/>
        </w:rPr>
        <w:alias w:val="是否适用：净资产收益率及每股收益[双击切换]"/>
        <w:tag w:val="_GBC_75866ebc8d184cdd988e79330ad3b083"/>
        <w:id w:val="254176276"/>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1"/>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0C5659">
        <w:trPr>
          <w:trHeight w:val="270"/>
        </w:trPr>
        <w:sdt>
          <w:sdtPr>
            <w:rPr>
              <w:color w:val="000000" w:themeColor="text1"/>
            </w:rPr>
            <w:tag w:val="_PLD_680a8ba0e71a45459c0939cd6c78c07f"/>
            <w:id w:val="-1787501451"/>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color w:val="000000" w:themeColor="text1"/>
                  </w:rPr>
                  <w:t>报告期利润</w:t>
                </w:r>
              </w:p>
            </w:tc>
          </w:sdtContent>
        </w:sdt>
        <w:sdt>
          <w:sdtPr>
            <w:rPr>
              <w:color w:val="000000" w:themeColor="text1"/>
            </w:rPr>
            <w:tag w:val="_PLD_608d0086e1154f8ca6d3c34247132ef0"/>
            <w:id w:val="-685525890"/>
          </w:sdtPr>
          <w:sdtEndPr/>
          <w:sdtContent>
            <w:tc>
              <w:tcPr>
                <w:tcW w:w="1017" w:type="pct"/>
                <w:vMerge w:val="restart"/>
                <w:tcBorders>
                  <w:top w:val="single" w:sz="4" w:space="0" w:color="auto"/>
                  <w:left w:val="single" w:sz="4" w:space="0" w:color="auto"/>
                  <w:right w:val="single" w:sz="4" w:space="0" w:color="auto"/>
                </w:tcBorders>
                <w:vAlign w:val="center"/>
              </w:tcPr>
              <w:p w:rsidR="000C5659" w:rsidRDefault="000E33C4">
                <w:pPr>
                  <w:jc w:val="center"/>
                  <w:rPr>
                    <w:color w:val="000000" w:themeColor="text1"/>
                  </w:rPr>
                </w:pPr>
                <w:r>
                  <w:rPr>
                    <w:color w:val="000000" w:themeColor="text1"/>
                  </w:rPr>
                  <w:t>加权平均净资产收益率（%）</w:t>
                </w:r>
              </w:p>
            </w:tc>
          </w:sdtContent>
        </w:sdt>
        <w:sdt>
          <w:sdtPr>
            <w:rPr>
              <w:color w:val="000000" w:themeColor="text1"/>
            </w:rPr>
            <w:tag w:val="_PLD_8b4a0bf973be4a19862ac5168193db93"/>
            <w:id w:val="-1274704655"/>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color w:val="000000" w:themeColor="text1"/>
                  </w:rPr>
                  <w:t>每股收益</w:t>
                </w:r>
              </w:p>
            </w:tc>
          </w:sdtContent>
        </w:sdt>
      </w:tr>
      <w:tr w:rsidR="000C5659">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0C5659" w:rsidRDefault="000C5659">
            <w:pPr>
              <w:jc w:val="center"/>
              <w:rPr>
                <w:color w:val="000000" w:themeColor="text1"/>
              </w:rPr>
            </w:pPr>
          </w:p>
        </w:tc>
        <w:tc>
          <w:tcPr>
            <w:tcW w:w="1017" w:type="pct"/>
            <w:vMerge/>
            <w:tcBorders>
              <w:left w:val="single" w:sz="4" w:space="0" w:color="auto"/>
              <w:bottom w:val="single" w:sz="4" w:space="0" w:color="auto"/>
              <w:right w:val="single" w:sz="4" w:space="0" w:color="auto"/>
            </w:tcBorders>
            <w:vAlign w:val="center"/>
          </w:tcPr>
          <w:p w:rsidR="000C5659" w:rsidRDefault="000C5659">
            <w:pPr>
              <w:jc w:val="center"/>
              <w:rPr>
                <w:color w:val="000000" w:themeColor="text1"/>
              </w:rPr>
            </w:pPr>
          </w:p>
        </w:tc>
        <w:sdt>
          <w:sdtPr>
            <w:rPr>
              <w:color w:val="000000" w:themeColor="text1"/>
            </w:rPr>
            <w:tag w:val="_PLD_45472770a81744249d77e54c2efc412a"/>
            <w:id w:val="1571382258"/>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color w:val="000000" w:themeColor="text1"/>
                  </w:rPr>
                  <w:t>基本每股收益</w:t>
                </w:r>
              </w:p>
            </w:tc>
          </w:sdtContent>
        </w:sdt>
        <w:sdt>
          <w:sdtPr>
            <w:rPr>
              <w:color w:val="000000" w:themeColor="text1"/>
            </w:rPr>
            <w:tag w:val="_PLD_c4e5be0bbc134fa28e28895e1a12e02c"/>
            <w:id w:val="-1647351723"/>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0C5659" w:rsidRDefault="000E33C4">
                <w:pPr>
                  <w:jc w:val="center"/>
                  <w:rPr>
                    <w:color w:val="000000" w:themeColor="text1"/>
                  </w:rPr>
                </w:pPr>
                <w:r>
                  <w:rPr>
                    <w:color w:val="000000" w:themeColor="text1"/>
                  </w:rPr>
                  <w:t>稀释每股收益</w:t>
                </w:r>
              </w:p>
            </w:tc>
          </w:sdtContent>
        </w:sdt>
      </w:tr>
      <w:tr w:rsidR="000C5659">
        <w:trPr>
          <w:trHeight w:val="360"/>
        </w:trPr>
        <w:tc>
          <w:tcPr>
            <w:tcW w:w="1610"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color w:val="000000" w:themeColor="text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2.65</w:t>
            </w:r>
          </w:p>
        </w:tc>
        <w:tc>
          <w:tcPr>
            <w:tcW w:w="1186"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0.33</w:t>
            </w:r>
          </w:p>
        </w:tc>
        <w:tc>
          <w:tcPr>
            <w:tcW w:w="1187"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0.33</w:t>
            </w:r>
          </w:p>
        </w:tc>
      </w:tr>
      <w:tr w:rsidR="000C5659">
        <w:trPr>
          <w:trHeight w:val="360"/>
        </w:trPr>
        <w:tc>
          <w:tcPr>
            <w:tcW w:w="1610" w:type="pct"/>
            <w:tcBorders>
              <w:top w:val="single" w:sz="4" w:space="0" w:color="auto"/>
              <w:left w:val="single" w:sz="4" w:space="0" w:color="auto"/>
              <w:bottom w:val="single" w:sz="4" w:space="0" w:color="auto"/>
              <w:right w:val="single" w:sz="4" w:space="0" w:color="auto"/>
            </w:tcBorders>
          </w:tcPr>
          <w:p w:rsidR="000C5659" w:rsidRDefault="000E33C4">
            <w:pPr>
              <w:rPr>
                <w:color w:val="000000" w:themeColor="text1"/>
              </w:rPr>
            </w:pPr>
            <w:r>
              <w:rPr>
                <w:color w:val="000000" w:themeColor="text1"/>
              </w:rPr>
              <w:lastRenderedPageBreak/>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2.52</w:t>
            </w:r>
          </w:p>
        </w:tc>
        <w:tc>
          <w:tcPr>
            <w:tcW w:w="1186"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0.31</w:t>
            </w:r>
          </w:p>
        </w:tc>
        <w:tc>
          <w:tcPr>
            <w:tcW w:w="1187" w:type="pct"/>
            <w:tcBorders>
              <w:top w:val="single" w:sz="4" w:space="0" w:color="auto"/>
              <w:left w:val="single" w:sz="4" w:space="0" w:color="auto"/>
              <w:bottom w:val="single" w:sz="4" w:space="0" w:color="auto"/>
              <w:right w:val="single" w:sz="4" w:space="0" w:color="auto"/>
            </w:tcBorders>
          </w:tcPr>
          <w:p w:rsidR="000C5659" w:rsidRDefault="000E33C4">
            <w:pPr>
              <w:jc w:val="right"/>
            </w:pPr>
            <w:r>
              <w:rPr>
                <w:rFonts w:hint="eastAsia"/>
              </w:rPr>
              <w:t>0.31</w:t>
            </w:r>
          </w:p>
        </w:tc>
      </w:tr>
    </w:tbl>
    <w:p w:rsidR="000C5659" w:rsidRDefault="000C5659">
      <w:pPr>
        <w:rPr>
          <w:color w:val="000000" w:themeColor="text1"/>
        </w:rPr>
      </w:pPr>
    </w:p>
    <w:p w:rsidR="000C5659" w:rsidRDefault="000E33C4" w:rsidP="000743DD">
      <w:pPr>
        <w:pStyle w:val="35"/>
        <w:numPr>
          <w:ilvl w:val="0"/>
          <w:numId w:val="123"/>
        </w:numPr>
        <w:rPr>
          <w:rFonts w:ascii="宋体" w:hAnsi="宋体"/>
          <w:color w:val="000000" w:themeColor="text1"/>
          <w:szCs w:val="21"/>
        </w:rPr>
      </w:pPr>
      <w:r>
        <w:rPr>
          <w:rFonts w:ascii="宋体" w:hAnsi="宋体" w:hint="eastAsia"/>
          <w:color w:val="000000" w:themeColor="text1"/>
          <w:szCs w:val="21"/>
        </w:rPr>
        <w:t>境内外会计准则下会计数据差异</w:t>
      </w:r>
    </w:p>
    <w:sdt>
      <w:sdtPr>
        <w:rPr>
          <w:color w:val="000000" w:themeColor="text1"/>
        </w:rPr>
        <w:alias w:val="是否适用：境内外会计准则下会计数据差异[双击切换]"/>
        <w:tag w:val="_GBC_3482333eff2948139884cfdd1debc958"/>
        <w:id w:val="-761302080"/>
        <w:placeholder>
          <w:docPart w:val="GBC22222222222222222222222222222"/>
        </w:placeholder>
      </w:sdtPr>
      <w:sdtEndPr/>
      <w:sdtContent>
        <w:p w:rsidR="000C5659" w:rsidRDefault="000E33C4">
          <w:pPr>
            <w:rPr>
              <w:rFonts w:cstheme="minorBidi"/>
              <w:color w:val="000000" w:themeColor="text1"/>
              <w:kern w:val="2"/>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rPr>
          <w:color w:val="000000" w:themeColor="text1"/>
        </w:rPr>
      </w:pPr>
    </w:p>
    <w:p w:rsidR="000C5659" w:rsidRDefault="000E33C4" w:rsidP="000743DD">
      <w:pPr>
        <w:pStyle w:val="35"/>
        <w:numPr>
          <w:ilvl w:val="0"/>
          <w:numId w:val="123"/>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补充资料其他说明事项[双击切换]"/>
        <w:tag w:val="_GBC_8954f89f8426424c966f1b658de53fe5"/>
        <w:id w:val="-660769223"/>
        <w:placeholder>
          <w:docPart w:val="GBC22222222222222222222222222222"/>
        </w:placeholder>
      </w:sdtPr>
      <w:sdtEndPr/>
      <w:sdtContent>
        <w:p w:rsidR="000C5659" w:rsidRDefault="000E33C4">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rsidR="000C5659" w:rsidRDefault="000C5659">
      <w:pPr>
        <w:spacing w:line="360" w:lineRule="exact"/>
        <w:ind w:right="5"/>
        <w:rPr>
          <w:b/>
          <w:color w:val="000000" w:themeColor="text1"/>
          <w:sz w:val="24"/>
        </w:rPr>
      </w:pPr>
    </w:p>
    <w:p w:rsidR="000C5659" w:rsidRDefault="000E33C4">
      <w:pPr>
        <w:wordWrap w:val="0"/>
        <w:spacing w:line="360" w:lineRule="exact"/>
        <w:jc w:val="right"/>
        <w:rPr>
          <w:color w:val="000000" w:themeColor="text1"/>
          <w:u w:val="single"/>
        </w:rPr>
      </w:pPr>
      <w:r>
        <w:rPr>
          <w:color w:val="000000" w:themeColor="text1"/>
        </w:rPr>
        <w:t>董事长：</w:t>
      </w:r>
      <w:sdt>
        <w:sdtPr>
          <w:rPr>
            <w:color w:val="000000" w:themeColor="text1"/>
          </w:rPr>
          <w:alias w:val="报告发布人"/>
          <w:tag w:val="_GBC_f07cbb7287a94e798691f7fcb5112f49"/>
          <w:id w:val="-1130242046"/>
          <w:placeholder>
            <w:docPart w:val="GBC22222222222222222222222222222"/>
          </w:placeholder>
        </w:sdtPr>
        <w:sdtEndPr/>
        <w:sdtContent>
          <w:r>
            <w:rPr>
              <w:rFonts w:hint="eastAsia"/>
              <w:color w:val="000000" w:themeColor="text1"/>
            </w:rPr>
            <w:t>张文生</w:t>
          </w:r>
        </w:sdtContent>
      </w:sdt>
      <w:r>
        <w:rPr>
          <w:rFonts w:hint="eastAsia"/>
          <w:color w:val="000000" w:themeColor="text1"/>
        </w:rPr>
        <w:t xml:space="preserve"> </w:t>
      </w:r>
    </w:p>
    <w:p w:rsidR="000C5659" w:rsidRDefault="000E33C4">
      <w:pPr>
        <w:spacing w:line="360" w:lineRule="exact"/>
        <w:jc w:val="right"/>
        <w:rPr>
          <w:color w:val="000000" w:themeColor="text1"/>
        </w:rPr>
      </w:pPr>
      <w:r>
        <w:rPr>
          <w:color w:val="000000" w:themeColor="text1"/>
        </w:rPr>
        <w:t>董事会批准报送日期：</w:t>
      </w:r>
      <w:sdt>
        <w:sdtPr>
          <w:rPr>
            <w:color w:val="000000" w:themeColor="text1"/>
          </w:rPr>
          <w:alias w:val="报告董事会批准报送日期"/>
          <w:tag w:val="_GBC_56d5d40e768a439aa604555fa2089c42"/>
          <w:id w:val="292022231"/>
          <w:placeholder>
            <w:docPart w:val="GBC22222222222222222222222222222"/>
          </w:placeholder>
          <w:date w:fullDate="2024-08-27T00:00:00Z">
            <w:dateFormat w:val="yyyy'年'M'月'd'日'"/>
            <w:lid w:val="zh-CN"/>
            <w:storeMappedDataAs w:val="dateTime"/>
            <w:calendar w:val="gregorian"/>
          </w:date>
        </w:sdtPr>
        <w:sdtEndPr/>
        <w:sdtContent>
          <w:r w:rsidR="00B708C8">
            <w:rPr>
              <w:rFonts w:hint="eastAsia"/>
              <w:color w:val="000000" w:themeColor="text1"/>
            </w:rPr>
            <w:t>2024年8月27日</w:t>
          </w:r>
        </w:sdtContent>
      </w:sdt>
      <w:r>
        <w:rPr>
          <w:rFonts w:hint="eastAsia"/>
          <w:color w:val="000000" w:themeColor="text1"/>
        </w:rPr>
        <w:t xml:space="preserve"> </w:t>
      </w:r>
    </w:p>
    <w:p w:rsidR="000C5659" w:rsidRDefault="000C5659">
      <w:pPr>
        <w:rPr>
          <w:color w:val="000000" w:themeColor="text1"/>
        </w:rPr>
      </w:pPr>
    </w:p>
    <w:p w:rsidR="000C5659" w:rsidRDefault="000C5659">
      <w:pPr>
        <w:spacing w:line="360" w:lineRule="exact"/>
        <w:ind w:right="5"/>
        <w:rPr>
          <w:color w:val="000000" w:themeColor="text1"/>
          <w:u w:val="single"/>
        </w:rPr>
      </w:pPr>
    </w:p>
    <w:p w:rsidR="000C5659" w:rsidRDefault="000E33C4">
      <w:pPr>
        <w:spacing w:line="360" w:lineRule="exact"/>
        <w:ind w:right="5"/>
        <w:rPr>
          <w:b/>
          <w:color w:val="000000" w:themeColor="text1"/>
          <w:sz w:val="24"/>
        </w:rPr>
      </w:pPr>
      <w:r>
        <w:rPr>
          <w:b/>
          <w:color w:val="000000" w:themeColor="text1"/>
          <w:sz w:val="24"/>
        </w:rPr>
        <w:t>修订信息</w:t>
      </w:r>
    </w:p>
    <w:sdt>
      <w:sdtPr>
        <w:rPr>
          <w:b/>
          <w:color w:val="000000" w:themeColor="text1"/>
        </w:rPr>
        <w:alias w:val="是否适用：修订信息表[双击切换]"/>
        <w:tag w:val="_GBC_77b96fad3b8a43478db82cf4cb9686be"/>
        <w:id w:val="-1688286251"/>
        <w:placeholder>
          <w:docPart w:val="GBC22222222222222222222222222222"/>
        </w:placeholder>
      </w:sdtPr>
      <w:sdtEndPr>
        <w:rPr>
          <w:b w:val="0"/>
        </w:rPr>
      </w:sdtEndPr>
      <w:sdtContent>
        <w:p w:rsidR="000C5659" w:rsidRDefault="000E33C4">
          <w:pPr>
            <w:spacing w:line="360" w:lineRule="exact"/>
            <w:ind w:right="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0C5659" w:rsidRDefault="000C5659">
      <w:pPr>
        <w:spacing w:line="360" w:lineRule="exact"/>
        <w:ind w:right="5"/>
        <w:rPr>
          <w:color w:val="000000" w:themeColor="text1"/>
        </w:rPr>
      </w:pPr>
    </w:p>
    <w:sectPr w:rsidR="000C5659">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B84" w:rsidRDefault="00220B84">
      <w:r>
        <w:separator/>
      </w:r>
    </w:p>
  </w:endnote>
  <w:endnote w:type="continuationSeparator" w:id="0">
    <w:p w:rsidR="00220B84" w:rsidRDefault="0022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002E0107" w:csb1="00000000"/>
  </w:font>
  <w:font w:name="FZLTSK--GBK1-0">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default"/>
    <w:sig w:usb0="00000000" w:usb1="00000000" w:usb2="00000010" w:usb3="00000000" w:csb0="00040000" w:csb1="00000000"/>
  </w:font>
  <w:font w:name="仿宋_GB2312">
    <w:altName w:val="仿宋"/>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719215"/>
    </w:sdtPr>
    <w:sdtEndPr/>
    <w:sdtContent>
      <w:sdt>
        <w:sdtPr>
          <w:id w:val="1444192324"/>
        </w:sdtPr>
        <w:sdtEndPr/>
        <w:sdtContent>
          <w:p w:rsidR="00C83B86" w:rsidRDefault="00C83B86">
            <w:pPr>
              <w:pStyle w:val="af7"/>
              <w:jc w:val="center"/>
            </w:pPr>
            <w:r>
              <w:rPr>
                <w:b/>
                <w:bCs/>
                <w:sz w:val="24"/>
                <w:szCs w:val="24"/>
              </w:rPr>
              <w:fldChar w:fldCharType="begin"/>
            </w:r>
            <w:r>
              <w:rPr>
                <w:b/>
              </w:rPr>
              <w:instrText>PAGE</w:instrText>
            </w:r>
            <w:r>
              <w:rPr>
                <w:b/>
                <w:bCs/>
                <w:sz w:val="24"/>
                <w:szCs w:val="24"/>
              </w:rPr>
              <w:fldChar w:fldCharType="separate"/>
            </w:r>
            <w:r w:rsidR="00FE61FC">
              <w:rPr>
                <w:b/>
                <w:noProof/>
              </w:rPr>
              <w:t>27</w:t>
            </w:r>
            <w:r>
              <w:rPr>
                <w:b/>
                <w:bCs/>
                <w:sz w:val="24"/>
                <w:szCs w:val="24"/>
              </w:rPr>
              <w:fldChar w:fldCharType="end"/>
            </w:r>
            <w:r>
              <w:rPr>
                <w:lang w:val="zh-CN"/>
              </w:rPr>
              <w:t xml:space="preserve"> / </w:t>
            </w:r>
            <w:r>
              <w:rPr>
                <w:b/>
                <w:bCs/>
                <w:sz w:val="24"/>
                <w:szCs w:val="24"/>
              </w:rPr>
              <w:fldChar w:fldCharType="begin"/>
            </w:r>
            <w:r>
              <w:rPr>
                <w:b/>
              </w:rPr>
              <w:instrText>NUMPAGES</w:instrText>
            </w:r>
            <w:r>
              <w:rPr>
                <w:b/>
                <w:bCs/>
                <w:sz w:val="24"/>
                <w:szCs w:val="24"/>
              </w:rPr>
              <w:fldChar w:fldCharType="separate"/>
            </w:r>
            <w:r w:rsidR="00FE61FC">
              <w:rPr>
                <w:b/>
                <w:noProof/>
              </w:rPr>
              <w:t>175</w:t>
            </w:r>
            <w:r>
              <w:rPr>
                <w:b/>
                <w:bCs/>
                <w:sz w:val="24"/>
                <w:szCs w:val="24"/>
              </w:rPr>
              <w:fldChar w:fldCharType="end"/>
            </w:r>
          </w:p>
        </w:sdtContent>
      </w:sdt>
    </w:sdtContent>
  </w:sdt>
  <w:p w:rsidR="00C83B86" w:rsidRDefault="00C83B86">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B84" w:rsidRDefault="00220B84">
      <w:r>
        <w:separator/>
      </w:r>
    </w:p>
  </w:footnote>
  <w:footnote w:type="continuationSeparator" w:id="0">
    <w:p w:rsidR="00220B84" w:rsidRDefault="00220B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86" w:rsidRDefault="00C83B86">
    <w:pPr>
      <w:pStyle w:val="af9"/>
      <w:tabs>
        <w:tab w:val="clear" w:pos="8306"/>
        <w:tab w:val="left" w:pos="8364"/>
        <w:tab w:val="left" w:pos="8505"/>
      </w:tabs>
      <w:ind w:rightChars="10" w:right="21"/>
      <w:rPr>
        <w:b/>
      </w:rPr>
    </w:pPr>
    <w:r>
      <w:rPr>
        <w:rFonts w:hint="eastAsia"/>
      </w:rPr>
      <w:t>2024</w:t>
    </w:r>
    <w:r>
      <w:rPr>
        <w:rFonts w:hint="eastAsia"/>
      </w:rPr>
      <w:t>年半年度报告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A19"/>
    <w:multiLevelType w:val="multilevel"/>
    <w:tmpl w:val="00810A19"/>
    <w:lvl w:ilvl="0">
      <w:start w:val="1"/>
      <w:numFmt w:val="decimal"/>
      <w:lvlText w:val="(%1). "/>
      <w:lvlJc w:val="left"/>
      <w:pPr>
        <w:ind w:left="851" w:hanging="425"/>
      </w:pPr>
      <w:rPr>
        <w:rFonts w:ascii="宋体" w:eastAsia="宋体" w:hAnsi="宋体" w:hint="eastAsia"/>
      </w:rPr>
    </w:lvl>
    <w:lvl w:ilvl="1">
      <w:start w:val="1"/>
      <w:numFmt w:val="chineseCountingThousand"/>
      <w:lvlText w:val="(%2)"/>
      <w:lvlJc w:val="left"/>
      <w:pPr>
        <w:ind w:left="2411" w:hanging="567"/>
      </w:pPr>
      <w:rPr>
        <w:rFonts w:hint="eastAsia"/>
      </w:rPr>
    </w:lvl>
    <w:lvl w:ilvl="2">
      <w:start w:val="1"/>
      <w:numFmt w:val="decimal"/>
      <w:lvlText w:val="%1.%2.%3."/>
      <w:lvlJc w:val="left"/>
      <w:pPr>
        <w:ind w:left="2553" w:hanging="709"/>
      </w:pPr>
      <w:rPr>
        <w:rFonts w:hint="eastAsia"/>
      </w:rPr>
    </w:lvl>
    <w:lvl w:ilvl="3">
      <w:start w:val="1"/>
      <w:numFmt w:val="decimal"/>
      <w:lvlText w:val="%1.%2.%3.%4."/>
      <w:lvlJc w:val="left"/>
      <w:pPr>
        <w:ind w:left="2695" w:hanging="851"/>
      </w:pPr>
      <w:rPr>
        <w:rFonts w:hint="eastAsia"/>
      </w:rPr>
    </w:lvl>
    <w:lvl w:ilvl="4">
      <w:start w:val="1"/>
      <w:numFmt w:val="decimal"/>
      <w:lvlText w:val="%1.%2.%3.%4.%5."/>
      <w:lvlJc w:val="left"/>
      <w:pPr>
        <w:ind w:left="2836" w:hanging="992"/>
      </w:pPr>
      <w:rPr>
        <w:rFonts w:hint="eastAsia"/>
      </w:rPr>
    </w:lvl>
    <w:lvl w:ilvl="5">
      <w:start w:val="1"/>
      <w:numFmt w:val="decimal"/>
      <w:lvlText w:val="%1.%2.%3.%4.%5.%6."/>
      <w:lvlJc w:val="left"/>
      <w:pPr>
        <w:ind w:left="2978" w:hanging="1134"/>
      </w:pPr>
      <w:rPr>
        <w:rFonts w:hint="eastAsia"/>
      </w:rPr>
    </w:lvl>
    <w:lvl w:ilvl="6">
      <w:start w:val="1"/>
      <w:numFmt w:val="decimal"/>
      <w:lvlText w:val="%1.%2.%3.%4.%5.%6.%7."/>
      <w:lvlJc w:val="left"/>
      <w:pPr>
        <w:ind w:left="3120" w:hanging="1276"/>
      </w:pPr>
      <w:rPr>
        <w:rFonts w:hint="eastAsia"/>
      </w:rPr>
    </w:lvl>
    <w:lvl w:ilvl="7">
      <w:start w:val="1"/>
      <w:numFmt w:val="decimal"/>
      <w:lvlText w:val="%1.%2.%3.%4.%5.%6.%7.%8."/>
      <w:lvlJc w:val="left"/>
      <w:pPr>
        <w:ind w:left="3262" w:hanging="1418"/>
      </w:pPr>
      <w:rPr>
        <w:rFonts w:hint="eastAsia"/>
      </w:rPr>
    </w:lvl>
    <w:lvl w:ilvl="8">
      <w:start w:val="1"/>
      <w:numFmt w:val="decimal"/>
      <w:lvlText w:val="%1.%2.%3.%4.%5.%6.%7.%8.%9."/>
      <w:lvlJc w:val="left"/>
      <w:pPr>
        <w:ind w:left="3403" w:hanging="1559"/>
      </w:pPr>
      <w:rPr>
        <w:rFonts w:hint="eastAsia"/>
      </w:rPr>
    </w:lvl>
  </w:abstractNum>
  <w:abstractNum w:abstractNumId="1" w15:restartNumberingAfterBreak="0">
    <w:nsid w:val="02260D5E"/>
    <w:multiLevelType w:val="multilevel"/>
    <w:tmpl w:val="02260D5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039F23E8"/>
    <w:multiLevelType w:val="multilevel"/>
    <w:tmpl w:val="039F23E8"/>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4346009"/>
    <w:multiLevelType w:val="multilevel"/>
    <w:tmpl w:val="0434600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04C94000"/>
    <w:multiLevelType w:val="multilevel"/>
    <w:tmpl w:val="04C94000"/>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4FA1449"/>
    <w:multiLevelType w:val="multilevel"/>
    <w:tmpl w:val="04FA1449"/>
    <w:lvl w:ilvl="0">
      <w:start w:val="1"/>
      <w:numFmt w:val="bullet"/>
      <w:lvlText w:val=""/>
      <w:lvlJc w:val="left"/>
      <w:pPr>
        <w:ind w:left="1696" w:hanging="420"/>
      </w:pPr>
      <w:rPr>
        <w:rFonts w:ascii="Wingdings" w:hAnsi="Wingdings" w:hint="default"/>
        <w:sz w:val="15"/>
      </w:rPr>
    </w:lvl>
    <w:lvl w:ilvl="1">
      <w:start w:val="1"/>
      <w:numFmt w:val="bullet"/>
      <w:lvlText w:val=""/>
      <w:lvlJc w:val="left"/>
      <w:pPr>
        <w:ind w:left="2116" w:hanging="420"/>
      </w:pPr>
      <w:rPr>
        <w:rFonts w:ascii="Wingdings" w:hAnsi="Wingdings" w:hint="default"/>
      </w:rPr>
    </w:lvl>
    <w:lvl w:ilvl="2">
      <w:start w:val="1"/>
      <w:numFmt w:val="bullet"/>
      <w:lvlText w:val=""/>
      <w:lvlJc w:val="left"/>
      <w:pPr>
        <w:ind w:left="2536" w:hanging="420"/>
      </w:pPr>
      <w:rPr>
        <w:rFonts w:ascii="Wingdings" w:hAnsi="Wingdings" w:hint="default"/>
      </w:rPr>
    </w:lvl>
    <w:lvl w:ilvl="3">
      <w:start w:val="1"/>
      <w:numFmt w:val="bullet"/>
      <w:lvlText w:val=""/>
      <w:lvlJc w:val="left"/>
      <w:pPr>
        <w:ind w:left="2956" w:hanging="420"/>
      </w:pPr>
      <w:rPr>
        <w:rFonts w:ascii="Wingdings" w:hAnsi="Wingdings" w:hint="default"/>
      </w:rPr>
    </w:lvl>
    <w:lvl w:ilvl="4">
      <w:start w:val="1"/>
      <w:numFmt w:val="bullet"/>
      <w:lvlText w:val=""/>
      <w:lvlJc w:val="left"/>
      <w:pPr>
        <w:ind w:left="3376" w:hanging="420"/>
      </w:pPr>
      <w:rPr>
        <w:rFonts w:ascii="Wingdings" w:hAnsi="Wingdings" w:hint="default"/>
      </w:rPr>
    </w:lvl>
    <w:lvl w:ilvl="5">
      <w:start w:val="1"/>
      <w:numFmt w:val="bullet"/>
      <w:lvlText w:val=""/>
      <w:lvlJc w:val="left"/>
      <w:pPr>
        <w:ind w:left="3796" w:hanging="420"/>
      </w:pPr>
      <w:rPr>
        <w:rFonts w:ascii="Wingdings" w:hAnsi="Wingdings" w:hint="default"/>
      </w:rPr>
    </w:lvl>
    <w:lvl w:ilvl="6">
      <w:start w:val="1"/>
      <w:numFmt w:val="bullet"/>
      <w:lvlText w:val=""/>
      <w:lvlJc w:val="left"/>
      <w:pPr>
        <w:ind w:left="4216" w:hanging="420"/>
      </w:pPr>
      <w:rPr>
        <w:rFonts w:ascii="Wingdings" w:hAnsi="Wingdings" w:hint="default"/>
      </w:rPr>
    </w:lvl>
    <w:lvl w:ilvl="7">
      <w:start w:val="1"/>
      <w:numFmt w:val="bullet"/>
      <w:lvlText w:val=""/>
      <w:lvlJc w:val="left"/>
      <w:pPr>
        <w:ind w:left="4636" w:hanging="420"/>
      </w:pPr>
      <w:rPr>
        <w:rFonts w:ascii="Wingdings" w:hAnsi="Wingdings" w:hint="default"/>
      </w:rPr>
    </w:lvl>
    <w:lvl w:ilvl="8">
      <w:start w:val="1"/>
      <w:numFmt w:val="bullet"/>
      <w:lvlText w:val=""/>
      <w:lvlJc w:val="left"/>
      <w:pPr>
        <w:ind w:left="5056" w:hanging="420"/>
      </w:pPr>
      <w:rPr>
        <w:rFonts w:ascii="Wingdings" w:hAnsi="Wingdings" w:hint="default"/>
      </w:rPr>
    </w:lvl>
  </w:abstractNum>
  <w:abstractNum w:abstractNumId="6" w15:restartNumberingAfterBreak="0">
    <w:nsid w:val="05E42ECC"/>
    <w:multiLevelType w:val="multilevel"/>
    <w:tmpl w:val="05E42EC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67A13BC"/>
    <w:multiLevelType w:val="multilevel"/>
    <w:tmpl w:val="067A13BC"/>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A86602"/>
    <w:multiLevelType w:val="multilevel"/>
    <w:tmpl w:val="07A8660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B903252"/>
    <w:multiLevelType w:val="multilevel"/>
    <w:tmpl w:val="0B9032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BD05A56"/>
    <w:multiLevelType w:val="multilevel"/>
    <w:tmpl w:val="0BD05A56"/>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BF975CD"/>
    <w:multiLevelType w:val="multilevel"/>
    <w:tmpl w:val="0BF975CD"/>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0CBA7885"/>
    <w:multiLevelType w:val="multilevel"/>
    <w:tmpl w:val="0CBA7885"/>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EAD3BE7"/>
    <w:multiLevelType w:val="multilevel"/>
    <w:tmpl w:val="0EAD3BE7"/>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485810"/>
    <w:multiLevelType w:val="multilevel"/>
    <w:tmpl w:val="10485810"/>
    <w:lvl w:ilvl="0">
      <w:start w:val="83"/>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0647308"/>
    <w:multiLevelType w:val="multilevel"/>
    <w:tmpl w:val="10647308"/>
    <w:lvl w:ilvl="0">
      <w:start w:val="1"/>
      <w:numFmt w:val="decimal"/>
      <w:lvlText w:val="%1."/>
      <w:lvlJc w:val="left"/>
      <w:pPr>
        <w:ind w:left="420" w:hanging="420"/>
      </w:pPr>
      <w:rPr>
        <w:rFonts w:asciiTheme="minorEastAsia" w:eastAsiaTheme="minorEastAsia"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F6624B"/>
    <w:multiLevelType w:val="multilevel"/>
    <w:tmpl w:val="10F6624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14B17F5"/>
    <w:multiLevelType w:val="multilevel"/>
    <w:tmpl w:val="114B17F5"/>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4C27A0D"/>
    <w:multiLevelType w:val="multilevel"/>
    <w:tmpl w:val="14C27A0D"/>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14DE359A"/>
    <w:multiLevelType w:val="multilevel"/>
    <w:tmpl w:val="14DE359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6AA2D45"/>
    <w:multiLevelType w:val="multilevel"/>
    <w:tmpl w:val="16AA2D45"/>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16B30974"/>
    <w:multiLevelType w:val="multilevel"/>
    <w:tmpl w:val="16B309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15:restartNumberingAfterBreak="0">
    <w:nsid w:val="187576E1"/>
    <w:multiLevelType w:val="multilevel"/>
    <w:tmpl w:val="187576E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A1E2973"/>
    <w:multiLevelType w:val="multilevel"/>
    <w:tmpl w:val="1A1E2973"/>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1B194705"/>
    <w:multiLevelType w:val="multilevel"/>
    <w:tmpl w:val="1B194705"/>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15:restartNumberingAfterBreak="0">
    <w:nsid w:val="1B332DAE"/>
    <w:multiLevelType w:val="multilevel"/>
    <w:tmpl w:val="1B332DA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1E3E5B97"/>
    <w:multiLevelType w:val="multilevel"/>
    <w:tmpl w:val="1E3E5B97"/>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1E560999"/>
    <w:multiLevelType w:val="multilevel"/>
    <w:tmpl w:val="1E560999"/>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1E7D54A2"/>
    <w:multiLevelType w:val="multilevel"/>
    <w:tmpl w:val="1E7D54A2"/>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1EF4395F"/>
    <w:multiLevelType w:val="multilevel"/>
    <w:tmpl w:val="1EF4395F"/>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1F360752"/>
    <w:multiLevelType w:val="multilevel"/>
    <w:tmpl w:val="1F36075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2058037F"/>
    <w:multiLevelType w:val="multilevel"/>
    <w:tmpl w:val="2058037F"/>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210F7ED9"/>
    <w:multiLevelType w:val="multilevel"/>
    <w:tmpl w:val="210F7ED9"/>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3C16D2D"/>
    <w:multiLevelType w:val="multilevel"/>
    <w:tmpl w:val="23C16D2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258F22FD"/>
    <w:multiLevelType w:val="multilevel"/>
    <w:tmpl w:val="258F22FD"/>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6EC6878"/>
    <w:multiLevelType w:val="multilevel"/>
    <w:tmpl w:val="26EC687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8C55899"/>
    <w:multiLevelType w:val="multilevel"/>
    <w:tmpl w:val="28C55899"/>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28F44D96"/>
    <w:multiLevelType w:val="multilevel"/>
    <w:tmpl w:val="28F44D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8" w15:restartNumberingAfterBreak="0">
    <w:nsid w:val="2A6F2694"/>
    <w:multiLevelType w:val="multilevel"/>
    <w:tmpl w:val="2A6F269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BA22655"/>
    <w:multiLevelType w:val="multilevel"/>
    <w:tmpl w:val="2BA22655"/>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2D2B7D52"/>
    <w:multiLevelType w:val="multilevel"/>
    <w:tmpl w:val="2D2B7D5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2D39237B"/>
    <w:multiLevelType w:val="multilevel"/>
    <w:tmpl w:val="2D39237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2E0D54FA"/>
    <w:multiLevelType w:val="multilevel"/>
    <w:tmpl w:val="2E0D54FA"/>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2F95329E"/>
    <w:multiLevelType w:val="multilevel"/>
    <w:tmpl w:val="2F95329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306C646F"/>
    <w:multiLevelType w:val="multilevel"/>
    <w:tmpl w:val="306C646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0934187"/>
    <w:multiLevelType w:val="multilevel"/>
    <w:tmpl w:val="30934187"/>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15:restartNumberingAfterBreak="0">
    <w:nsid w:val="312473FB"/>
    <w:multiLevelType w:val="multilevel"/>
    <w:tmpl w:val="312473F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15:restartNumberingAfterBreak="0">
    <w:nsid w:val="32E70B7D"/>
    <w:multiLevelType w:val="multilevel"/>
    <w:tmpl w:val="32E70B7D"/>
    <w:lvl w:ilvl="0">
      <w:start w:val="1"/>
      <w:numFmt w:val="chineseCountingThousand"/>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33806956"/>
    <w:multiLevelType w:val="multilevel"/>
    <w:tmpl w:val="3380695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15:restartNumberingAfterBreak="0">
    <w:nsid w:val="33DD705A"/>
    <w:multiLevelType w:val="multilevel"/>
    <w:tmpl w:val="33DD705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33E77236"/>
    <w:multiLevelType w:val="multilevel"/>
    <w:tmpl w:val="33E77236"/>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372137F2"/>
    <w:multiLevelType w:val="multilevel"/>
    <w:tmpl w:val="372137F2"/>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37BF5B24"/>
    <w:multiLevelType w:val="multilevel"/>
    <w:tmpl w:val="37BF5B2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38F3702A"/>
    <w:multiLevelType w:val="multilevel"/>
    <w:tmpl w:val="38F3702A"/>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397B7302"/>
    <w:multiLevelType w:val="multilevel"/>
    <w:tmpl w:val="397B7302"/>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5" w15:restartNumberingAfterBreak="0">
    <w:nsid w:val="3B5E3C04"/>
    <w:multiLevelType w:val="multilevel"/>
    <w:tmpl w:val="3B5E3C04"/>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6" w15:restartNumberingAfterBreak="0">
    <w:nsid w:val="3C042F85"/>
    <w:multiLevelType w:val="multilevel"/>
    <w:tmpl w:val="3C042F8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15:restartNumberingAfterBreak="0">
    <w:nsid w:val="3C6D64CB"/>
    <w:multiLevelType w:val="multilevel"/>
    <w:tmpl w:val="3C6D64C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C6E7879"/>
    <w:multiLevelType w:val="multilevel"/>
    <w:tmpl w:val="3C6E787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DBC287A"/>
    <w:multiLevelType w:val="multilevel"/>
    <w:tmpl w:val="3DBC287A"/>
    <w:lvl w:ilvl="0">
      <w:start w:val="1"/>
      <w:numFmt w:val="decimal"/>
      <w:lvlText w:val="(%1)"/>
      <w:lvlJc w:val="left"/>
      <w:pPr>
        <w:ind w:left="435" w:hanging="435"/>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3F9E3EA1"/>
    <w:multiLevelType w:val="multilevel"/>
    <w:tmpl w:val="3F9E3EA1"/>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FAF50BE"/>
    <w:multiLevelType w:val="multilevel"/>
    <w:tmpl w:val="3FAF50BE"/>
    <w:lvl w:ilvl="0">
      <w:start w:val="2"/>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宋体"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2" w15:restartNumberingAfterBreak="0">
    <w:nsid w:val="3FCA6C2C"/>
    <w:multiLevelType w:val="multilevel"/>
    <w:tmpl w:val="3FCA6C2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41906C15"/>
    <w:multiLevelType w:val="multilevel"/>
    <w:tmpl w:val="41906C15"/>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2127CD2"/>
    <w:multiLevelType w:val="multilevel"/>
    <w:tmpl w:val="42127CD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446D47CD"/>
    <w:multiLevelType w:val="multilevel"/>
    <w:tmpl w:val="446D47CD"/>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455B000F"/>
    <w:multiLevelType w:val="multilevel"/>
    <w:tmpl w:val="455B000F"/>
    <w:lvl w:ilvl="0">
      <w:start w:val="1"/>
      <w:numFmt w:val="decimal"/>
      <w:lvlText w:val="(%1)"/>
      <w:lvlJc w:val="left"/>
      <w:pPr>
        <w:ind w:left="360" w:hanging="36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68B74A4"/>
    <w:multiLevelType w:val="multilevel"/>
    <w:tmpl w:val="468B74A4"/>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46CA054D"/>
    <w:multiLevelType w:val="multilevel"/>
    <w:tmpl w:val="46CA054D"/>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46E7415E"/>
    <w:multiLevelType w:val="multilevel"/>
    <w:tmpl w:val="46E7415E"/>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47030585"/>
    <w:multiLevelType w:val="multilevel"/>
    <w:tmpl w:val="4703058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9120771"/>
    <w:multiLevelType w:val="multilevel"/>
    <w:tmpl w:val="4912077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A7D61DA"/>
    <w:multiLevelType w:val="multilevel"/>
    <w:tmpl w:val="4A7D61DA"/>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4E8F0C67"/>
    <w:multiLevelType w:val="multilevel"/>
    <w:tmpl w:val="4E8F0C67"/>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4F967D2E"/>
    <w:multiLevelType w:val="multilevel"/>
    <w:tmpl w:val="4F967D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FD30D8D"/>
    <w:multiLevelType w:val="multilevel"/>
    <w:tmpl w:val="4FD30D8D"/>
    <w:lvl w:ilvl="0">
      <w:start w:val="84"/>
      <w:numFmt w:val="decimal"/>
      <w:lvlText w:val="%1、"/>
      <w:lvlJc w:val="left"/>
      <w:pPr>
        <w:ind w:left="0" w:firstLine="0"/>
      </w:pPr>
      <w:rPr>
        <w:rFonts w:ascii="宋体" w:eastAsia="宋体" w:hAnsi="宋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6" w15:restartNumberingAfterBreak="0">
    <w:nsid w:val="52584D62"/>
    <w:multiLevelType w:val="multilevel"/>
    <w:tmpl w:val="52584D6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532A29A2"/>
    <w:multiLevelType w:val="multilevel"/>
    <w:tmpl w:val="532A2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53F80B4D"/>
    <w:multiLevelType w:val="multilevel"/>
    <w:tmpl w:val="53F80B4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55840374"/>
    <w:multiLevelType w:val="multilevel"/>
    <w:tmpl w:val="558403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15:restartNumberingAfterBreak="0">
    <w:nsid w:val="562F10CA"/>
    <w:multiLevelType w:val="multilevel"/>
    <w:tmpl w:val="562F10CA"/>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56B80ACA"/>
    <w:multiLevelType w:val="multilevel"/>
    <w:tmpl w:val="56B80AC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2" w15:restartNumberingAfterBreak="0">
    <w:nsid w:val="5A651793"/>
    <w:multiLevelType w:val="multilevel"/>
    <w:tmpl w:val="5A65179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15:restartNumberingAfterBreak="0">
    <w:nsid w:val="5A9B48D2"/>
    <w:multiLevelType w:val="multilevel"/>
    <w:tmpl w:val="5A9B48D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15:restartNumberingAfterBreak="0">
    <w:nsid w:val="5C777CE6"/>
    <w:multiLevelType w:val="multilevel"/>
    <w:tmpl w:val="5C777CE6"/>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5D972165"/>
    <w:multiLevelType w:val="multilevel"/>
    <w:tmpl w:val="5D972165"/>
    <w:lvl w:ilvl="0">
      <w:start w:val="1"/>
      <w:numFmt w:val="decimal"/>
      <w:lvlText w:val="(%1)"/>
      <w:lvlJc w:val="left"/>
      <w:pPr>
        <w:ind w:left="360" w:hanging="36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5EC61FCE"/>
    <w:multiLevelType w:val="multilevel"/>
    <w:tmpl w:val="5EC61FCE"/>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7" w15:restartNumberingAfterBreak="0">
    <w:nsid w:val="5FCB28A7"/>
    <w:multiLevelType w:val="multilevel"/>
    <w:tmpl w:val="5FCB28A7"/>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618A263A"/>
    <w:multiLevelType w:val="multilevel"/>
    <w:tmpl w:val="618A263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61DE52BA"/>
    <w:multiLevelType w:val="multilevel"/>
    <w:tmpl w:val="61DE52BA"/>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0" w15:restartNumberingAfterBreak="0">
    <w:nsid w:val="646A0448"/>
    <w:multiLevelType w:val="multilevel"/>
    <w:tmpl w:val="646A0448"/>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65151658"/>
    <w:multiLevelType w:val="multilevel"/>
    <w:tmpl w:val="65151658"/>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92" w15:restartNumberingAfterBreak="0">
    <w:nsid w:val="66587CBF"/>
    <w:multiLevelType w:val="multilevel"/>
    <w:tmpl w:val="66587CB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66AC172C"/>
    <w:multiLevelType w:val="multilevel"/>
    <w:tmpl w:val="66AC172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67127281"/>
    <w:multiLevelType w:val="multilevel"/>
    <w:tmpl w:val="67127281"/>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pStyle w:val="Style232"/>
      <w:lvlText w:val="%3、"/>
      <w:lvlJc w:val="left"/>
      <w:pPr>
        <w:ind w:left="1135"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5" w15:restartNumberingAfterBreak="0">
    <w:nsid w:val="675450C8"/>
    <w:multiLevelType w:val="multilevel"/>
    <w:tmpl w:val="675450C8"/>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688D3079"/>
    <w:multiLevelType w:val="multilevel"/>
    <w:tmpl w:val="688D3079"/>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68961F15"/>
    <w:multiLevelType w:val="multilevel"/>
    <w:tmpl w:val="68961F15"/>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6A3D7750"/>
    <w:multiLevelType w:val="multilevel"/>
    <w:tmpl w:val="6A3D775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15:restartNumberingAfterBreak="0">
    <w:nsid w:val="6ADF3708"/>
    <w:multiLevelType w:val="multilevel"/>
    <w:tmpl w:val="6ADF370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6B670CC9"/>
    <w:multiLevelType w:val="multilevel"/>
    <w:tmpl w:val="6B670CC9"/>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6C5F4C82"/>
    <w:multiLevelType w:val="multilevel"/>
    <w:tmpl w:val="6C5F4C8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15:restartNumberingAfterBreak="0">
    <w:nsid w:val="6C6071D1"/>
    <w:multiLevelType w:val="multilevel"/>
    <w:tmpl w:val="6C6071D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6D064F99"/>
    <w:multiLevelType w:val="multilevel"/>
    <w:tmpl w:val="6D064F99"/>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6D912730"/>
    <w:multiLevelType w:val="multilevel"/>
    <w:tmpl w:val="6D91273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6DB46066"/>
    <w:multiLevelType w:val="multilevel"/>
    <w:tmpl w:val="6DB460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6" w15:restartNumberingAfterBreak="0">
    <w:nsid w:val="6E4C3588"/>
    <w:multiLevelType w:val="multilevel"/>
    <w:tmpl w:val="6E4C358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7" w15:restartNumberingAfterBreak="0">
    <w:nsid w:val="6EDA7FEC"/>
    <w:multiLevelType w:val="multilevel"/>
    <w:tmpl w:val="6EDA7FEC"/>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15:restartNumberingAfterBreak="0">
    <w:nsid w:val="6F9E5191"/>
    <w:multiLevelType w:val="multilevel"/>
    <w:tmpl w:val="6F9E519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6FA97CA9"/>
    <w:multiLevelType w:val="multilevel"/>
    <w:tmpl w:val="6FA97CA9"/>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707A4390"/>
    <w:multiLevelType w:val="multilevel"/>
    <w:tmpl w:val="707A4390"/>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15:restartNumberingAfterBreak="0">
    <w:nsid w:val="70CF065D"/>
    <w:multiLevelType w:val="multilevel"/>
    <w:tmpl w:val="70CF065D"/>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71453B14"/>
    <w:multiLevelType w:val="multilevel"/>
    <w:tmpl w:val="71453B14"/>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3" w15:restartNumberingAfterBreak="0">
    <w:nsid w:val="71AD5B2D"/>
    <w:multiLevelType w:val="multilevel"/>
    <w:tmpl w:val="71AD5B2D"/>
    <w:lvl w:ilvl="0">
      <w:start w:val="1"/>
      <w:numFmt w:val="decimal"/>
      <w:suff w:val="nothing"/>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4" w15:restartNumberingAfterBreak="0">
    <w:nsid w:val="71EE0CAB"/>
    <w:multiLevelType w:val="multilevel"/>
    <w:tmpl w:val="71EE0CAB"/>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15:restartNumberingAfterBreak="0">
    <w:nsid w:val="72BA2D57"/>
    <w:multiLevelType w:val="multilevel"/>
    <w:tmpl w:val="72BA2D57"/>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15:restartNumberingAfterBreak="0">
    <w:nsid w:val="74BA65BE"/>
    <w:multiLevelType w:val="multilevel"/>
    <w:tmpl w:val="74BA65BE"/>
    <w:lvl w:ilvl="0">
      <w:start w:val="1"/>
      <w:numFmt w:val="decimal"/>
      <w:lvlText w:val="%1、"/>
      <w:lvlJc w:val="left"/>
      <w:pPr>
        <w:ind w:left="0" w:firstLine="0"/>
      </w:pPr>
      <w:rPr>
        <w:rFonts w:ascii="宋体" w:eastAsia="宋体" w:hAnsi="宋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7" w15:restartNumberingAfterBreak="0">
    <w:nsid w:val="750508FB"/>
    <w:multiLevelType w:val="multilevel"/>
    <w:tmpl w:val="750508F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752308E3"/>
    <w:multiLevelType w:val="multilevel"/>
    <w:tmpl w:val="752308E3"/>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9" w15:restartNumberingAfterBreak="0">
    <w:nsid w:val="76934559"/>
    <w:multiLevelType w:val="multilevel"/>
    <w:tmpl w:val="76934559"/>
    <w:lvl w:ilvl="0">
      <w:start w:val="1"/>
      <w:numFmt w:val="bullet"/>
      <w:lvlText w:val=""/>
      <w:lvlJc w:val="left"/>
      <w:pPr>
        <w:ind w:left="1696" w:hanging="420"/>
      </w:pPr>
      <w:rPr>
        <w:rFonts w:ascii="Symbol" w:hAnsi="Symbol" w:hint="default"/>
      </w:rPr>
    </w:lvl>
    <w:lvl w:ilvl="1">
      <w:start w:val="1"/>
      <w:numFmt w:val="bullet"/>
      <w:lvlText w:val=""/>
      <w:lvlJc w:val="left"/>
      <w:pPr>
        <w:ind w:left="2116" w:hanging="420"/>
      </w:pPr>
      <w:rPr>
        <w:rFonts w:ascii="Wingdings" w:hAnsi="Wingdings" w:hint="default"/>
      </w:rPr>
    </w:lvl>
    <w:lvl w:ilvl="2">
      <w:start w:val="1"/>
      <w:numFmt w:val="bullet"/>
      <w:lvlText w:val=""/>
      <w:lvlJc w:val="left"/>
      <w:pPr>
        <w:ind w:left="2536" w:hanging="420"/>
      </w:pPr>
      <w:rPr>
        <w:rFonts w:ascii="Wingdings" w:hAnsi="Wingdings" w:hint="default"/>
      </w:rPr>
    </w:lvl>
    <w:lvl w:ilvl="3">
      <w:start w:val="1"/>
      <w:numFmt w:val="bullet"/>
      <w:lvlText w:val=""/>
      <w:lvlJc w:val="left"/>
      <w:pPr>
        <w:ind w:left="2956" w:hanging="420"/>
      </w:pPr>
      <w:rPr>
        <w:rFonts w:ascii="Wingdings" w:hAnsi="Wingdings" w:hint="default"/>
      </w:rPr>
    </w:lvl>
    <w:lvl w:ilvl="4">
      <w:start w:val="1"/>
      <w:numFmt w:val="bullet"/>
      <w:lvlText w:val=""/>
      <w:lvlJc w:val="left"/>
      <w:pPr>
        <w:ind w:left="3376" w:hanging="420"/>
      </w:pPr>
      <w:rPr>
        <w:rFonts w:ascii="Wingdings" w:hAnsi="Wingdings" w:hint="default"/>
      </w:rPr>
    </w:lvl>
    <w:lvl w:ilvl="5">
      <w:start w:val="1"/>
      <w:numFmt w:val="bullet"/>
      <w:lvlText w:val=""/>
      <w:lvlJc w:val="left"/>
      <w:pPr>
        <w:ind w:left="3796" w:hanging="420"/>
      </w:pPr>
      <w:rPr>
        <w:rFonts w:ascii="Wingdings" w:hAnsi="Wingdings" w:hint="default"/>
      </w:rPr>
    </w:lvl>
    <w:lvl w:ilvl="6">
      <w:start w:val="1"/>
      <w:numFmt w:val="bullet"/>
      <w:lvlText w:val=""/>
      <w:lvlJc w:val="left"/>
      <w:pPr>
        <w:ind w:left="4216" w:hanging="420"/>
      </w:pPr>
      <w:rPr>
        <w:rFonts w:ascii="Wingdings" w:hAnsi="Wingdings" w:hint="default"/>
      </w:rPr>
    </w:lvl>
    <w:lvl w:ilvl="7">
      <w:start w:val="1"/>
      <w:numFmt w:val="bullet"/>
      <w:lvlText w:val=""/>
      <w:lvlJc w:val="left"/>
      <w:pPr>
        <w:ind w:left="4636" w:hanging="420"/>
      </w:pPr>
      <w:rPr>
        <w:rFonts w:ascii="Wingdings" w:hAnsi="Wingdings" w:hint="default"/>
      </w:rPr>
    </w:lvl>
    <w:lvl w:ilvl="8">
      <w:start w:val="1"/>
      <w:numFmt w:val="bullet"/>
      <w:lvlText w:val=""/>
      <w:lvlJc w:val="left"/>
      <w:pPr>
        <w:ind w:left="5056" w:hanging="420"/>
      </w:pPr>
      <w:rPr>
        <w:rFonts w:ascii="Wingdings" w:hAnsi="Wingdings" w:hint="default"/>
      </w:rPr>
    </w:lvl>
  </w:abstractNum>
  <w:abstractNum w:abstractNumId="120" w15:restartNumberingAfterBreak="0">
    <w:nsid w:val="7A254130"/>
    <w:multiLevelType w:val="multilevel"/>
    <w:tmpl w:val="7A2541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7C854881"/>
    <w:multiLevelType w:val="multilevel"/>
    <w:tmpl w:val="7C854881"/>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2" w15:restartNumberingAfterBreak="0">
    <w:nsid w:val="7DD51D87"/>
    <w:multiLevelType w:val="multilevel"/>
    <w:tmpl w:val="7DD51D87"/>
    <w:lvl w:ilvl="0">
      <w:start w:val="2"/>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4"/>
  </w:num>
  <w:num w:numId="2">
    <w:abstractNumId w:val="47"/>
  </w:num>
  <w:num w:numId="3">
    <w:abstractNumId w:val="90"/>
  </w:num>
  <w:num w:numId="4">
    <w:abstractNumId w:val="50"/>
  </w:num>
  <w:num w:numId="5">
    <w:abstractNumId w:val="81"/>
  </w:num>
  <w:num w:numId="6">
    <w:abstractNumId w:val="58"/>
  </w:num>
  <w:num w:numId="7">
    <w:abstractNumId w:val="31"/>
  </w:num>
  <w:num w:numId="8">
    <w:abstractNumId w:val="24"/>
  </w:num>
  <w:num w:numId="9">
    <w:abstractNumId w:val="61"/>
  </w:num>
  <w:num w:numId="10">
    <w:abstractNumId w:val="109"/>
  </w:num>
  <w:num w:numId="11">
    <w:abstractNumId w:val="114"/>
  </w:num>
  <w:num w:numId="12">
    <w:abstractNumId w:val="105"/>
  </w:num>
  <w:num w:numId="13">
    <w:abstractNumId w:val="118"/>
  </w:num>
  <w:num w:numId="14">
    <w:abstractNumId w:val="72"/>
  </w:num>
  <w:num w:numId="15">
    <w:abstractNumId w:val="4"/>
  </w:num>
  <w:num w:numId="16">
    <w:abstractNumId w:val="44"/>
  </w:num>
  <w:num w:numId="17">
    <w:abstractNumId w:val="89"/>
  </w:num>
  <w:num w:numId="18">
    <w:abstractNumId w:val="53"/>
  </w:num>
  <w:num w:numId="19">
    <w:abstractNumId w:val="36"/>
  </w:num>
  <w:num w:numId="20">
    <w:abstractNumId w:val="92"/>
  </w:num>
  <w:num w:numId="21">
    <w:abstractNumId w:val="10"/>
  </w:num>
  <w:num w:numId="22">
    <w:abstractNumId w:val="106"/>
  </w:num>
  <w:num w:numId="23">
    <w:abstractNumId w:val="67"/>
  </w:num>
  <w:num w:numId="24">
    <w:abstractNumId w:val="29"/>
  </w:num>
  <w:num w:numId="25">
    <w:abstractNumId w:val="56"/>
  </w:num>
  <w:num w:numId="26">
    <w:abstractNumId w:val="97"/>
  </w:num>
  <w:num w:numId="27">
    <w:abstractNumId w:val="12"/>
  </w:num>
  <w:num w:numId="28">
    <w:abstractNumId w:val="100"/>
  </w:num>
  <w:num w:numId="29">
    <w:abstractNumId w:val="13"/>
  </w:num>
  <w:num w:numId="30">
    <w:abstractNumId w:val="122"/>
  </w:num>
  <w:num w:numId="31">
    <w:abstractNumId w:val="2"/>
  </w:num>
  <w:num w:numId="32">
    <w:abstractNumId w:val="86"/>
  </w:num>
  <w:num w:numId="33">
    <w:abstractNumId w:val="41"/>
  </w:num>
  <w:num w:numId="34">
    <w:abstractNumId w:val="48"/>
  </w:num>
  <w:num w:numId="35">
    <w:abstractNumId w:val="76"/>
  </w:num>
  <w:num w:numId="36">
    <w:abstractNumId w:val="95"/>
  </w:num>
  <w:num w:numId="37">
    <w:abstractNumId w:val="34"/>
  </w:num>
  <w:num w:numId="38">
    <w:abstractNumId w:val="15"/>
  </w:num>
  <w:num w:numId="39">
    <w:abstractNumId w:val="87"/>
  </w:num>
  <w:num w:numId="40">
    <w:abstractNumId w:val="88"/>
  </w:num>
  <w:num w:numId="41">
    <w:abstractNumId w:val="43"/>
  </w:num>
  <w:num w:numId="42">
    <w:abstractNumId w:val="60"/>
  </w:num>
  <w:num w:numId="43">
    <w:abstractNumId w:val="25"/>
  </w:num>
  <w:num w:numId="44">
    <w:abstractNumId w:val="8"/>
  </w:num>
  <w:num w:numId="45">
    <w:abstractNumId w:val="107"/>
  </w:num>
  <w:num w:numId="46">
    <w:abstractNumId w:val="5"/>
  </w:num>
  <w:num w:numId="47">
    <w:abstractNumId w:val="119"/>
  </w:num>
  <w:num w:numId="48">
    <w:abstractNumId w:val="3"/>
  </w:num>
  <w:num w:numId="49">
    <w:abstractNumId w:val="71"/>
  </w:num>
  <w:num w:numId="50">
    <w:abstractNumId w:val="116"/>
  </w:num>
  <w:num w:numId="51">
    <w:abstractNumId w:val="40"/>
  </w:num>
  <w:num w:numId="52">
    <w:abstractNumId w:val="62"/>
  </w:num>
  <w:num w:numId="53">
    <w:abstractNumId w:val="16"/>
  </w:num>
  <w:num w:numId="54">
    <w:abstractNumId w:val="113"/>
  </w:num>
  <w:num w:numId="55">
    <w:abstractNumId w:val="83"/>
  </w:num>
  <w:num w:numId="56">
    <w:abstractNumId w:val="120"/>
  </w:num>
  <w:num w:numId="57">
    <w:abstractNumId w:val="23"/>
  </w:num>
  <w:num w:numId="58">
    <w:abstractNumId w:val="19"/>
  </w:num>
  <w:num w:numId="59">
    <w:abstractNumId w:val="0"/>
  </w:num>
  <w:num w:numId="60">
    <w:abstractNumId w:val="55"/>
  </w:num>
  <w:num w:numId="61">
    <w:abstractNumId w:val="74"/>
  </w:num>
  <w:num w:numId="62">
    <w:abstractNumId w:val="103"/>
  </w:num>
  <w:num w:numId="63">
    <w:abstractNumId w:val="32"/>
  </w:num>
  <w:num w:numId="64">
    <w:abstractNumId w:val="69"/>
  </w:num>
  <w:num w:numId="65">
    <w:abstractNumId w:val="93"/>
  </w:num>
  <w:num w:numId="66">
    <w:abstractNumId w:val="37"/>
  </w:num>
  <w:num w:numId="67">
    <w:abstractNumId w:val="11"/>
  </w:num>
  <w:num w:numId="68">
    <w:abstractNumId w:val="102"/>
  </w:num>
  <w:num w:numId="69">
    <w:abstractNumId w:val="17"/>
  </w:num>
  <w:num w:numId="70">
    <w:abstractNumId w:val="18"/>
  </w:num>
  <w:num w:numId="71">
    <w:abstractNumId w:val="112"/>
  </w:num>
  <w:num w:numId="72">
    <w:abstractNumId w:val="99"/>
  </w:num>
  <w:num w:numId="73">
    <w:abstractNumId w:val="117"/>
  </w:num>
  <w:num w:numId="74">
    <w:abstractNumId w:val="7"/>
  </w:num>
  <w:num w:numId="75">
    <w:abstractNumId w:val="115"/>
  </w:num>
  <w:num w:numId="76">
    <w:abstractNumId w:val="26"/>
  </w:num>
  <w:num w:numId="77">
    <w:abstractNumId w:val="64"/>
  </w:num>
  <w:num w:numId="78">
    <w:abstractNumId w:val="28"/>
  </w:num>
  <w:num w:numId="79">
    <w:abstractNumId w:val="57"/>
  </w:num>
  <w:num w:numId="80">
    <w:abstractNumId w:val="104"/>
  </w:num>
  <w:num w:numId="81">
    <w:abstractNumId w:val="45"/>
  </w:num>
  <w:num w:numId="82">
    <w:abstractNumId w:val="21"/>
  </w:num>
  <w:num w:numId="83">
    <w:abstractNumId w:val="51"/>
  </w:num>
  <w:num w:numId="84">
    <w:abstractNumId w:val="73"/>
  </w:num>
  <w:num w:numId="85">
    <w:abstractNumId w:val="82"/>
  </w:num>
  <w:num w:numId="86">
    <w:abstractNumId w:val="121"/>
  </w:num>
  <w:num w:numId="87">
    <w:abstractNumId w:val="79"/>
  </w:num>
  <w:num w:numId="88">
    <w:abstractNumId w:val="27"/>
  </w:num>
  <w:num w:numId="89">
    <w:abstractNumId w:val="70"/>
  </w:num>
  <w:num w:numId="90">
    <w:abstractNumId w:val="54"/>
  </w:num>
  <w:num w:numId="91">
    <w:abstractNumId w:val="59"/>
  </w:num>
  <w:num w:numId="92">
    <w:abstractNumId w:val="14"/>
  </w:num>
  <w:num w:numId="93">
    <w:abstractNumId w:val="75"/>
  </w:num>
  <w:num w:numId="94">
    <w:abstractNumId w:val="9"/>
  </w:num>
  <w:num w:numId="95">
    <w:abstractNumId w:val="63"/>
  </w:num>
  <w:num w:numId="96">
    <w:abstractNumId w:val="42"/>
  </w:num>
  <w:num w:numId="97">
    <w:abstractNumId w:val="38"/>
  </w:num>
  <w:num w:numId="98">
    <w:abstractNumId w:val="101"/>
  </w:num>
  <w:num w:numId="99">
    <w:abstractNumId w:val="1"/>
  </w:num>
  <w:num w:numId="100">
    <w:abstractNumId w:val="6"/>
  </w:num>
  <w:num w:numId="101">
    <w:abstractNumId w:val="84"/>
  </w:num>
  <w:num w:numId="102">
    <w:abstractNumId w:val="20"/>
  </w:num>
  <w:num w:numId="103">
    <w:abstractNumId w:val="85"/>
  </w:num>
  <w:num w:numId="104">
    <w:abstractNumId w:val="66"/>
  </w:num>
  <w:num w:numId="105">
    <w:abstractNumId w:val="77"/>
  </w:num>
  <w:num w:numId="106">
    <w:abstractNumId w:val="78"/>
  </w:num>
  <w:num w:numId="107">
    <w:abstractNumId w:val="108"/>
  </w:num>
  <w:num w:numId="108">
    <w:abstractNumId w:val="111"/>
  </w:num>
  <w:num w:numId="109">
    <w:abstractNumId w:val="35"/>
  </w:num>
  <w:num w:numId="110">
    <w:abstractNumId w:val="33"/>
  </w:num>
  <w:num w:numId="111">
    <w:abstractNumId w:val="110"/>
  </w:num>
  <w:num w:numId="112">
    <w:abstractNumId w:val="22"/>
  </w:num>
  <w:num w:numId="113">
    <w:abstractNumId w:val="30"/>
  </w:num>
  <w:num w:numId="114">
    <w:abstractNumId w:val="49"/>
  </w:num>
  <w:num w:numId="115">
    <w:abstractNumId w:val="65"/>
  </w:num>
  <w:num w:numId="116">
    <w:abstractNumId w:val="80"/>
  </w:num>
  <w:num w:numId="117">
    <w:abstractNumId w:val="68"/>
  </w:num>
  <w:num w:numId="118">
    <w:abstractNumId w:val="98"/>
  </w:num>
  <w:num w:numId="119">
    <w:abstractNumId w:val="46"/>
  </w:num>
  <w:num w:numId="120">
    <w:abstractNumId w:val="91"/>
  </w:num>
  <w:num w:numId="121">
    <w:abstractNumId w:val="96"/>
  </w:num>
  <w:num w:numId="122">
    <w:abstractNumId w:val="52"/>
  </w:num>
  <w:num w:numId="123">
    <w:abstractNumId w:val="3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attachedTemplate r:id="rId1"/>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4NjI5OTBmMDM1ODFlMDkzNDFlZTFiMWNhZWU5ZTMifQ=="/>
    <w:docVar w:name="Disclosure_Version" w:val="true"/>
    <w:docVar w:name="RemovedBindingXPath" w:val="true"/>
  </w:docVars>
  <w:rsids>
    <w:rsidRoot w:val="00DD256F"/>
    <w:rsid w:val="000005A6"/>
    <w:rsid w:val="00000650"/>
    <w:rsid w:val="000006AC"/>
    <w:rsid w:val="0000102D"/>
    <w:rsid w:val="0000104D"/>
    <w:rsid w:val="00001469"/>
    <w:rsid w:val="000015C9"/>
    <w:rsid w:val="00001B33"/>
    <w:rsid w:val="00001C02"/>
    <w:rsid w:val="00001C8F"/>
    <w:rsid w:val="00001E8C"/>
    <w:rsid w:val="000021DD"/>
    <w:rsid w:val="0000230E"/>
    <w:rsid w:val="000023F5"/>
    <w:rsid w:val="00002545"/>
    <w:rsid w:val="00002813"/>
    <w:rsid w:val="000028BC"/>
    <w:rsid w:val="00002973"/>
    <w:rsid w:val="000031E6"/>
    <w:rsid w:val="000031ED"/>
    <w:rsid w:val="000033A6"/>
    <w:rsid w:val="000033CD"/>
    <w:rsid w:val="0000372D"/>
    <w:rsid w:val="00003C39"/>
    <w:rsid w:val="00004021"/>
    <w:rsid w:val="00004043"/>
    <w:rsid w:val="0000455A"/>
    <w:rsid w:val="0000464C"/>
    <w:rsid w:val="000048B5"/>
    <w:rsid w:val="000049B1"/>
    <w:rsid w:val="00004ADF"/>
    <w:rsid w:val="00004E58"/>
    <w:rsid w:val="00005071"/>
    <w:rsid w:val="000053E2"/>
    <w:rsid w:val="0000568D"/>
    <w:rsid w:val="000061CF"/>
    <w:rsid w:val="0000690F"/>
    <w:rsid w:val="00006F34"/>
    <w:rsid w:val="00007207"/>
    <w:rsid w:val="0000722D"/>
    <w:rsid w:val="000075B3"/>
    <w:rsid w:val="00007BBD"/>
    <w:rsid w:val="00010147"/>
    <w:rsid w:val="00010216"/>
    <w:rsid w:val="0001033D"/>
    <w:rsid w:val="0001041D"/>
    <w:rsid w:val="0001046B"/>
    <w:rsid w:val="0001079D"/>
    <w:rsid w:val="00010F43"/>
    <w:rsid w:val="00010F83"/>
    <w:rsid w:val="000110A4"/>
    <w:rsid w:val="000117A3"/>
    <w:rsid w:val="000118B0"/>
    <w:rsid w:val="000121BF"/>
    <w:rsid w:val="000122EE"/>
    <w:rsid w:val="000122FE"/>
    <w:rsid w:val="0001231A"/>
    <w:rsid w:val="00012469"/>
    <w:rsid w:val="00012702"/>
    <w:rsid w:val="00012AFC"/>
    <w:rsid w:val="000130AF"/>
    <w:rsid w:val="000133F7"/>
    <w:rsid w:val="000135F6"/>
    <w:rsid w:val="000139E7"/>
    <w:rsid w:val="00013FF0"/>
    <w:rsid w:val="000140AF"/>
    <w:rsid w:val="000141F9"/>
    <w:rsid w:val="00014263"/>
    <w:rsid w:val="00014264"/>
    <w:rsid w:val="000143D4"/>
    <w:rsid w:val="00014850"/>
    <w:rsid w:val="0001497A"/>
    <w:rsid w:val="00014A2F"/>
    <w:rsid w:val="00014DF5"/>
    <w:rsid w:val="000155A0"/>
    <w:rsid w:val="0001578D"/>
    <w:rsid w:val="000159B6"/>
    <w:rsid w:val="00015DF7"/>
    <w:rsid w:val="00015DFB"/>
    <w:rsid w:val="00015F2B"/>
    <w:rsid w:val="000162D1"/>
    <w:rsid w:val="00016321"/>
    <w:rsid w:val="000163A5"/>
    <w:rsid w:val="00016625"/>
    <w:rsid w:val="00016D21"/>
    <w:rsid w:val="00017044"/>
    <w:rsid w:val="000171D4"/>
    <w:rsid w:val="000176B6"/>
    <w:rsid w:val="00017D54"/>
    <w:rsid w:val="00020074"/>
    <w:rsid w:val="000203A5"/>
    <w:rsid w:val="000205AB"/>
    <w:rsid w:val="00020605"/>
    <w:rsid w:val="00020728"/>
    <w:rsid w:val="00020D46"/>
    <w:rsid w:val="00020D71"/>
    <w:rsid w:val="00020DB9"/>
    <w:rsid w:val="0002110B"/>
    <w:rsid w:val="00021700"/>
    <w:rsid w:val="00021BD4"/>
    <w:rsid w:val="00021EE2"/>
    <w:rsid w:val="000224B7"/>
    <w:rsid w:val="00022507"/>
    <w:rsid w:val="000225C5"/>
    <w:rsid w:val="000226D3"/>
    <w:rsid w:val="0002292A"/>
    <w:rsid w:val="00022BAB"/>
    <w:rsid w:val="00022EDA"/>
    <w:rsid w:val="0002301E"/>
    <w:rsid w:val="000231BD"/>
    <w:rsid w:val="000231DC"/>
    <w:rsid w:val="0002327B"/>
    <w:rsid w:val="000238CF"/>
    <w:rsid w:val="000239D2"/>
    <w:rsid w:val="00023B2E"/>
    <w:rsid w:val="00023BEB"/>
    <w:rsid w:val="00023C73"/>
    <w:rsid w:val="00024547"/>
    <w:rsid w:val="00024829"/>
    <w:rsid w:val="00024AE1"/>
    <w:rsid w:val="00024B79"/>
    <w:rsid w:val="00025150"/>
    <w:rsid w:val="00025469"/>
    <w:rsid w:val="000258E3"/>
    <w:rsid w:val="00025E29"/>
    <w:rsid w:val="00025EAF"/>
    <w:rsid w:val="0002612F"/>
    <w:rsid w:val="000261BF"/>
    <w:rsid w:val="00026A17"/>
    <w:rsid w:val="00027348"/>
    <w:rsid w:val="000275C9"/>
    <w:rsid w:val="0002798D"/>
    <w:rsid w:val="00027DE9"/>
    <w:rsid w:val="000301D0"/>
    <w:rsid w:val="00030D68"/>
    <w:rsid w:val="0003136B"/>
    <w:rsid w:val="00031700"/>
    <w:rsid w:val="000317CB"/>
    <w:rsid w:val="000317E9"/>
    <w:rsid w:val="00031B72"/>
    <w:rsid w:val="0003243D"/>
    <w:rsid w:val="00032BA9"/>
    <w:rsid w:val="00032C24"/>
    <w:rsid w:val="00032FA8"/>
    <w:rsid w:val="0003337C"/>
    <w:rsid w:val="00033670"/>
    <w:rsid w:val="000337FB"/>
    <w:rsid w:val="0003390F"/>
    <w:rsid w:val="0003394A"/>
    <w:rsid w:val="00033EBB"/>
    <w:rsid w:val="0003408C"/>
    <w:rsid w:val="0003409A"/>
    <w:rsid w:val="00034289"/>
    <w:rsid w:val="0003436B"/>
    <w:rsid w:val="000343F2"/>
    <w:rsid w:val="0003468B"/>
    <w:rsid w:val="00034B22"/>
    <w:rsid w:val="00034C0D"/>
    <w:rsid w:val="00034FCE"/>
    <w:rsid w:val="000350AB"/>
    <w:rsid w:val="00035352"/>
    <w:rsid w:val="00035464"/>
    <w:rsid w:val="000360B1"/>
    <w:rsid w:val="0003626E"/>
    <w:rsid w:val="00036357"/>
    <w:rsid w:val="00036813"/>
    <w:rsid w:val="0003687B"/>
    <w:rsid w:val="00036F67"/>
    <w:rsid w:val="00037DB8"/>
    <w:rsid w:val="00037EBC"/>
    <w:rsid w:val="00037FBA"/>
    <w:rsid w:val="000406D8"/>
    <w:rsid w:val="00040830"/>
    <w:rsid w:val="00040925"/>
    <w:rsid w:val="00040B00"/>
    <w:rsid w:val="000411AF"/>
    <w:rsid w:val="0004146D"/>
    <w:rsid w:val="00041525"/>
    <w:rsid w:val="00041800"/>
    <w:rsid w:val="00041AC3"/>
    <w:rsid w:val="0004255F"/>
    <w:rsid w:val="00042574"/>
    <w:rsid w:val="00042694"/>
    <w:rsid w:val="000429EC"/>
    <w:rsid w:val="000429ED"/>
    <w:rsid w:val="00042AA6"/>
    <w:rsid w:val="00043335"/>
    <w:rsid w:val="00043483"/>
    <w:rsid w:val="000436FE"/>
    <w:rsid w:val="000438A3"/>
    <w:rsid w:val="00043C00"/>
    <w:rsid w:val="00043C6A"/>
    <w:rsid w:val="00043E96"/>
    <w:rsid w:val="00043EED"/>
    <w:rsid w:val="00044579"/>
    <w:rsid w:val="000446C9"/>
    <w:rsid w:val="00044D1E"/>
    <w:rsid w:val="00044DDC"/>
    <w:rsid w:val="00044FE0"/>
    <w:rsid w:val="00045032"/>
    <w:rsid w:val="000451ED"/>
    <w:rsid w:val="000453CA"/>
    <w:rsid w:val="00045DCB"/>
    <w:rsid w:val="00045F39"/>
    <w:rsid w:val="000460DC"/>
    <w:rsid w:val="00046284"/>
    <w:rsid w:val="00046637"/>
    <w:rsid w:val="00046882"/>
    <w:rsid w:val="000468DA"/>
    <w:rsid w:val="00046B18"/>
    <w:rsid w:val="00046BF9"/>
    <w:rsid w:val="00046C4A"/>
    <w:rsid w:val="00046D3F"/>
    <w:rsid w:val="00046DD2"/>
    <w:rsid w:val="00047141"/>
    <w:rsid w:val="000474D7"/>
    <w:rsid w:val="00047621"/>
    <w:rsid w:val="0004799E"/>
    <w:rsid w:val="00047AE9"/>
    <w:rsid w:val="0005000C"/>
    <w:rsid w:val="00050066"/>
    <w:rsid w:val="000500E7"/>
    <w:rsid w:val="000501F1"/>
    <w:rsid w:val="00050236"/>
    <w:rsid w:val="00050420"/>
    <w:rsid w:val="000505C7"/>
    <w:rsid w:val="000506CB"/>
    <w:rsid w:val="000517E2"/>
    <w:rsid w:val="00051BE5"/>
    <w:rsid w:val="000526A4"/>
    <w:rsid w:val="00052A23"/>
    <w:rsid w:val="00052B5B"/>
    <w:rsid w:val="00052B89"/>
    <w:rsid w:val="00052D38"/>
    <w:rsid w:val="00052FFA"/>
    <w:rsid w:val="000530E3"/>
    <w:rsid w:val="0005335F"/>
    <w:rsid w:val="000534F5"/>
    <w:rsid w:val="00053622"/>
    <w:rsid w:val="00053B29"/>
    <w:rsid w:val="00053E2E"/>
    <w:rsid w:val="00053F3F"/>
    <w:rsid w:val="000542E2"/>
    <w:rsid w:val="000544CE"/>
    <w:rsid w:val="0005451B"/>
    <w:rsid w:val="00054612"/>
    <w:rsid w:val="0005486C"/>
    <w:rsid w:val="00054D34"/>
    <w:rsid w:val="00054D9D"/>
    <w:rsid w:val="00055534"/>
    <w:rsid w:val="00055816"/>
    <w:rsid w:val="00055C3F"/>
    <w:rsid w:val="00055E16"/>
    <w:rsid w:val="00056012"/>
    <w:rsid w:val="0005601F"/>
    <w:rsid w:val="000561D7"/>
    <w:rsid w:val="000562C7"/>
    <w:rsid w:val="000567C0"/>
    <w:rsid w:val="000569CC"/>
    <w:rsid w:val="00056B8B"/>
    <w:rsid w:val="00056C4C"/>
    <w:rsid w:val="00056C73"/>
    <w:rsid w:val="00056E53"/>
    <w:rsid w:val="00056F8A"/>
    <w:rsid w:val="0005719E"/>
    <w:rsid w:val="00057259"/>
    <w:rsid w:val="000578C2"/>
    <w:rsid w:val="00057925"/>
    <w:rsid w:val="00057AD2"/>
    <w:rsid w:val="00057DA8"/>
    <w:rsid w:val="0006013C"/>
    <w:rsid w:val="00060342"/>
    <w:rsid w:val="000604A6"/>
    <w:rsid w:val="0006063C"/>
    <w:rsid w:val="0006075F"/>
    <w:rsid w:val="00060967"/>
    <w:rsid w:val="00060C85"/>
    <w:rsid w:val="00062017"/>
    <w:rsid w:val="000621AE"/>
    <w:rsid w:val="000622D5"/>
    <w:rsid w:val="0006271B"/>
    <w:rsid w:val="0006271F"/>
    <w:rsid w:val="00062889"/>
    <w:rsid w:val="00062AA3"/>
    <w:rsid w:val="00062B40"/>
    <w:rsid w:val="00062D8E"/>
    <w:rsid w:val="00063342"/>
    <w:rsid w:val="0006345B"/>
    <w:rsid w:val="0006350E"/>
    <w:rsid w:val="000636DE"/>
    <w:rsid w:val="00063893"/>
    <w:rsid w:val="000639D3"/>
    <w:rsid w:val="00063A04"/>
    <w:rsid w:val="00063A13"/>
    <w:rsid w:val="00063EE6"/>
    <w:rsid w:val="0006428E"/>
    <w:rsid w:val="0006463F"/>
    <w:rsid w:val="000647C7"/>
    <w:rsid w:val="00064ADF"/>
    <w:rsid w:val="00064F75"/>
    <w:rsid w:val="000654DF"/>
    <w:rsid w:val="000655E0"/>
    <w:rsid w:val="000658FD"/>
    <w:rsid w:val="00065914"/>
    <w:rsid w:val="00065B7B"/>
    <w:rsid w:val="00065D51"/>
    <w:rsid w:val="00066B5B"/>
    <w:rsid w:val="00066C7F"/>
    <w:rsid w:val="00066F8C"/>
    <w:rsid w:val="000670B7"/>
    <w:rsid w:val="0006739F"/>
    <w:rsid w:val="000674E9"/>
    <w:rsid w:val="0006751E"/>
    <w:rsid w:val="00067AEB"/>
    <w:rsid w:val="00070024"/>
    <w:rsid w:val="000701C3"/>
    <w:rsid w:val="0007035E"/>
    <w:rsid w:val="00070CFA"/>
    <w:rsid w:val="00070D92"/>
    <w:rsid w:val="00070E4B"/>
    <w:rsid w:val="00071243"/>
    <w:rsid w:val="00071310"/>
    <w:rsid w:val="0007147E"/>
    <w:rsid w:val="00072361"/>
    <w:rsid w:val="0007246C"/>
    <w:rsid w:val="00072963"/>
    <w:rsid w:val="000729B8"/>
    <w:rsid w:val="00072D7F"/>
    <w:rsid w:val="00073015"/>
    <w:rsid w:val="0007305C"/>
    <w:rsid w:val="000730ED"/>
    <w:rsid w:val="000732D5"/>
    <w:rsid w:val="00073520"/>
    <w:rsid w:val="00073539"/>
    <w:rsid w:val="00073BC2"/>
    <w:rsid w:val="000743DD"/>
    <w:rsid w:val="000745DB"/>
    <w:rsid w:val="00074C4E"/>
    <w:rsid w:val="00075026"/>
    <w:rsid w:val="0007507D"/>
    <w:rsid w:val="00075303"/>
    <w:rsid w:val="00075634"/>
    <w:rsid w:val="00075786"/>
    <w:rsid w:val="000758B2"/>
    <w:rsid w:val="00075C45"/>
    <w:rsid w:val="00075E3A"/>
    <w:rsid w:val="00075E54"/>
    <w:rsid w:val="00076117"/>
    <w:rsid w:val="00076419"/>
    <w:rsid w:val="000764FD"/>
    <w:rsid w:val="00077397"/>
    <w:rsid w:val="000778E2"/>
    <w:rsid w:val="000778F7"/>
    <w:rsid w:val="0008036E"/>
    <w:rsid w:val="00080509"/>
    <w:rsid w:val="000805BB"/>
    <w:rsid w:val="000808F7"/>
    <w:rsid w:val="000808FF"/>
    <w:rsid w:val="0008095D"/>
    <w:rsid w:val="00080A0F"/>
    <w:rsid w:val="00080FFA"/>
    <w:rsid w:val="00081017"/>
    <w:rsid w:val="0008105E"/>
    <w:rsid w:val="000816A2"/>
    <w:rsid w:val="00081820"/>
    <w:rsid w:val="000818E9"/>
    <w:rsid w:val="00081CB1"/>
    <w:rsid w:val="00081D4A"/>
    <w:rsid w:val="000822B6"/>
    <w:rsid w:val="0008231D"/>
    <w:rsid w:val="0008245F"/>
    <w:rsid w:val="00082700"/>
    <w:rsid w:val="00082A1A"/>
    <w:rsid w:val="00082AB1"/>
    <w:rsid w:val="00082E5B"/>
    <w:rsid w:val="000830E6"/>
    <w:rsid w:val="0008328D"/>
    <w:rsid w:val="0008332B"/>
    <w:rsid w:val="000837F0"/>
    <w:rsid w:val="00083804"/>
    <w:rsid w:val="000839C3"/>
    <w:rsid w:val="00083A51"/>
    <w:rsid w:val="00083C1E"/>
    <w:rsid w:val="00084008"/>
    <w:rsid w:val="000841ED"/>
    <w:rsid w:val="00084294"/>
    <w:rsid w:val="000843ED"/>
    <w:rsid w:val="00084531"/>
    <w:rsid w:val="00084634"/>
    <w:rsid w:val="000846BA"/>
    <w:rsid w:val="0008470A"/>
    <w:rsid w:val="00084A03"/>
    <w:rsid w:val="00084A3C"/>
    <w:rsid w:val="00084F00"/>
    <w:rsid w:val="000852E9"/>
    <w:rsid w:val="0008554E"/>
    <w:rsid w:val="00085C6B"/>
    <w:rsid w:val="00086291"/>
    <w:rsid w:val="00086652"/>
    <w:rsid w:val="000866A2"/>
    <w:rsid w:val="000868AD"/>
    <w:rsid w:val="000869A9"/>
    <w:rsid w:val="00086E28"/>
    <w:rsid w:val="00086EA7"/>
    <w:rsid w:val="000872AC"/>
    <w:rsid w:val="00087446"/>
    <w:rsid w:val="00087492"/>
    <w:rsid w:val="00087740"/>
    <w:rsid w:val="000877EF"/>
    <w:rsid w:val="000879D8"/>
    <w:rsid w:val="00087B6F"/>
    <w:rsid w:val="0009041E"/>
    <w:rsid w:val="00090454"/>
    <w:rsid w:val="00090892"/>
    <w:rsid w:val="00090ADC"/>
    <w:rsid w:val="00090C35"/>
    <w:rsid w:val="00090DA2"/>
    <w:rsid w:val="000912E1"/>
    <w:rsid w:val="0009141B"/>
    <w:rsid w:val="0009142A"/>
    <w:rsid w:val="00091466"/>
    <w:rsid w:val="00091724"/>
    <w:rsid w:val="00091743"/>
    <w:rsid w:val="000918CD"/>
    <w:rsid w:val="00091930"/>
    <w:rsid w:val="0009199A"/>
    <w:rsid w:val="00091E26"/>
    <w:rsid w:val="00091E44"/>
    <w:rsid w:val="0009268B"/>
    <w:rsid w:val="000927B1"/>
    <w:rsid w:val="00092823"/>
    <w:rsid w:val="00092C1E"/>
    <w:rsid w:val="00092F5A"/>
    <w:rsid w:val="00092FCE"/>
    <w:rsid w:val="000930A1"/>
    <w:rsid w:val="0009325E"/>
    <w:rsid w:val="000932D6"/>
    <w:rsid w:val="000934F7"/>
    <w:rsid w:val="000938DF"/>
    <w:rsid w:val="00093A9E"/>
    <w:rsid w:val="00094040"/>
    <w:rsid w:val="0009494E"/>
    <w:rsid w:val="00094993"/>
    <w:rsid w:val="00094A55"/>
    <w:rsid w:val="00094B11"/>
    <w:rsid w:val="00094FB5"/>
    <w:rsid w:val="00094FEC"/>
    <w:rsid w:val="00095082"/>
    <w:rsid w:val="000951D6"/>
    <w:rsid w:val="000952FD"/>
    <w:rsid w:val="00095382"/>
    <w:rsid w:val="00095388"/>
    <w:rsid w:val="000955B9"/>
    <w:rsid w:val="00095650"/>
    <w:rsid w:val="0009588E"/>
    <w:rsid w:val="00095920"/>
    <w:rsid w:val="000959C2"/>
    <w:rsid w:val="00095CD6"/>
    <w:rsid w:val="000960F5"/>
    <w:rsid w:val="00096335"/>
    <w:rsid w:val="0009650C"/>
    <w:rsid w:val="00096746"/>
    <w:rsid w:val="00096818"/>
    <w:rsid w:val="000968B4"/>
    <w:rsid w:val="00096AFD"/>
    <w:rsid w:val="00096E12"/>
    <w:rsid w:val="00097054"/>
    <w:rsid w:val="00097097"/>
    <w:rsid w:val="000970A0"/>
    <w:rsid w:val="000974B2"/>
    <w:rsid w:val="000975B1"/>
    <w:rsid w:val="000976C1"/>
    <w:rsid w:val="000979DB"/>
    <w:rsid w:val="00097B67"/>
    <w:rsid w:val="00097D61"/>
    <w:rsid w:val="00097E3C"/>
    <w:rsid w:val="000A04A2"/>
    <w:rsid w:val="000A0989"/>
    <w:rsid w:val="000A0B1A"/>
    <w:rsid w:val="000A0B4D"/>
    <w:rsid w:val="000A0F59"/>
    <w:rsid w:val="000A1026"/>
    <w:rsid w:val="000A11A5"/>
    <w:rsid w:val="000A13AB"/>
    <w:rsid w:val="000A1547"/>
    <w:rsid w:val="000A16A6"/>
    <w:rsid w:val="000A18AC"/>
    <w:rsid w:val="000A199C"/>
    <w:rsid w:val="000A1CBE"/>
    <w:rsid w:val="000A1DB6"/>
    <w:rsid w:val="000A1FAC"/>
    <w:rsid w:val="000A2323"/>
    <w:rsid w:val="000A25F6"/>
    <w:rsid w:val="000A26EE"/>
    <w:rsid w:val="000A2E48"/>
    <w:rsid w:val="000A32F5"/>
    <w:rsid w:val="000A3714"/>
    <w:rsid w:val="000A3B9A"/>
    <w:rsid w:val="000A3D84"/>
    <w:rsid w:val="000A3DD1"/>
    <w:rsid w:val="000A411D"/>
    <w:rsid w:val="000A4309"/>
    <w:rsid w:val="000A442A"/>
    <w:rsid w:val="000A4AE5"/>
    <w:rsid w:val="000A4B13"/>
    <w:rsid w:val="000A4BB0"/>
    <w:rsid w:val="000A4C9E"/>
    <w:rsid w:val="000A5126"/>
    <w:rsid w:val="000A5162"/>
    <w:rsid w:val="000A5368"/>
    <w:rsid w:val="000A563E"/>
    <w:rsid w:val="000A5704"/>
    <w:rsid w:val="000A59E8"/>
    <w:rsid w:val="000A5A58"/>
    <w:rsid w:val="000A6410"/>
    <w:rsid w:val="000A6574"/>
    <w:rsid w:val="000A67B6"/>
    <w:rsid w:val="000A6993"/>
    <w:rsid w:val="000A6A70"/>
    <w:rsid w:val="000A6B96"/>
    <w:rsid w:val="000A6E76"/>
    <w:rsid w:val="000A6F48"/>
    <w:rsid w:val="000A700E"/>
    <w:rsid w:val="000A7216"/>
    <w:rsid w:val="000A7352"/>
    <w:rsid w:val="000A73D5"/>
    <w:rsid w:val="000A74D2"/>
    <w:rsid w:val="000A76D3"/>
    <w:rsid w:val="000A78D8"/>
    <w:rsid w:val="000A78FD"/>
    <w:rsid w:val="000A799A"/>
    <w:rsid w:val="000A7B5E"/>
    <w:rsid w:val="000A7C6A"/>
    <w:rsid w:val="000A7FB5"/>
    <w:rsid w:val="000B014F"/>
    <w:rsid w:val="000B0362"/>
    <w:rsid w:val="000B0374"/>
    <w:rsid w:val="000B0421"/>
    <w:rsid w:val="000B06F8"/>
    <w:rsid w:val="000B0865"/>
    <w:rsid w:val="000B09B7"/>
    <w:rsid w:val="000B0A3F"/>
    <w:rsid w:val="000B0B94"/>
    <w:rsid w:val="000B0EE6"/>
    <w:rsid w:val="000B1AD4"/>
    <w:rsid w:val="000B1DB7"/>
    <w:rsid w:val="000B205F"/>
    <w:rsid w:val="000B2333"/>
    <w:rsid w:val="000B23C8"/>
    <w:rsid w:val="000B28AE"/>
    <w:rsid w:val="000B28F3"/>
    <w:rsid w:val="000B2E53"/>
    <w:rsid w:val="000B3182"/>
    <w:rsid w:val="000B31E0"/>
    <w:rsid w:val="000B34A8"/>
    <w:rsid w:val="000B3523"/>
    <w:rsid w:val="000B3557"/>
    <w:rsid w:val="000B363F"/>
    <w:rsid w:val="000B3C1D"/>
    <w:rsid w:val="000B3CF9"/>
    <w:rsid w:val="000B40F2"/>
    <w:rsid w:val="000B457A"/>
    <w:rsid w:val="000B4A82"/>
    <w:rsid w:val="000B4B18"/>
    <w:rsid w:val="000B4BDA"/>
    <w:rsid w:val="000B5098"/>
    <w:rsid w:val="000B53CC"/>
    <w:rsid w:val="000B5590"/>
    <w:rsid w:val="000B5992"/>
    <w:rsid w:val="000B5B67"/>
    <w:rsid w:val="000B5F9A"/>
    <w:rsid w:val="000B6028"/>
    <w:rsid w:val="000B6B2E"/>
    <w:rsid w:val="000B6BC7"/>
    <w:rsid w:val="000B6C50"/>
    <w:rsid w:val="000B6C66"/>
    <w:rsid w:val="000B6D7B"/>
    <w:rsid w:val="000B717E"/>
    <w:rsid w:val="000B7F17"/>
    <w:rsid w:val="000B7FED"/>
    <w:rsid w:val="000C0038"/>
    <w:rsid w:val="000C01B8"/>
    <w:rsid w:val="000C030E"/>
    <w:rsid w:val="000C0519"/>
    <w:rsid w:val="000C063C"/>
    <w:rsid w:val="000C064E"/>
    <w:rsid w:val="000C0C72"/>
    <w:rsid w:val="000C0D45"/>
    <w:rsid w:val="000C0F63"/>
    <w:rsid w:val="000C1395"/>
    <w:rsid w:val="000C18E7"/>
    <w:rsid w:val="000C1CEC"/>
    <w:rsid w:val="000C208A"/>
    <w:rsid w:val="000C2197"/>
    <w:rsid w:val="000C22ED"/>
    <w:rsid w:val="000C25F5"/>
    <w:rsid w:val="000C2687"/>
    <w:rsid w:val="000C26CB"/>
    <w:rsid w:val="000C26F5"/>
    <w:rsid w:val="000C2809"/>
    <w:rsid w:val="000C29DF"/>
    <w:rsid w:val="000C2C2E"/>
    <w:rsid w:val="000C3232"/>
    <w:rsid w:val="000C37A8"/>
    <w:rsid w:val="000C3A06"/>
    <w:rsid w:val="000C3D52"/>
    <w:rsid w:val="000C40B3"/>
    <w:rsid w:val="000C40F6"/>
    <w:rsid w:val="000C4401"/>
    <w:rsid w:val="000C4622"/>
    <w:rsid w:val="000C4768"/>
    <w:rsid w:val="000C4778"/>
    <w:rsid w:val="000C4B1F"/>
    <w:rsid w:val="000C4C03"/>
    <w:rsid w:val="000C4C69"/>
    <w:rsid w:val="000C5085"/>
    <w:rsid w:val="000C51AC"/>
    <w:rsid w:val="000C52A2"/>
    <w:rsid w:val="000C5659"/>
    <w:rsid w:val="000C5A57"/>
    <w:rsid w:val="000C5B58"/>
    <w:rsid w:val="000C5B78"/>
    <w:rsid w:val="000C60FC"/>
    <w:rsid w:val="000C631B"/>
    <w:rsid w:val="000C63C4"/>
    <w:rsid w:val="000C6560"/>
    <w:rsid w:val="000C698C"/>
    <w:rsid w:val="000C6A05"/>
    <w:rsid w:val="000C6DAE"/>
    <w:rsid w:val="000C7013"/>
    <w:rsid w:val="000C7371"/>
    <w:rsid w:val="000C753D"/>
    <w:rsid w:val="000C7691"/>
    <w:rsid w:val="000C7889"/>
    <w:rsid w:val="000C7C71"/>
    <w:rsid w:val="000C7D9C"/>
    <w:rsid w:val="000C7DF8"/>
    <w:rsid w:val="000C7F30"/>
    <w:rsid w:val="000D03A6"/>
    <w:rsid w:val="000D0486"/>
    <w:rsid w:val="000D057C"/>
    <w:rsid w:val="000D0BC7"/>
    <w:rsid w:val="000D0BE9"/>
    <w:rsid w:val="000D0E23"/>
    <w:rsid w:val="000D1028"/>
    <w:rsid w:val="000D1189"/>
    <w:rsid w:val="000D14E3"/>
    <w:rsid w:val="000D15CB"/>
    <w:rsid w:val="000D1629"/>
    <w:rsid w:val="000D1658"/>
    <w:rsid w:val="000D1E55"/>
    <w:rsid w:val="000D21BE"/>
    <w:rsid w:val="000D26CD"/>
    <w:rsid w:val="000D28CF"/>
    <w:rsid w:val="000D29B2"/>
    <w:rsid w:val="000D29B6"/>
    <w:rsid w:val="000D29E2"/>
    <w:rsid w:val="000D2C5E"/>
    <w:rsid w:val="000D2F52"/>
    <w:rsid w:val="000D3280"/>
    <w:rsid w:val="000D344E"/>
    <w:rsid w:val="000D3B03"/>
    <w:rsid w:val="000D3B07"/>
    <w:rsid w:val="000D3C2F"/>
    <w:rsid w:val="000D3CDE"/>
    <w:rsid w:val="000D4484"/>
    <w:rsid w:val="000D4964"/>
    <w:rsid w:val="000D49EB"/>
    <w:rsid w:val="000D4A3F"/>
    <w:rsid w:val="000D532F"/>
    <w:rsid w:val="000D5454"/>
    <w:rsid w:val="000D55C3"/>
    <w:rsid w:val="000D5A34"/>
    <w:rsid w:val="000D5D2A"/>
    <w:rsid w:val="000D5D3B"/>
    <w:rsid w:val="000D5D86"/>
    <w:rsid w:val="000D5DC0"/>
    <w:rsid w:val="000D61FD"/>
    <w:rsid w:val="000D636E"/>
    <w:rsid w:val="000D64DB"/>
    <w:rsid w:val="000D6BCB"/>
    <w:rsid w:val="000D6BE7"/>
    <w:rsid w:val="000D6D8F"/>
    <w:rsid w:val="000D7207"/>
    <w:rsid w:val="000D7213"/>
    <w:rsid w:val="000D7307"/>
    <w:rsid w:val="000D7448"/>
    <w:rsid w:val="000D7617"/>
    <w:rsid w:val="000D77D1"/>
    <w:rsid w:val="000D7885"/>
    <w:rsid w:val="000D79D8"/>
    <w:rsid w:val="000D7ABF"/>
    <w:rsid w:val="000D7D31"/>
    <w:rsid w:val="000D7E91"/>
    <w:rsid w:val="000E0052"/>
    <w:rsid w:val="000E01A1"/>
    <w:rsid w:val="000E03BD"/>
    <w:rsid w:val="000E0428"/>
    <w:rsid w:val="000E0548"/>
    <w:rsid w:val="000E073D"/>
    <w:rsid w:val="000E0A09"/>
    <w:rsid w:val="000E0A42"/>
    <w:rsid w:val="000E0C83"/>
    <w:rsid w:val="000E0D7D"/>
    <w:rsid w:val="000E0EB6"/>
    <w:rsid w:val="000E14B7"/>
    <w:rsid w:val="000E150F"/>
    <w:rsid w:val="000E1521"/>
    <w:rsid w:val="000E15A7"/>
    <w:rsid w:val="000E165C"/>
    <w:rsid w:val="000E17B3"/>
    <w:rsid w:val="000E18FC"/>
    <w:rsid w:val="000E1A1A"/>
    <w:rsid w:val="000E1ACA"/>
    <w:rsid w:val="000E1E69"/>
    <w:rsid w:val="000E1F6C"/>
    <w:rsid w:val="000E24F4"/>
    <w:rsid w:val="000E2820"/>
    <w:rsid w:val="000E2A08"/>
    <w:rsid w:val="000E2BE4"/>
    <w:rsid w:val="000E2E29"/>
    <w:rsid w:val="000E2EEF"/>
    <w:rsid w:val="000E32FE"/>
    <w:rsid w:val="000E33C4"/>
    <w:rsid w:val="000E34CD"/>
    <w:rsid w:val="000E35F2"/>
    <w:rsid w:val="000E3894"/>
    <w:rsid w:val="000E3BB8"/>
    <w:rsid w:val="000E3D2D"/>
    <w:rsid w:val="000E3EC7"/>
    <w:rsid w:val="000E3F9D"/>
    <w:rsid w:val="000E41A3"/>
    <w:rsid w:val="000E42FB"/>
    <w:rsid w:val="000E4352"/>
    <w:rsid w:val="000E45D4"/>
    <w:rsid w:val="000E4B54"/>
    <w:rsid w:val="000E518E"/>
    <w:rsid w:val="000E5491"/>
    <w:rsid w:val="000E567C"/>
    <w:rsid w:val="000E56D0"/>
    <w:rsid w:val="000E5B46"/>
    <w:rsid w:val="000E5DBD"/>
    <w:rsid w:val="000E6282"/>
    <w:rsid w:val="000E63A5"/>
    <w:rsid w:val="000E686A"/>
    <w:rsid w:val="000E6C67"/>
    <w:rsid w:val="000E6CD7"/>
    <w:rsid w:val="000E6F8A"/>
    <w:rsid w:val="000E70DA"/>
    <w:rsid w:val="000E7291"/>
    <w:rsid w:val="000E7666"/>
    <w:rsid w:val="000E779C"/>
    <w:rsid w:val="000E7956"/>
    <w:rsid w:val="000E7A93"/>
    <w:rsid w:val="000E7BB9"/>
    <w:rsid w:val="000E7BDC"/>
    <w:rsid w:val="000E7F24"/>
    <w:rsid w:val="000F001E"/>
    <w:rsid w:val="000F025D"/>
    <w:rsid w:val="000F0456"/>
    <w:rsid w:val="000F04EC"/>
    <w:rsid w:val="000F0542"/>
    <w:rsid w:val="000F0AFC"/>
    <w:rsid w:val="000F0CF0"/>
    <w:rsid w:val="000F13B4"/>
    <w:rsid w:val="000F14EC"/>
    <w:rsid w:val="000F1722"/>
    <w:rsid w:val="000F192B"/>
    <w:rsid w:val="000F1C83"/>
    <w:rsid w:val="000F2016"/>
    <w:rsid w:val="000F2289"/>
    <w:rsid w:val="000F262B"/>
    <w:rsid w:val="000F2712"/>
    <w:rsid w:val="000F2987"/>
    <w:rsid w:val="000F2990"/>
    <w:rsid w:val="000F2A73"/>
    <w:rsid w:val="000F2E1D"/>
    <w:rsid w:val="000F3016"/>
    <w:rsid w:val="000F3044"/>
    <w:rsid w:val="000F3234"/>
    <w:rsid w:val="000F36E8"/>
    <w:rsid w:val="000F3A6E"/>
    <w:rsid w:val="000F3BF7"/>
    <w:rsid w:val="000F3EB3"/>
    <w:rsid w:val="000F42F3"/>
    <w:rsid w:val="000F438A"/>
    <w:rsid w:val="000F460F"/>
    <w:rsid w:val="000F49E8"/>
    <w:rsid w:val="000F4C7A"/>
    <w:rsid w:val="000F509F"/>
    <w:rsid w:val="000F52DA"/>
    <w:rsid w:val="000F584A"/>
    <w:rsid w:val="000F58FD"/>
    <w:rsid w:val="000F59FB"/>
    <w:rsid w:val="000F5A86"/>
    <w:rsid w:val="000F5C77"/>
    <w:rsid w:val="000F5E14"/>
    <w:rsid w:val="000F6058"/>
    <w:rsid w:val="000F6939"/>
    <w:rsid w:val="000F6B1C"/>
    <w:rsid w:val="000F6DB7"/>
    <w:rsid w:val="000F6E38"/>
    <w:rsid w:val="000F6EE3"/>
    <w:rsid w:val="000F707C"/>
    <w:rsid w:val="000F7633"/>
    <w:rsid w:val="000F783D"/>
    <w:rsid w:val="000F7A62"/>
    <w:rsid w:val="000F7CB8"/>
    <w:rsid w:val="000F7D3C"/>
    <w:rsid w:val="00100112"/>
    <w:rsid w:val="0010063A"/>
    <w:rsid w:val="001007FD"/>
    <w:rsid w:val="00100C63"/>
    <w:rsid w:val="00100D86"/>
    <w:rsid w:val="001012ED"/>
    <w:rsid w:val="00101376"/>
    <w:rsid w:val="0010137F"/>
    <w:rsid w:val="00101613"/>
    <w:rsid w:val="001016FB"/>
    <w:rsid w:val="00101B38"/>
    <w:rsid w:val="00101B3A"/>
    <w:rsid w:val="00101BDF"/>
    <w:rsid w:val="00101C3D"/>
    <w:rsid w:val="00101FC7"/>
    <w:rsid w:val="00101FEB"/>
    <w:rsid w:val="001022D3"/>
    <w:rsid w:val="001026CF"/>
    <w:rsid w:val="001027DE"/>
    <w:rsid w:val="00102802"/>
    <w:rsid w:val="0010345C"/>
    <w:rsid w:val="00103661"/>
    <w:rsid w:val="001036AD"/>
    <w:rsid w:val="001038D1"/>
    <w:rsid w:val="00103BDD"/>
    <w:rsid w:val="00103E3E"/>
    <w:rsid w:val="00103FA7"/>
    <w:rsid w:val="00104074"/>
    <w:rsid w:val="00104087"/>
    <w:rsid w:val="00104479"/>
    <w:rsid w:val="001044B7"/>
    <w:rsid w:val="001044EA"/>
    <w:rsid w:val="001048FE"/>
    <w:rsid w:val="001049F3"/>
    <w:rsid w:val="00104B3B"/>
    <w:rsid w:val="00105238"/>
    <w:rsid w:val="001053DD"/>
    <w:rsid w:val="00105556"/>
    <w:rsid w:val="00105921"/>
    <w:rsid w:val="001059B0"/>
    <w:rsid w:val="001059D2"/>
    <w:rsid w:val="001059DB"/>
    <w:rsid w:val="001059F0"/>
    <w:rsid w:val="00105F72"/>
    <w:rsid w:val="00106740"/>
    <w:rsid w:val="0010687E"/>
    <w:rsid w:val="00106A04"/>
    <w:rsid w:val="00106CD7"/>
    <w:rsid w:val="00107599"/>
    <w:rsid w:val="001075C5"/>
    <w:rsid w:val="00107733"/>
    <w:rsid w:val="001079B0"/>
    <w:rsid w:val="00107A8E"/>
    <w:rsid w:val="00107CD9"/>
    <w:rsid w:val="00107F48"/>
    <w:rsid w:val="0011023E"/>
    <w:rsid w:val="00110611"/>
    <w:rsid w:val="00110717"/>
    <w:rsid w:val="00110BE7"/>
    <w:rsid w:val="00110D00"/>
    <w:rsid w:val="001116D4"/>
    <w:rsid w:val="00111BAC"/>
    <w:rsid w:val="00111D4E"/>
    <w:rsid w:val="00111E23"/>
    <w:rsid w:val="001121FB"/>
    <w:rsid w:val="00112302"/>
    <w:rsid w:val="001126AB"/>
    <w:rsid w:val="001127CC"/>
    <w:rsid w:val="00112E5D"/>
    <w:rsid w:val="001132A0"/>
    <w:rsid w:val="001133FC"/>
    <w:rsid w:val="0011341C"/>
    <w:rsid w:val="001137A6"/>
    <w:rsid w:val="001139E6"/>
    <w:rsid w:val="00113A48"/>
    <w:rsid w:val="00113B8D"/>
    <w:rsid w:val="00113D21"/>
    <w:rsid w:val="00113D60"/>
    <w:rsid w:val="00114189"/>
    <w:rsid w:val="001145C2"/>
    <w:rsid w:val="00114973"/>
    <w:rsid w:val="00114F3A"/>
    <w:rsid w:val="00115730"/>
    <w:rsid w:val="001157F1"/>
    <w:rsid w:val="0011587B"/>
    <w:rsid w:val="00115CFE"/>
    <w:rsid w:val="00116051"/>
    <w:rsid w:val="001165AE"/>
    <w:rsid w:val="001167C6"/>
    <w:rsid w:val="001167C8"/>
    <w:rsid w:val="001167D2"/>
    <w:rsid w:val="00116934"/>
    <w:rsid w:val="00116B75"/>
    <w:rsid w:val="00116D81"/>
    <w:rsid w:val="001170FA"/>
    <w:rsid w:val="0011735A"/>
    <w:rsid w:val="001173A8"/>
    <w:rsid w:val="00117404"/>
    <w:rsid w:val="00117599"/>
    <w:rsid w:val="00117706"/>
    <w:rsid w:val="00117BC3"/>
    <w:rsid w:val="00117EDA"/>
    <w:rsid w:val="00117FF2"/>
    <w:rsid w:val="0012016D"/>
    <w:rsid w:val="001203D4"/>
    <w:rsid w:val="0012063F"/>
    <w:rsid w:val="00120A6A"/>
    <w:rsid w:val="00120DF6"/>
    <w:rsid w:val="00120FDF"/>
    <w:rsid w:val="001214B4"/>
    <w:rsid w:val="00121512"/>
    <w:rsid w:val="0012158F"/>
    <w:rsid w:val="00121692"/>
    <w:rsid w:val="0012188F"/>
    <w:rsid w:val="001219AA"/>
    <w:rsid w:val="00121D15"/>
    <w:rsid w:val="00122228"/>
    <w:rsid w:val="00122BA4"/>
    <w:rsid w:val="00123009"/>
    <w:rsid w:val="001230F3"/>
    <w:rsid w:val="0012321F"/>
    <w:rsid w:val="001234DF"/>
    <w:rsid w:val="001239CD"/>
    <w:rsid w:val="00123F0A"/>
    <w:rsid w:val="0012439F"/>
    <w:rsid w:val="00124C57"/>
    <w:rsid w:val="001252F2"/>
    <w:rsid w:val="00125470"/>
    <w:rsid w:val="00125B27"/>
    <w:rsid w:val="00125EEF"/>
    <w:rsid w:val="0012608D"/>
    <w:rsid w:val="00126125"/>
    <w:rsid w:val="0012694F"/>
    <w:rsid w:val="00126A6A"/>
    <w:rsid w:val="00126B4B"/>
    <w:rsid w:val="00126CBD"/>
    <w:rsid w:val="00127157"/>
    <w:rsid w:val="001272F9"/>
    <w:rsid w:val="001273FD"/>
    <w:rsid w:val="00127648"/>
    <w:rsid w:val="001278D7"/>
    <w:rsid w:val="00127E76"/>
    <w:rsid w:val="001304AD"/>
    <w:rsid w:val="00130697"/>
    <w:rsid w:val="00130AC5"/>
    <w:rsid w:val="00130D6C"/>
    <w:rsid w:val="00130DE5"/>
    <w:rsid w:val="0013119E"/>
    <w:rsid w:val="00131652"/>
    <w:rsid w:val="001316B3"/>
    <w:rsid w:val="00131ABF"/>
    <w:rsid w:val="00131F70"/>
    <w:rsid w:val="0013204C"/>
    <w:rsid w:val="001321A5"/>
    <w:rsid w:val="001322FB"/>
    <w:rsid w:val="00132615"/>
    <w:rsid w:val="00132A09"/>
    <w:rsid w:val="00132A1B"/>
    <w:rsid w:val="0013309F"/>
    <w:rsid w:val="00133139"/>
    <w:rsid w:val="001332D2"/>
    <w:rsid w:val="00133551"/>
    <w:rsid w:val="001335B5"/>
    <w:rsid w:val="0013379B"/>
    <w:rsid w:val="00133BDB"/>
    <w:rsid w:val="00133C1E"/>
    <w:rsid w:val="00133E33"/>
    <w:rsid w:val="00133F05"/>
    <w:rsid w:val="0013408F"/>
    <w:rsid w:val="00134359"/>
    <w:rsid w:val="00134590"/>
    <w:rsid w:val="001346BE"/>
    <w:rsid w:val="00134992"/>
    <w:rsid w:val="00134B66"/>
    <w:rsid w:val="00134E3C"/>
    <w:rsid w:val="0013526A"/>
    <w:rsid w:val="00135288"/>
    <w:rsid w:val="00135556"/>
    <w:rsid w:val="0013555C"/>
    <w:rsid w:val="0013565E"/>
    <w:rsid w:val="00135794"/>
    <w:rsid w:val="00135BBB"/>
    <w:rsid w:val="00135FBD"/>
    <w:rsid w:val="00135FD8"/>
    <w:rsid w:val="00136259"/>
    <w:rsid w:val="0013644C"/>
    <w:rsid w:val="00136496"/>
    <w:rsid w:val="00136A9A"/>
    <w:rsid w:val="00136BA8"/>
    <w:rsid w:val="0013708F"/>
    <w:rsid w:val="001372F3"/>
    <w:rsid w:val="001377D9"/>
    <w:rsid w:val="00137861"/>
    <w:rsid w:val="00137A0D"/>
    <w:rsid w:val="00137C75"/>
    <w:rsid w:val="00137F5D"/>
    <w:rsid w:val="00140099"/>
    <w:rsid w:val="00140271"/>
    <w:rsid w:val="00140280"/>
    <w:rsid w:val="001406FF"/>
    <w:rsid w:val="0014072E"/>
    <w:rsid w:val="001407B0"/>
    <w:rsid w:val="0014081B"/>
    <w:rsid w:val="00140BD7"/>
    <w:rsid w:val="00140CE7"/>
    <w:rsid w:val="00140D9B"/>
    <w:rsid w:val="00140E08"/>
    <w:rsid w:val="00140EB4"/>
    <w:rsid w:val="00140ECB"/>
    <w:rsid w:val="00141020"/>
    <w:rsid w:val="00141331"/>
    <w:rsid w:val="00141419"/>
    <w:rsid w:val="0014141B"/>
    <w:rsid w:val="001417BE"/>
    <w:rsid w:val="00141912"/>
    <w:rsid w:val="00141BE5"/>
    <w:rsid w:val="00142014"/>
    <w:rsid w:val="001420C3"/>
    <w:rsid w:val="0014231A"/>
    <w:rsid w:val="00142509"/>
    <w:rsid w:val="0014259C"/>
    <w:rsid w:val="00142798"/>
    <w:rsid w:val="00142893"/>
    <w:rsid w:val="001428B2"/>
    <w:rsid w:val="00142BD7"/>
    <w:rsid w:val="00142E7D"/>
    <w:rsid w:val="00143309"/>
    <w:rsid w:val="0014344C"/>
    <w:rsid w:val="00143975"/>
    <w:rsid w:val="001439F3"/>
    <w:rsid w:val="00143BEC"/>
    <w:rsid w:val="00143CD0"/>
    <w:rsid w:val="00143D08"/>
    <w:rsid w:val="00143F15"/>
    <w:rsid w:val="00143F60"/>
    <w:rsid w:val="00143FDE"/>
    <w:rsid w:val="0014402D"/>
    <w:rsid w:val="00144418"/>
    <w:rsid w:val="001444F7"/>
    <w:rsid w:val="001445D9"/>
    <w:rsid w:val="0014483D"/>
    <w:rsid w:val="0014487E"/>
    <w:rsid w:val="00144B4F"/>
    <w:rsid w:val="00144B78"/>
    <w:rsid w:val="00144BF1"/>
    <w:rsid w:val="00144C17"/>
    <w:rsid w:val="0014520A"/>
    <w:rsid w:val="00145384"/>
    <w:rsid w:val="00145561"/>
    <w:rsid w:val="001455E9"/>
    <w:rsid w:val="0014596A"/>
    <w:rsid w:val="001459BD"/>
    <w:rsid w:val="0014617D"/>
    <w:rsid w:val="0014621D"/>
    <w:rsid w:val="001464BB"/>
    <w:rsid w:val="001466B7"/>
    <w:rsid w:val="001466E1"/>
    <w:rsid w:val="00146FA2"/>
    <w:rsid w:val="00147584"/>
    <w:rsid w:val="00147823"/>
    <w:rsid w:val="00147900"/>
    <w:rsid w:val="00147BFC"/>
    <w:rsid w:val="00147DB1"/>
    <w:rsid w:val="00150020"/>
    <w:rsid w:val="00150111"/>
    <w:rsid w:val="001501B0"/>
    <w:rsid w:val="00150791"/>
    <w:rsid w:val="001508C9"/>
    <w:rsid w:val="00150A59"/>
    <w:rsid w:val="00150BE7"/>
    <w:rsid w:val="00150BEE"/>
    <w:rsid w:val="00150CBF"/>
    <w:rsid w:val="00150D8A"/>
    <w:rsid w:val="00150DEF"/>
    <w:rsid w:val="00150E78"/>
    <w:rsid w:val="00150F67"/>
    <w:rsid w:val="001511B5"/>
    <w:rsid w:val="0015156E"/>
    <w:rsid w:val="0015159B"/>
    <w:rsid w:val="001516A9"/>
    <w:rsid w:val="001516EE"/>
    <w:rsid w:val="00151EEF"/>
    <w:rsid w:val="00152156"/>
    <w:rsid w:val="0015239B"/>
    <w:rsid w:val="0015242A"/>
    <w:rsid w:val="00152734"/>
    <w:rsid w:val="0015290B"/>
    <w:rsid w:val="00152B5E"/>
    <w:rsid w:val="00152F25"/>
    <w:rsid w:val="00152FE0"/>
    <w:rsid w:val="0015304B"/>
    <w:rsid w:val="00153076"/>
    <w:rsid w:val="00153096"/>
    <w:rsid w:val="00153112"/>
    <w:rsid w:val="00153852"/>
    <w:rsid w:val="00153D60"/>
    <w:rsid w:val="00153DAA"/>
    <w:rsid w:val="00153F4B"/>
    <w:rsid w:val="00154101"/>
    <w:rsid w:val="001541EB"/>
    <w:rsid w:val="001542E7"/>
    <w:rsid w:val="001543D4"/>
    <w:rsid w:val="0015445C"/>
    <w:rsid w:val="0015450F"/>
    <w:rsid w:val="00154ACD"/>
    <w:rsid w:val="00154B6D"/>
    <w:rsid w:val="00154B81"/>
    <w:rsid w:val="00154BB3"/>
    <w:rsid w:val="00154E9A"/>
    <w:rsid w:val="0015523D"/>
    <w:rsid w:val="0015549C"/>
    <w:rsid w:val="00155E3E"/>
    <w:rsid w:val="00155FB6"/>
    <w:rsid w:val="0015675D"/>
    <w:rsid w:val="00156C03"/>
    <w:rsid w:val="00156E95"/>
    <w:rsid w:val="00156F5B"/>
    <w:rsid w:val="00156FA6"/>
    <w:rsid w:val="00156FBD"/>
    <w:rsid w:val="00157106"/>
    <w:rsid w:val="00157166"/>
    <w:rsid w:val="00157457"/>
    <w:rsid w:val="0015748D"/>
    <w:rsid w:val="001575B8"/>
    <w:rsid w:val="001575F4"/>
    <w:rsid w:val="0015760B"/>
    <w:rsid w:val="0015763D"/>
    <w:rsid w:val="001578D8"/>
    <w:rsid w:val="00157BDB"/>
    <w:rsid w:val="00157BF7"/>
    <w:rsid w:val="00157C91"/>
    <w:rsid w:val="00157CE3"/>
    <w:rsid w:val="00157CF1"/>
    <w:rsid w:val="00157DE4"/>
    <w:rsid w:val="0016009D"/>
    <w:rsid w:val="00160115"/>
    <w:rsid w:val="001602F1"/>
    <w:rsid w:val="00160787"/>
    <w:rsid w:val="00160818"/>
    <w:rsid w:val="001608C9"/>
    <w:rsid w:val="00160B20"/>
    <w:rsid w:val="00160B98"/>
    <w:rsid w:val="001614D4"/>
    <w:rsid w:val="00161638"/>
    <w:rsid w:val="00161A39"/>
    <w:rsid w:val="00161A48"/>
    <w:rsid w:val="00161B38"/>
    <w:rsid w:val="00161CAF"/>
    <w:rsid w:val="00161D3E"/>
    <w:rsid w:val="0016204C"/>
    <w:rsid w:val="00162669"/>
    <w:rsid w:val="001626DD"/>
    <w:rsid w:val="0016283C"/>
    <w:rsid w:val="00162C76"/>
    <w:rsid w:val="00162C8A"/>
    <w:rsid w:val="00163357"/>
    <w:rsid w:val="0016403F"/>
    <w:rsid w:val="0016407D"/>
    <w:rsid w:val="0016426E"/>
    <w:rsid w:val="001643DD"/>
    <w:rsid w:val="00164563"/>
    <w:rsid w:val="00164A18"/>
    <w:rsid w:val="0016523F"/>
    <w:rsid w:val="00165496"/>
    <w:rsid w:val="00165815"/>
    <w:rsid w:val="00165DA3"/>
    <w:rsid w:val="00165E4D"/>
    <w:rsid w:val="00165FED"/>
    <w:rsid w:val="001662C0"/>
    <w:rsid w:val="001667A9"/>
    <w:rsid w:val="001668B3"/>
    <w:rsid w:val="00166E32"/>
    <w:rsid w:val="00167185"/>
    <w:rsid w:val="00167739"/>
    <w:rsid w:val="001677D6"/>
    <w:rsid w:val="001678F0"/>
    <w:rsid w:val="00167C4B"/>
    <w:rsid w:val="00170064"/>
    <w:rsid w:val="00170327"/>
    <w:rsid w:val="0017040F"/>
    <w:rsid w:val="0017042B"/>
    <w:rsid w:val="00170450"/>
    <w:rsid w:val="00170461"/>
    <w:rsid w:val="00170481"/>
    <w:rsid w:val="00170650"/>
    <w:rsid w:val="0017134C"/>
    <w:rsid w:val="00171546"/>
    <w:rsid w:val="001715BD"/>
    <w:rsid w:val="00172B99"/>
    <w:rsid w:val="00172CD5"/>
    <w:rsid w:val="00172D69"/>
    <w:rsid w:val="00173329"/>
    <w:rsid w:val="00173583"/>
    <w:rsid w:val="00173821"/>
    <w:rsid w:val="00173F1A"/>
    <w:rsid w:val="00174137"/>
    <w:rsid w:val="00174186"/>
    <w:rsid w:val="0017499B"/>
    <w:rsid w:val="00174A05"/>
    <w:rsid w:val="00174E32"/>
    <w:rsid w:val="001751F7"/>
    <w:rsid w:val="00175242"/>
    <w:rsid w:val="001754A4"/>
    <w:rsid w:val="00175A98"/>
    <w:rsid w:val="00175BA1"/>
    <w:rsid w:val="00175DE6"/>
    <w:rsid w:val="0017616B"/>
    <w:rsid w:val="00176294"/>
    <w:rsid w:val="00176395"/>
    <w:rsid w:val="0017692B"/>
    <w:rsid w:val="00176BF2"/>
    <w:rsid w:val="00176E6E"/>
    <w:rsid w:val="00176E78"/>
    <w:rsid w:val="00177133"/>
    <w:rsid w:val="00177A49"/>
    <w:rsid w:val="00177BE3"/>
    <w:rsid w:val="00177D11"/>
    <w:rsid w:val="00177F54"/>
    <w:rsid w:val="00177F7C"/>
    <w:rsid w:val="0018000D"/>
    <w:rsid w:val="0018059B"/>
    <w:rsid w:val="001806CF"/>
    <w:rsid w:val="00180AC0"/>
    <w:rsid w:val="00180E29"/>
    <w:rsid w:val="00180F49"/>
    <w:rsid w:val="00181430"/>
    <w:rsid w:val="001815B8"/>
    <w:rsid w:val="001816A6"/>
    <w:rsid w:val="001818EE"/>
    <w:rsid w:val="0018193B"/>
    <w:rsid w:val="00181951"/>
    <w:rsid w:val="0018228D"/>
    <w:rsid w:val="00182367"/>
    <w:rsid w:val="001825C6"/>
    <w:rsid w:val="001826DB"/>
    <w:rsid w:val="0018280C"/>
    <w:rsid w:val="00182886"/>
    <w:rsid w:val="00182BAC"/>
    <w:rsid w:val="00182FEB"/>
    <w:rsid w:val="0018313C"/>
    <w:rsid w:val="001838F0"/>
    <w:rsid w:val="00183957"/>
    <w:rsid w:val="001839A6"/>
    <w:rsid w:val="00183A6D"/>
    <w:rsid w:val="00183D5A"/>
    <w:rsid w:val="00183EB2"/>
    <w:rsid w:val="00183F07"/>
    <w:rsid w:val="001840BD"/>
    <w:rsid w:val="0018413C"/>
    <w:rsid w:val="001844E5"/>
    <w:rsid w:val="00184530"/>
    <w:rsid w:val="00184687"/>
    <w:rsid w:val="001847E6"/>
    <w:rsid w:val="001849B6"/>
    <w:rsid w:val="00184D34"/>
    <w:rsid w:val="00184EB1"/>
    <w:rsid w:val="00185085"/>
    <w:rsid w:val="001850D4"/>
    <w:rsid w:val="001851BD"/>
    <w:rsid w:val="00185D0E"/>
    <w:rsid w:val="0018603E"/>
    <w:rsid w:val="00186113"/>
    <w:rsid w:val="00186249"/>
    <w:rsid w:val="0018638F"/>
    <w:rsid w:val="00186391"/>
    <w:rsid w:val="001863AE"/>
    <w:rsid w:val="00186A2D"/>
    <w:rsid w:val="00186C23"/>
    <w:rsid w:val="00186F1C"/>
    <w:rsid w:val="00187328"/>
    <w:rsid w:val="00187855"/>
    <w:rsid w:val="00187858"/>
    <w:rsid w:val="001878D9"/>
    <w:rsid w:val="001879B7"/>
    <w:rsid w:val="00187D5D"/>
    <w:rsid w:val="00187FB7"/>
    <w:rsid w:val="0019008D"/>
    <w:rsid w:val="001901CC"/>
    <w:rsid w:val="0019022B"/>
    <w:rsid w:val="0019037D"/>
    <w:rsid w:val="001903E0"/>
    <w:rsid w:val="0019088A"/>
    <w:rsid w:val="00190C90"/>
    <w:rsid w:val="0019126B"/>
    <w:rsid w:val="00191C4F"/>
    <w:rsid w:val="00191CAC"/>
    <w:rsid w:val="00191E6F"/>
    <w:rsid w:val="001921F0"/>
    <w:rsid w:val="00192350"/>
    <w:rsid w:val="00192474"/>
    <w:rsid w:val="00192617"/>
    <w:rsid w:val="001926DD"/>
    <w:rsid w:val="00192CCC"/>
    <w:rsid w:val="00193278"/>
    <w:rsid w:val="001933C4"/>
    <w:rsid w:val="0019375E"/>
    <w:rsid w:val="0019388E"/>
    <w:rsid w:val="00193C5E"/>
    <w:rsid w:val="00194564"/>
    <w:rsid w:val="001948EB"/>
    <w:rsid w:val="00194AC0"/>
    <w:rsid w:val="00194F95"/>
    <w:rsid w:val="00195857"/>
    <w:rsid w:val="001958B7"/>
    <w:rsid w:val="00195A1C"/>
    <w:rsid w:val="00195A83"/>
    <w:rsid w:val="00195AA8"/>
    <w:rsid w:val="00195D08"/>
    <w:rsid w:val="00195DE7"/>
    <w:rsid w:val="00195DFE"/>
    <w:rsid w:val="00196123"/>
    <w:rsid w:val="00196536"/>
    <w:rsid w:val="00196A58"/>
    <w:rsid w:val="00196E4C"/>
    <w:rsid w:val="00196F3D"/>
    <w:rsid w:val="0019711B"/>
    <w:rsid w:val="00197160"/>
    <w:rsid w:val="0019763C"/>
    <w:rsid w:val="001976B3"/>
    <w:rsid w:val="001976BC"/>
    <w:rsid w:val="0019788A"/>
    <w:rsid w:val="0019799A"/>
    <w:rsid w:val="00197B91"/>
    <w:rsid w:val="00197C0F"/>
    <w:rsid w:val="00197C1F"/>
    <w:rsid w:val="001A02FE"/>
    <w:rsid w:val="001A0584"/>
    <w:rsid w:val="001A0769"/>
    <w:rsid w:val="001A080F"/>
    <w:rsid w:val="001A08AD"/>
    <w:rsid w:val="001A0A13"/>
    <w:rsid w:val="001A0BFC"/>
    <w:rsid w:val="001A0C34"/>
    <w:rsid w:val="001A0F7A"/>
    <w:rsid w:val="001A116E"/>
    <w:rsid w:val="001A1203"/>
    <w:rsid w:val="001A15C0"/>
    <w:rsid w:val="001A1A11"/>
    <w:rsid w:val="001A1A96"/>
    <w:rsid w:val="001A1D5E"/>
    <w:rsid w:val="001A2056"/>
    <w:rsid w:val="001A2255"/>
    <w:rsid w:val="001A23CE"/>
    <w:rsid w:val="001A25C7"/>
    <w:rsid w:val="001A26F2"/>
    <w:rsid w:val="001A27A6"/>
    <w:rsid w:val="001A2AD1"/>
    <w:rsid w:val="001A2B2B"/>
    <w:rsid w:val="001A2F0C"/>
    <w:rsid w:val="001A304E"/>
    <w:rsid w:val="001A3215"/>
    <w:rsid w:val="001A3375"/>
    <w:rsid w:val="001A34C9"/>
    <w:rsid w:val="001A35C2"/>
    <w:rsid w:val="001A3637"/>
    <w:rsid w:val="001A368B"/>
    <w:rsid w:val="001A37C6"/>
    <w:rsid w:val="001A3C77"/>
    <w:rsid w:val="001A3DF0"/>
    <w:rsid w:val="001A407B"/>
    <w:rsid w:val="001A409E"/>
    <w:rsid w:val="001A4780"/>
    <w:rsid w:val="001A4881"/>
    <w:rsid w:val="001A4B57"/>
    <w:rsid w:val="001A4C08"/>
    <w:rsid w:val="001A4F7F"/>
    <w:rsid w:val="001A5089"/>
    <w:rsid w:val="001A5758"/>
    <w:rsid w:val="001A5C8D"/>
    <w:rsid w:val="001A626D"/>
    <w:rsid w:val="001A6342"/>
    <w:rsid w:val="001A637E"/>
    <w:rsid w:val="001A652B"/>
    <w:rsid w:val="001A657D"/>
    <w:rsid w:val="001A7102"/>
    <w:rsid w:val="001A76E6"/>
    <w:rsid w:val="001A7C88"/>
    <w:rsid w:val="001A7F1C"/>
    <w:rsid w:val="001B0143"/>
    <w:rsid w:val="001B0472"/>
    <w:rsid w:val="001B06B5"/>
    <w:rsid w:val="001B0B8E"/>
    <w:rsid w:val="001B102B"/>
    <w:rsid w:val="001B11CD"/>
    <w:rsid w:val="001B12E2"/>
    <w:rsid w:val="001B1791"/>
    <w:rsid w:val="001B1878"/>
    <w:rsid w:val="001B1ADB"/>
    <w:rsid w:val="001B1B4D"/>
    <w:rsid w:val="001B1D46"/>
    <w:rsid w:val="001B1D8E"/>
    <w:rsid w:val="001B1EB0"/>
    <w:rsid w:val="001B20B4"/>
    <w:rsid w:val="001B21B1"/>
    <w:rsid w:val="001B21B7"/>
    <w:rsid w:val="001B25DC"/>
    <w:rsid w:val="001B2678"/>
    <w:rsid w:val="001B284D"/>
    <w:rsid w:val="001B29BB"/>
    <w:rsid w:val="001B29EB"/>
    <w:rsid w:val="001B3B68"/>
    <w:rsid w:val="001B40F8"/>
    <w:rsid w:val="001B468A"/>
    <w:rsid w:val="001B4B35"/>
    <w:rsid w:val="001B4FE6"/>
    <w:rsid w:val="001B518F"/>
    <w:rsid w:val="001B531E"/>
    <w:rsid w:val="001B55DF"/>
    <w:rsid w:val="001B5EAC"/>
    <w:rsid w:val="001B6012"/>
    <w:rsid w:val="001B616C"/>
    <w:rsid w:val="001B61F8"/>
    <w:rsid w:val="001B627A"/>
    <w:rsid w:val="001B63EB"/>
    <w:rsid w:val="001B63F7"/>
    <w:rsid w:val="001B6426"/>
    <w:rsid w:val="001B648A"/>
    <w:rsid w:val="001B6C5E"/>
    <w:rsid w:val="001B75FB"/>
    <w:rsid w:val="001B76F4"/>
    <w:rsid w:val="001B77C3"/>
    <w:rsid w:val="001B792F"/>
    <w:rsid w:val="001C0611"/>
    <w:rsid w:val="001C0653"/>
    <w:rsid w:val="001C0748"/>
    <w:rsid w:val="001C086D"/>
    <w:rsid w:val="001C1109"/>
    <w:rsid w:val="001C114E"/>
    <w:rsid w:val="001C1332"/>
    <w:rsid w:val="001C1BF1"/>
    <w:rsid w:val="001C1EEF"/>
    <w:rsid w:val="001C206C"/>
    <w:rsid w:val="001C243C"/>
    <w:rsid w:val="001C24BF"/>
    <w:rsid w:val="001C25A5"/>
    <w:rsid w:val="001C26A0"/>
    <w:rsid w:val="001C2748"/>
    <w:rsid w:val="001C2900"/>
    <w:rsid w:val="001C2A88"/>
    <w:rsid w:val="001C2BDA"/>
    <w:rsid w:val="001C2C05"/>
    <w:rsid w:val="001C2E70"/>
    <w:rsid w:val="001C2F81"/>
    <w:rsid w:val="001C3021"/>
    <w:rsid w:val="001C302B"/>
    <w:rsid w:val="001C3C8B"/>
    <w:rsid w:val="001C3D08"/>
    <w:rsid w:val="001C3F9F"/>
    <w:rsid w:val="001C41F9"/>
    <w:rsid w:val="001C43BB"/>
    <w:rsid w:val="001C43CA"/>
    <w:rsid w:val="001C479F"/>
    <w:rsid w:val="001C499B"/>
    <w:rsid w:val="001C4AC0"/>
    <w:rsid w:val="001C4B0F"/>
    <w:rsid w:val="001C4F2F"/>
    <w:rsid w:val="001C5048"/>
    <w:rsid w:val="001C5504"/>
    <w:rsid w:val="001C5E11"/>
    <w:rsid w:val="001C6063"/>
    <w:rsid w:val="001C62B5"/>
    <w:rsid w:val="001C6798"/>
    <w:rsid w:val="001C685A"/>
    <w:rsid w:val="001C6E80"/>
    <w:rsid w:val="001C6E94"/>
    <w:rsid w:val="001C70C3"/>
    <w:rsid w:val="001C7153"/>
    <w:rsid w:val="001C72CC"/>
    <w:rsid w:val="001C73AA"/>
    <w:rsid w:val="001C78B4"/>
    <w:rsid w:val="001C7910"/>
    <w:rsid w:val="001C7937"/>
    <w:rsid w:val="001C7BD4"/>
    <w:rsid w:val="001C7CA1"/>
    <w:rsid w:val="001D00D7"/>
    <w:rsid w:val="001D09D0"/>
    <w:rsid w:val="001D0EF9"/>
    <w:rsid w:val="001D14AC"/>
    <w:rsid w:val="001D169E"/>
    <w:rsid w:val="001D19A9"/>
    <w:rsid w:val="001D19F6"/>
    <w:rsid w:val="001D1AF1"/>
    <w:rsid w:val="001D2190"/>
    <w:rsid w:val="001D2208"/>
    <w:rsid w:val="001D25CB"/>
    <w:rsid w:val="001D272E"/>
    <w:rsid w:val="001D285A"/>
    <w:rsid w:val="001D2ABC"/>
    <w:rsid w:val="001D2C3C"/>
    <w:rsid w:val="001D2CF1"/>
    <w:rsid w:val="001D2DA2"/>
    <w:rsid w:val="001D2EE3"/>
    <w:rsid w:val="001D30E7"/>
    <w:rsid w:val="001D3318"/>
    <w:rsid w:val="001D331B"/>
    <w:rsid w:val="001D371D"/>
    <w:rsid w:val="001D385D"/>
    <w:rsid w:val="001D38C2"/>
    <w:rsid w:val="001D3B96"/>
    <w:rsid w:val="001D46DF"/>
    <w:rsid w:val="001D48A4"/>
    <w:rsid w:val="001D5016"/>
    <w:rsid w:val="001D547F"/>
    <w:rsid w:val="001D5589"/>
    <w:rsid w:val="001D572D"/>
    <w:rsid w:val="001D599D"/>
    <w:rsid w:val="001D5DFD"/>
    <w:rsid w:val="001D5F46"/>
    <w:rsid w:val="001D643A"/>
    <w:rsid w:val="001D66F1"/>
    <w:rsid w:val="001D6C22"/>
    <w:rsid w:val="001D6D8F"/>
    <w:rsid w:val="001D6DDE"/>
    <w:rsid w:val="001D701F"/>
    <w:rsid w:val="001D70BF"/>
    <w:rsid w:val="001D77F2"/>
    <w:rsid w:val="001D7853"/>
    <w:rsid w:val="001D7BCD"/>
    <w:rsid w:val="001E00D9"/>
    <w:rsid w:val="001E014E"/>
    <w:rsid w:val="001E04DE"/>
    <w:rsid w:val="001E05B5"/>
    <w:rsid w:val="001E0A22"/>
    <w:rsid w:val="001E0A34"/>
    <w:rsid w:val="001E0A77"/>
    <w:rsid w:val="001E0AF0"/>
    <w:rsid w:val="001E0DA0"/>
    <w:rsid w:val="001E0F47"/>
    <w:rsid w:val="001E0F70"/>
    <w:rsid w:val="001E13C5"/>
    <w:rsid w:val="001E15CE"/>
    <w:rsid w:val="001E1874"/>
    <w:rsid w:val="001E18AC"/>
    <w:rsid w:val="001E18B7"/>
    <w:rsid w:val="001E18C0"/>
    <w:rsid w:val="001E1926"/>
    <w:rsid w:val="001E1E3E"/>
    <w:rsid w:val="001E1EBF"/>
    <w:rsid w:val="001E24B5"/>
    <w:rsid w:val="001E2729"/>
    <w:rsid w:val="001E275D"/>
    <w:rsid w:val="001E27EC"/>
    <w:rsid w:val="001E2AC2"/>
    <w:rsid w:val="001E2E8E"/>
    <w:rsid w:val="001E3187"/>
    <w:rsid w:val="001E31F9"/>
    <w:rsid w:val="001E32CE"/>
    <w:rsid w:val="001E35BF"/>
    <w:rsid w:val="001E35D2"/>
    <w:rsid w:val="001E37CF"/>
    <w:rsid w:val="001E3B7A"/>
    <w:rsid w:val="001E4B1D"/>
    <w:rsid w:val="001E4BA8"/>
    <w:rsid w:val="001E5139"/>
    <w:rsid w:val="001E5479"/>
    <w:rsid w:val="001E55CD"/>
    <w:rsid w:val="001E5737"/>
    <w:rsid w:val="001E5C44"/>
    <w:rsid w:val="001E5F29"/>
    <w:rsid w:val="001E61D1"/>
    <w:rsid w:val="001E6643"/>
    <w:rsid w:val="001E67AC"/>
    <w:rsid w:val="001E6802"/>
    <w:rsid w:val="001E683F"/>
    <w:rsid w:val="001E6B0E"/>
    <w:rsid w:val="001E6CB6"/>
    <w:rsid w:val="001E6D5D"/>
    <w:rsid w:val="001E6EE1"/>
    <w:rsid w:val="001E7278"/>
    <w:rsid w:val="001E7B03"/>
    <w:rsid w:val="001E7D75"/>
    <w:rsid w:val="001E7E60"/>
    <w:rsid w:val="001F018E"/>
    <w:rsid w:val="001F0197"/>
    <w:rsid w:val="001F019F"/>
    <w:rsid w:val="001F07B9"/>
    <w:rsid w:val="001F09C2"/>
    <w:rsid w:val="001F0B04"/>
    <w:rsid w:val="001F0C13"/>
    <w:rsid w:val="001F0D67"/>
    <w:rsid w:val="001F0F55"/>
    <w:rsid w:val="001F126D"/>
    <w:rsid w:val="001F157A"/>
    <w:rsid w:val="001F1868"/>
    <w:rsid w:val="001F1A82"/>
    <w:rsid w:val="001F2449"/>
    <w:rsid w:val="001F2645"/>
    <w:rsid w:val="001F294E"/>
    <w:rsid w:val="001F29D8"/>
    <w:rsid w:val="001F2A1C"/>
    <w:rsid w:val="001F2A57"/>
    <w:rsid w:val="001F2DCA"/>
    <w:rsid w:val="001F2E76"/>
    <w:rsid w:val="001F30EE"/>
    <w:rsid w:val="001F3221"/>
    <w:rsid w:val="001F33A0"/>
    <w:rsid w:val="001F38E9"/>
    <w:rsid w:val="001F3967"/>
    <w:rsid w:val="001F3AE4"/>
    <w:rsid w:val="001F3C0E"/>
    <w:rsid w:val="001F3C4B"/>
    <w:rsid w:val="001F3E2C"/>
    <w:rsid w:val="001F40B3"/>
    <w:rsid w:val="001F421D"/>
    <w:rsid w:val="001F4509"/>
    <w:rsid w:val="001F48AE"/>
    <w:rsid w:val="001F4B16"/>
    <w:rsid w:val="001F4C39"/>
    <w:rsid w:val="001F4E28"/>
    <w:rsid w:val="001F4EBA"/>
    <w:rsid w:val="001F5640"/>
    <w:rsid w:val="001F65A3"/>
    <w:rsid w:val="001F675F"/>
    <w:rsid w:val="001F6856"/>
    <w:rsid w:val="001F7079"/>
    <w:rsid w:val="001F71F4"/>
    <w:rsid w:val="001F73D9"/>
    <w:rsid w:val="001F7478"/>
    <w:rsid w:val="001F75F5"/>
    <w:rsid w:val="001F77D5"/>
    <w:rsid w:val="001F7CA1"/>
    <w:rsid w:val="001F7EDD"/>
    <w:rsid w:val="001F7FCA"/>
    <w:rsid w:val="00200195"/>
    <w:rsid w:val="00200212"/>
    <w:rsid w:val="002008BE"/>
    <w:rsid w:val="0020111B"/>
    <w:rsid w:val="0020186F"/>
    <w:rsid w:val="002019C7"/>
    <w:rsid w:val="00201E61"/>
    <w:rsid w:val="00201F2D"/>
    <w:rsid w:val="00201FE8"/>
    <w:rsid w:val="002022A7"/>
    <w:rsid w:val="002024FC"/>
    <w:rsid w:val="0020264D"/>
    <w:rsid w:val="002027BD"/>
    <w:rsid w:val="00202936"/>
    <w:rsid w:val="00202AE4"/>
    <w:rsid w:val="00202C32"/>
    <w:rsid w:val="002031C1"/>
    <w:rsid w:val="00203284"/>
    <w:rsid w:val="00203830"/>
    <w:rsid w:val="00203C7C"/>
    <w:rsid w:val="00203D79"/>
    <w:rsid w:val="00203FE2"/>
    <w:rsid w:val="00204411"/>
    <w:rsid w:val="002044E3"/>
    <w:rsid w:val="00204EA9"/>
    <w:rsid w:val="00204F44"/>
    <w:rsid w:val="002051D4"/>
    <w:rsid w:val="00205758"/>
    <w:rsid w:val="00205782"/>
    <w:rsid w:val="00205B56"/>
    <w:rsid w:val="00205C40"/>
    <w:rsid w:val="00205D66"/>
    <w:rsid w:val="00205EF7"/>
    <w:rsid w:val="002063C2"/>
    <w:rsid w:val="0020640C"/>
    <w:rsid w:val="002069B7"/>
    <w:rsid w:val="00206B72"/>
    <w:rsid w:val="00206E10"/>
    <w:rsid w:val="00206E87"/>
    <w:rsid w:val="00206F81"/>
    <w:rsid w:val="00207016"/>
    <w:rsid w:val="00207034"/>
    <w:rsid w:val="0020711E"/>
    <w:rsid w:val="00207622"/>
    <w:rsid w:val="00207CBC"/>
    <w:rsid w:val="002104A6"/>
    <w:rsid w:val="00210673"/>
    <w:rsid w:val="002107BD"/>
    <w:rsid w:val="00210D2D"/>
    <w:rsid w:val="002114CB"/>
    <w:rsid w:val="0021164B"/>
    <w:rsid w:val="0021176B"/>
    <w:rsid w:val="00211A7C"/>
    <w:rsid w:val="00211CA5"/>
    <w:rsid w:val="002121E4"/>
    <w:rsid w:val="0021222A"/>
    <w:rsid w:val="00212549"/>
    <w:rsid w:val="002125F9"/>
    <w:rsid w:val="002125FF"/>
    <w:rsid w:val="0021263E"/>
    <w:rsid w:val="00212C1C"/>
    <w:rsid w:val="00212E37"/>
    <w:rsid w:val="002132CB"/>
    <w:rsid w:val="00213330"/>
    <w:rsid w:val="00213371"/>
    <w:rsid w:val="00213389"/>
    <w:rsid w:val="002137DF"/>
    <w:rsid w:val="002139CB"/>
    <w:rsid w:val="00213D3C"/>
    <w:rsid w:val="00214143"/>
    <w:rsid w:val="0021448A"/>
    <w:rsid w:val="00214495"/>
    <w:rsid w:val="002146DA"/>
    <w:rsid w:val="00214773"/>
    <w:rsid w:val="00214DB8"/>
    <w:rsid w:val="00214FEB"/>
    <w:rsid w:val="0021514C"/>
    <w:rsid w:val="00215281"/>
    <w:rsid w:val="00215773"/>
    <w:rsid w:val="00215A9E"/>
    <w:rsid w:val="00215B62"/>
    <w:rsid w:val="00215FC5"/>
    <w:rsid w:val="00216014"/>
    <w:rsid w:val="00216207"/>
    <w:rsid w:val="00216429"/>
    <w:rsid w:val="002168AE"/>
    <w:rsid w:val="00216C14"/>
    <w:rsid w:val="00216E8F"/>
    <w:rsid w:val="002170E4"/>
    <w:rsid w:val="002175B1"/>
    <w:rsid w:val="002175F0"/>
    <w:rsid w:val="0021775E"/>
    <w:rsid w:val="00217811"/>
    <w:rsid w:val="0022031A"/>
    <w:rsid w:val="00220B84"/>
    <w:rsid w:val="00220B91"/>
    <w:rsid w:val="00220E16"/>
    <w:rsid w:val="00220FF5"/>
    <w:rsid w:val="00221055"/>
    <w:rsid w:val="00221421"/>
    <w:rsid w:val="00221450"/>
    <w:rsid w:val="002214C9"/>
    <w:rsid w:val="00221C34"/>
    <w:rsid w:val="00221D4E"/>
    <w:rsid w:val="00221E8C"/>
    <w:rsid w:val="00221EF8"/>
    <w:rsid w:val="00221F4F"/>
    <w:rsid w:val="002224A3"/>
    <w:rsid w:val="00222E55"/>
    <w:rsid w:val="00222EF5"/>
    <w:rsid w:val="002233FB"/>
    <w:rsid w:val="00223905"/>
    <w:rsid w:val="00223A42"/>
    <w:rsid w:val="00224104"/>
    <w:rsid w:val="002247E0"/>
    <w:rsid w:val="00224DB1"/>
    <w:rsid w:val="00225079"/>
    <w:rsid w:val="00225113"/>
    <w:rsid w:val="002251B7"/>
    <w:rsid w:val="002252F7"/>
    <w:rsid w:val="0022585E"/>
    <w:rsid w:val="0022588B"/>
    <w:rsid w:val="0022609D"/>
    <w:rsid w:val="0022618F"/>
    <w:rsid w:val="00226386"/>
    <w:rsid w:val="0022648D"/>
    <w:rsid w:val="00226B61"/>
    <w:rsid w:val="00226C0B"/>
    <w:rsid w:val="00226CB0"/>
    <w:rsid w:val="0022705E"/>
    <w:rsid w:val="00227244"/>
    <w:rsid w:val="00227508"/>
    <w:rsid w:val="00227870"/>
    <w:rsid w:val="00227887"/>
    <w:rsid w:val="0022796F"/>
    <w:rsid w:val="00227B03"/>
    <w:rsid w:val="00227F84"/>
    <w:rsid w:val="0023035E"/>
    <w:rsid w:val="002307B2"/>
    <w:rsid w:val="002308BC"/>
    <w:rsid w:val="002308E1"/>
    <w:rsid w:val="0023099B"/>
    <w:rsid w:val="002309E8"/>
    <w:rsid w:val="00230AC8"/>
    <w:rsid w:val="00230C63"/>
    <w:rsid w:val="002310A7"/>
    <w:rsid w:val="002310EE"/>
    <w:rsid w:val="0023116F"/>
    <w:rsid w:val="00231E74"/>
    <w:rsid w:val="00231FDB"/>
    <w:rsid w:val="002321D9"/>
    <w:rsid w:val="0023237B"/>
    <w:rsid w:val="002325FB"/>
    <w:rsid w:val="00232703"/>
    <w:rsid w:val="00232824"/>
    <w:rsid w:val="0023298F"/>
    <w:rsid w:val="002329B1"/>
    <w:rsid w:val="00232BD9"/>
    <w:rsid w:val="00232D34"/>
    <w:rsid w:val="00232EC1"/>
    <w:rsid w:val="00233045"/>
    <w:rsid w:val="002331FD"/>
    <w:rsid w:val="0023329F"/>
    <w:rsid w:val="0023366B"/>
    <w:rsid w:val="002336DE"/>
    <w:rsid w:val="0023372E"/>
    <w:rsid w:val="00233C8B"/>
    <w:rsid w:val="00233CC6"/>
    <w:rsid w:val="00233F8F"/>
    <w:rsid w:val="0023402A"/>
    <w:rsid w:val="00234111"/>
    <w:rsid w:val="002344EC"/>
    <w:rsid w:val="0023468B"/>
    <w:rsid w:val="002348B0"/>
    <w:rsid w:val="00234A16"/>
    <w:rsid w:val="00234AC1"/>
    <w:rsid w:val="00234B4B"/>
    <w:rsid w:val="00234E4D"/>
    <w:rsid w:val="00235448"/>
    <w:rsid w:val="00235679"/>
    <w:rsid w:val="0023599E"/>
    <w:rsid w:val="00235A3C"/>
    <w:rsid w:val="00235A61"/>
    <w:rsid w:val="00235F58"/>
    <w:rsid w:val="002366DD"/>
    <w:rsid w:val="0023677E"/>
    <w:rsid w:val="002367B7"/>
    <w:rsid w:val="00236856"/>
    <w:rsid w:val="00236C47"/>
    <w:rsid w:val="00236E1A"/>
    <w:rsid w:val="002371B4"/>
    <w:rsid w:val="00237721"/>
    <w:rsid w:val="0023790D"/>
    <w:rsid w:val="00237BC1"/>
    <w:rsid w:val="00237C9D"/>
    <w:rsid w:val="0024010C"/>
    <w:rsid w:val="0024048E"/>
    <w:rsid w:val="0024061C"/>
    <w:rsid w:val="002411E8"/>
    <w:rsid w:val="00241450"/>
    <w:rsid w:val="00241718"/>
    <w:rsid w:val="00241BC8"/>
    <w:rsid w:val="00241C88"/>
    <w:rsid w:val="00241D41"/>
    <w:rsid w:val="002423A1"/>
    <w:rsid w:val="0024280E"/>
    <w:rsid w:val="00242AAF"/>
    <w:rsid w:val="00243224"/>
    <w:rsid w:val="002434A7"/>
    <w:rsid w:val="0024393A"/>
    <w:rsid w:val="00243B00"/>
    <w:rsid w:val="00243E7B"/>
    <w:rsid w:val="00243F41"/>
    <w:rsid w:val="00244291"/>
    <w:rsid w:val="0024464F"/>
    <w:rsid w:val="00244882"/>
    <w:rsid w:val="002451E6"/>
    <w:rsid w:val="002453A0"/>
    <w:rsid w:val="0024656F"/>
    <w:rsid w:val="0024657C"/>
    <w:rsid w:val="00246851"/>
    <w:rsid w:val="002468AE"/>
    <w:rsid w:val="00246D02"/>
    <w:rsid w:val="00246D9D"/>
    <w:rsid w:val="00247267"/>
    <w:rsid w:val="002477E9"/>
    <w:rsid w:val="00247828"/>
    <w:rsid w:val="00247C83"/>
    <w:rsid w:val="00250503"/>
    <w:rsid w:val="00250664"/>
    <w:rsid w:val="002509C9"/>
    <w:rsid w:val="002509EE"/>
    <w:rsid w:val="00250BA2"/>
    <w:rsid w:val="00250D47"/>
    <w:rsid w:val="00250F0B"/>
    <w:rsid w:val="00250F4C"/>
    <w:rsid w:val="0025123E"/>
    <w:rsid w:val="00251555"/>
    <w:rsid w:val="0025183D"/>
    <w:rsid w:val="00251A46"/>
    <w:rsid w:val="00251A80"/>
    <w:rsid w:val="00251A92"/>
    <w:rsid w:val="00251ACE"/>
    <w:rsid w:val="00251BA4"/>
    <w:rsid w:val="00251FA9"/>
    <w:rsid w:val="00252017"/>
    <w:rsid w:val="00252036"/>
    <w:rsid w:val="0025246A"/>
    <w:rsid w:val="002528F1"/>
    <w:rsid w:val="00252B31"/>
    <w:rsid w:val="00252DC2"/>
    <w:rsid w:val="00252E66"/>
    <w:rsid w:val="00252F74"/>
    <w:rsid w:val="00253109"/>
    <w:rsid w:val="00253296"/>
    <w:rsid w:val="00253678"/>
    <w:rsid w:val="00253C48"/>
    <w:rsid w:val="002541D0"/>
    <w:rsid w:val="002548B1"/>
    <w:rsid w:val="002552FE"/>
    <w:rsid w:val="0025561E"/>
    <w:rsid w:val="00255714"/>
    <w:rsid w:val="0025572B"/>
    <w:rsid w:val="0025577D"/>
    <w:rsid w:val="002557C7"/>
    <w:rsid w:val="0025590D"/>
    <w:rsid w:val="00255929"/>
    <w:rsid w:val="00256013"/>
    <w:rsid w:val="00256323"/>
    <w:rsid w:val="00256354"/>
    <w:rsid w:val="0025646B"/>
    <w:rsid w:val="002569CC"/>
    <w:rsid w:val="00256E13"/>
    <w:rsid w:val="00257064"/>
    <w:rsid w:val="00257066"/>
    <w:rsid w:val="0025760C"/>
    <w:rsid w:val="002578DF"/>
    <w:rsid w:val="00257A5B"/>
    <w:rsid w:val="00257A68"/>
    <w:rsid w:val="0026017B"/>
    <w:rsid w:val="00260310"/>
    <w:rsid w:val="00260461"/>
    <w:rsid w:val="00260656"/>
    <w:rsid w:val="002606F8"/>
    <w:rsid w:val="00260754"/>
    <w:rsid w:val="00261101"/>
    <w:rsid w:val="00261516"/>
    <w:rsid w:val="0026165B"/>
    <w:rsid w:val="00261743"/>
    <w:rsid w:val="00261843"/>
    <w:rsid w:val="00261C6D"/>
    <w:rsid w:val="00261D4C"/>
    <w:rsid w:val="00261E20"/>
    <w:rsid w:val="00261E3C"/>
    <w:rsid w:val="00262106"/>
    <w:rsid w:val="00262F5B"/>
    <w:rsid w:val="00262F63"/>
    <w:rsid w:val="00263072"/>
    <w:rsid w:val="0026357E"/>
    <w:rsid w:val="00263773"/>
    <w:rsid w:val="00263DD9"/>
    <w:rsid w:val="00264078"/>
    <w:rsid w:val="0026444D"/>
    <w:rsid w:val="002644FD"/>
    <w:rsid w:val="00264524"/>
    <w:rsid w:val="00264752"/>
    <w:rsid w:val="00264787"/>
    <w:rsid w:val="00264969"/>
    <w:rsid w:val="002650E3"/>
    <w:rsid w:val="00265304"/>
    <w:rsid w:val="00265693"/>
    <w:rsid w:val="00265793"/>
    <w:rsid w:val="00265B1A"/>
    <w:rsid w:val="00265E58"/>
    <w:rsid w:val="002662C7"/>
    <w:rsid w:val="00266495"/>
    <w:rsid w:val="00266603"/>
    <w:rsid w:val="00267110"/>
    <w:rsid w:val="002674BC"/>
    <w:rsid w:val="002676F7"/>
    <w:rsid w:val="00267C19"/>
    <w:rsid w:val="00267D0E"/>
    <w:rsid w:val="00267FCC"/>
    <w:rsid w:val="0027053E"/>
    <w:rsid w:val="0027098C"/>
    <w:rsid w:val="00270A70"/>
    <w:rsid w:val="00270C5C"/>
    <w:rsid w:val="00270F23"/>
    <w:rsid w:val="0027149E"/>
    <w:rsid w:val="00271589"/>
    <w:rsid w:val="002715EC"/>
    <w:rsid w:val="0027175F"/>
    <w:rsid w:val="002717F1"/>
    <w:rsid w:val="00271861"/>
    <w:rsid w:val="00271934"/>
    <w:rsid w:val="00271C2A"/>
    <w:rsid w:val="00271E64"/>
    <w:rsid w:val="002721B5"/>
    <w:rsid w:val="0027240F"/>
    <w:rsid w:val="00272416"/>
    <w:rsid w:val="00272927"/>
    <w:rsid w:val="00272D29"/>
    <w:rsid w:val="00272E37"/>
    <w:rsid w:val="002733B6"/>
    <w:rsid w:val="00273C7F"/>
    <w:rsid w:val="00273DE8"/>
    <w:rsid w:val="00273E61"/>
    <w:rsid w:val="002741A6"/>
    <w:rsid w:val="00274494"/>
    <w:rsid w:val="002744DC"/>
    <w:rsid w:val="00274A37"/>
    <w:rsid w:val="00274A7F"/>
    <w:rsid w:val="00274FF3"/>
    <w:rsid w:val="002750FA"/>
    <w:rsid w:val="002751A1"/>
    <w:rsid w:val="00275278"/>
    <w:rsid w:val="002756F8"/>
    <w:rsid w:val="002759C5"/>
    <w:rsid w:val="00275CD1"/>
    <w:rsid w:val="00275D78"/>
    <w:rsid w:val="00275E59"/>
    <w:rsid w:val="0027644C"/>
    <w:rsid w:val="002764B9"/>
    <w:rsid w:val="002765F4"/>
    <w:rsid w:val="00276881"/>
    <w:rsid w:val="002769EA"/>
    <w:rsid w:val="00276A9E"/>
    <w:rsid w:val="00276B3D"/>
    <w:rsid w:val="00276BA1"/>
    <w:rsid w:val="00276EA0"/>
    <w:rsid w:val="00277279"/>
    <w:rsid w:val="002775A1"/>
    <w:rsid w:val="00277B3D"/>
    <w:rsid w:val="00280003"/>
    <w:rsid w:val="00280145"/>
    <w:rsid w:val="002802DC"/>
    <w:rsid w:val="00280706"/>
    <w:rsid w:val="002809F5"/>
    <w:rsid w:val="00280F8D"/>
    <w:rsid w:val="00281606"/>
    <w:rsid w:val="002817EC"/>
    <w:rsid w:val="00281E5D"/>
    <w:rsid w:val="00281EC3"/>
    <w:rsid w:val="00282025"/>
    <w:rsid w:val="00282428"/>
    <w:rsid w:val="00282592"/>
    <w:rsid w:val="00282B6C"/>
    <w:rsid w:val="00283084"/>
    <w:rsid w:val="00283251"/>
    <w:rsid w:val="002833CC"/>
    <w:rsid w:val="00283421"/>
    <w:rsid w:val="00283D01"/>
    <w:rsid w:val="00283D22"/>
    <w:rsid w:val="0028412B"/>
    <w:rsid w:val="00284502"/>
    <w:rsid w:val="00284C17"/>
    <w:rsid w:val="00284EBB"/>
    <w:rsid w:val="00284F64"/>
    <w:rsid w:val="002851FB"/>
    <w:rsid w:val="0028552E"/>
    <w:rsid w:val="00285B7A"/>
    <w:rsid w:val="00286239"/>
    <w:rsid w:val="00286288"/>
    <w:rsid w:val="00286461"/>
    <w:rsid w:val="0028647A"/>
    <w:rsid w:val="0028656A"/>
    <w:rsid w:val="0028663A"/>
    <w:rsid w:val="00286B0E"/>
    <w:rsid w:val="00286B4B"/>
    <w:rsid w:val="00286BD1"/>
    <w:rsid w:val="00286EAC"/>
    <w:rsid w:val="00286FA3"/>
    <w:rsid w:val="00287088"/>
    <w:rsid w:val="0028710A"/>
    <w:rsid w:val="00287283"/>
    <w:rsid w:val="0028732F"/>
    <w:rsid w:val="0028736D"/>
    <w:rsid w:val="00287590"/>
    <w:rsid w:val="00287BFE"/>
    <w:rsid w:val="00287E08"/>
    <w:rsid w:val="00287F30"/>
    <w:rsid w:val="00287FE6"/>
    <w:rsid w:val="00290222"/>
    <w:rsid w:val="0029064D"/>
    <w:rsid w:val="00290655"/>
    <w:rsid w:val="0029079D"/>
    <w:rsid w:val="002907C4"/>
    <w:rsid w:val="00290861"/>
    <w:rsid w:val="00290C72"/>
    <w:rsid w:val="00290CE2"/>
    <w:rsid w:val="00290E6B"/>
    <w:rsid w:val="00290FD6"/>
    <w:rsid w:val="002913B9"/>
    <w:rsid w:val="002914C5"/>
    <w:rsid w:val="00291524"/>
    <w:rsid w:val="002917E3"/>
    <w:rsid w:val="002919AB"/>
    <w:rsid w:val="00291A0A"/>
    <w:rsid w:val="00291BF2"/>
    <w:rsid w:val="00291D71"/>
    <w:rsid w:val="00291F26"/>
    <w:rsid w:val="00292015"/>
    <w:rsid w:val="00292313"/>
    <w:rsid w:val="00292614"/>
    <w:rsid w:val="00292869"/>
    <w:rsid w:val="00292C86"/>
    <w:rsid w:val="002930F5"/>
    <w:rsid w:val="00293C3E"/>
    <w:rsid w:val="00293F49"/>
    <w:rsid w:val="00293FC6"/>
    <w:rsid w:val="0029412E"/>
    <w:rsid w:val="0029439C"/>
    <w:rsid w:val="0029493A"/>
    <w:rsid w:val="00294A4E"/>
    <w:rsid w:val="00294D6F"/>
    <w:rsid w:val="00294E98"/>
    <w:rsid w:val="00295135"/>
    <w:rsid w:val="00295279"/>
    <w:rsid w:val="00295984"/>
    <w:rsid w:val="0029603B"/>
    <w:rsid w:val="002962CD"/>
    <w:rsid w:val="0029641D"/>
    <w:rsid w:val="00296675"/>
    <w:rsid w:val="002967CF"/>
    <w:rsid w:val="00296A9E"/>
    <w:rsid w:val="00296B62"/>
    <w:rsid w:val="00296E62"/>
    <w:rsid w:val="0029704D"/>
    <w:rsid w:val="002972DF"/>
    <w:rsid w:val="0029765E"/>
    <w:rsid w:val="002A0633"/>
    <w:rsid w:val="002A0826"/>
    <w:rsid w:val="002A0DD3"/>
    <w:rsid w:val="002A0FC3"/>
    <w:rsid w:val="002A1090"/>
    <w:rsid w:val="002A12F1"/>
    <w:rsid w:val="002A1346"/>
    <w:rsid w:val="002A1580"/>
    <w:rsid w:val="002A1D39"/>
    <w:rsid w:val="002A1D74"/>
    <w:rsid w:val="002A1F07"/>
    <w:rsid w:val="002A2043"/>
    <w:rsid w:val="002A2216"/>
    <w:rsid w:val="002A25CB"/>
    <w:rsid w:val="002A26FE"/>
    <w:rsid w:val="002A2BFE"/>
    <w:rsid w:val="002A2C89"/>
    <w:rsid w:val="002A2D73"/>
    <w:rsid w:val="002A2F02"/>
    <w:rsid w:val="002A319B"/>
    <w:rsid w:val="002A339F"/>
    <w:rsid w:val="002A389F"/>
    <w:rsid w:val="002A395B"/>
    <w:rsid w:val="002A4095"/>
    <w:rsid w:val="002A42EF"/>
    <w:rsid w:val="002A431A"/>
    <w:rsid w:val="002A432B"/>
    <w:rsid w:val="002A4B7E"/>
    <w:rsid w:val="002A4BB1"/>
    <w:rsid w:val="002A4C04"/>
    <w:rsid w:val="002A4F5E"/>
    <w:rsid w:val="002A4F95"/>
    <w:rsid w:val="002A50E7"/>
    <w:rsid w:val="002A519C"/>
    <w:rsid w:val="002A5206"/>
    <w:rsid w:val="002A5403"/>
    <w:rsid w:val="002A5420"/>
    <w:rsid w:val="002A54B8"/>
    <w:rsid w:val="002A56DA"/>
    <w:rsid w:val="002A571E"/>
    <w:rsid w:val="002A59FD"/>
    <w:rsid w:val="002A5B65"/>
    <w:rsid w:val="002A5DA0"/>
    <w:rsid w:val="002A5F07"/>
    <w:rsid w:val="002A65FE"/>
    <w:rsid w:val="002A6669"/>
    <w:rsid w:val="002A683C"/>
    <w:rsid w:val="002A69A4"/>
    <w:rsid w:val="002A69BC"/>
    <w:rsid w:val="002A69C8"/>
    <w:rsid w:val="002A6DDE"/>
    <w:rsid w:val="002A71E8"/>
    <w:rsid w:val="002A7272"/>
    <w:rsid w:val="002A7556"/>
    <w:rsid w:val="002A78CF"/>
    <w:rsid w:val="002A78D3"/>
    <w:rsid w:val="002A78E4"/>
    <w:rsid w:val="002A7965"/>
    <w:rsid w:val="002A7E8B"/>
    <w:rsid w:val="002A7F5F"/>
    <w:rsid w:val="002B011B"/>
    <w:rsid w:val="002B05C4"/>
    <w:rsid w:val="002B076F"/>
    <w:rsid w:val="002B0B55"/>
    <w:rsid w:val="002B0D01"/>
    <w:rsid w:val="002B0D11"/>
    <w:rsid w:val="002B0F56"/>
    <w:rsid w:val="002B13CB"/>
    <w:rsid w:val="002B1426"/>
    <w:rsid w:val="002B16E0"/>
    <w:rsid w:val="002B17B3"/>
    <w:rsid w:val="002B1A2F"/>
    <w:rsid w:val="002B1B05"/>
    <w:rsid w:val="002B1B40"/>
    <w:rsid w:val="002B1D72"/>
    <w:rsid w:val="002B1E91"/>
    <w:rsid w:val="002B1EF1"/>
    <w:rsid w:val="002B22EF"/>
    <w:rsid w:val="002B278A"/>
    <w:rsid w:val="002B27A7"/>
    <w:rsid w:val="002B2907"/>
    <w:rsid w:val="002B3111"/>
    <w:rsid w:val="002B32FC"/>
    <w:rsid w:val="002B3730"/>
    <w:rsid w:val="002B39E2"/>
    <w:rsid w:val="002B3BCE"/>
    <w:rsid w:val="002B3E02"/>
    <w:rsid w:val="002B3F9C"/>
    <w:rsid w:val="002B407B"/>
    <w:rsid w:val="002B417F"/>
    <w:rsid w:val="002B468E"/>
    <w:rsid w:val="002B4AAD"/>
    <w:rsid w:val="002B4DA6"/>
    <w:rsid w:val="002B4E79"/>
    <w:rsid w:val="002B4F0D"/>
    <w:rsid w:val="002B5024"/>
    <w:rsid w:val="002B525E"/>
    <w:rsid w:val="002B5898"/>
    <w:rsid w:val="002B59CA"/>
    <w:rsid w:val="002B5BA7"/>
    <w:rsid w:val="002B5FB0"/>
    <w:rsid w:val="002B626A"/>
    <w:rsid w:val="002B69F7"/>
    <w:rsid w:val="002B6BE2"/>
    <w:rsid w:val="002B709D"/>
    <w:rsid w:val="002B70F6"/>
    <w:rsid w:val="002B7189"/>
    <w:rsid w:val="002B721E"/>
    <w:rsid w:val="002B766E"/>
    <w:rsid w:val="002B7900"/>
    <w:rsid w:val="002B7948"/>
    <w:rsid w:val="002B7E72"/>
    <w:rsid w:val="002C0060"/>
    <w:rsid w:val="002C0078"/>
    <w:rsid w:val="002C0666"/>
    <w:rsid w:val="002C07D7"/>
    <w:rsid w:val="002C09DA"/>
    <w:rsid w:val="002C0B24"/>
    <w:rsid w:val="002C0B97"/>
    <w:rsid w:val="002C10F7"/>
    <w:rsid w:val="002C1218"/>
    <w:rsid w:val="002C134A"/>
    <w:rsid w:val="002C1409"/>
    <w:rsid w:val="002C18B4"/>
    <w:rsid w:val="002C1E2E"/>
    <w:rsid w:val="002C1E79"/>
    <w:rsid w:val="002C1E98"/>
    <w:rsid w:val="002C1E9C"/>
    <w:rsid w:val="002C2270"/>
    <w:rsid w:val="002C22E5"/>
    <w:rsid w:val="002C2532"/>
    <w:rsid w:val="002C2BB9"/>
    <w:rsid w:val="002C2D22"/>
    <w:rsid w:val="002C2DAE"/>
    <w:rsid w:val="002C2E51"/>
    <w:rsid w:val="002C2F4A"/>
    <w:rsid w:val="002C2FDE"/>
    <w:rsid w:val="002C30A7"/>
    <w:rsid w:val="002C33C9"/>
    <w:rsid w:val="002C34BA"/>
    <w:rsid w:val="002C3DB9"/>
    <w:rsid w:val="002C431F"/>
    <w:rsid w:val="002C4C80"/>
    <w:rsid w:val="002C4CB0"/>
    <w:rsid w:val="002C5202"/>
    <w:rsid w:val="002C522F"/>
    <w:rsid w:val="002C52B3"/>
    <w:rsid w:val="002C5976"/>
    <w:rsid w:val="002C6236"/>
    <w:rsid w:val="002C62A6"/>
    <w:rsid w:val="002C6444"/>
    <w:rsid w:val="002C65E5"/>
    <w:rsid w:val="002C6677"/>
    <w:rsid w:val="002C6BA0"/>
    <w:rsid w:val="002C6F73"/>
    <w:rsid w:val="002C70A1"/>
    <w:rsid w:val="002C73F1"/>
    <w:rsid w:val="002C78AB"/>
    <w:rsid w:val="002C7C1A"/>
    <w:rsid w:val="002C7E63"/>
    <w:rsid w:val="002D0E5F"/>
    <w:rsid w:val="002D1054"/>
    <w:rsid w:val="002D1083"/>
    <w:rsid w:val="002D11A3"/>
    <w:rsid w:val="002D16DB"/>
    <w:rsid w:val="002D1747"/>
    <w:rsid w:val="002D18FC"/>
    <w:rsid w:val="002D1953"/>
    <w:rsid w:val="002D19B4"/>
    <w:rsid w:val="002D1FE7"/>
    <w:rsid w:val="002D20A7"/>
    <w:rsid w:val="002D20EC"/>
    <w:rsid w:val="002D2180"/>
    <w:rsid w:val="002D21E4"/>
    <w:rsid w:val="002D2203"/>
    <w:rsid w:val="002D22A0"/>
    <w:rsid w:val="002D2B57"/>
    <w:rsid w:val="002D2D30"/>
    <w:rsid w:val="002D2D73"/>
    <w:rsid w:val="002D2F09"/>
    <w:rsid w:val="002D2FA2"/>
    <w:rsid w:val="002D3027"/>
    <w:rsid w:val="002D33D6"/>
    <w:rsid w:val="002D34BC"/>
    <w:rsid w:val="002D35D0"/>
    <w:rsid w:val="002D3689"/>
    <w:rsid w:val="002D3886"/>
    <w:rsid w:val="002D3954"/>
    <w:rsid w:val="002D3A99"/>
    <w:rsid w:val="002D3D38"/>
    <w:rsid w:val="002D3F35"/>
    <w:rsid w:val="002D4217"/>
    <w:rsid w:val="002D44CC"/>
    <w:rsid w:val="002D4703"/>
    <w:rsid w:val="002D50C9"/>
    <w:rsid w:val="002D535D"/>
    <w:rsid w:val="002D548B"/>
    <w:rsid w:val="002D58E5"/>
    <w:rsid w:val="002D5F47"/>
    <w:rsid w:val="002D602A"/>
    <w:rsid w:val="002D60FB"/>
    <w:rsid w:val="002D62EA"/>
    <w:rsid w:val="002D68F5"/>
    <w:rsid w:val="002D6996"/>
    <w:rsid w:val="002D6AB5"/>
    <w:rsid w:val="002D71C7"/>
    <w:rsid w:val="002D7A68"/>
    <w:rsid w:val="002D7D47"/>
    <w:rsid w:val="002E0263"/>
    <w:rsid w:val="002E0B8F"/>
    <w:rsid w:val="002E0C1A"/>
    <w:rsid w:val="002E0C25"/>
    <w:rsid w:val="002E0FFF"/>
    <w:rsid w:val="002E116E"/>
    <w:rsid w:val="002E1195"/>
    <w:rsid w:val="002E149C"/>
    <w:rsid w:val="002E1AA5"/>
    <w:rsid w:val="002E1E43"/>
    <w:rsid w:val="002E21F6"/>
    <w:rsid w:val="002E26B3"/>
    <w:rsid w:val="002E2D95"/>
    <w:rsid w:val="002E30B9"/>
    <w:rsid w:val="002E31A4"/>
    <w:rsid w:val="002E3F0B"/>
    <w:rsid w:val="002E4172"/>
    <w:rsid w:val="002E455D"/>
    <w:rsid w:val="002E45C6"/>
    <w:rsid w:val="002E4652"/>
    <w:rsid w:val="002E4754"/>
    <w:rsid w:val="002E47FC"/>
    <w:rsid w:val="002E4D3B"/>
    <w:rsid w:val="002E5689"/>
    <w:rsid w:val="002E58B6"/>
    <w:rsid w:val="002E5ADE"/>
    <w:rsid w:val="002E5AFB"/>
    <w:rsid w:val="002E652E"/>
    <w:rsid w:val="002E6559"/>
    <w:rsid w:val="002E662D"/>
    <w:rsid w:val="002E685A"/>
    <w:rsid w:val="002E6ABC"/>
    <w:rsid w:val="002E718F"/>
    <w:rsid w:val="002E72B2"/>
    <w:rsid w:val="002E75A6"/>
    <w:rsid w:val="002E75F5"/>
    <w:rsid w:val="002E7723"/>
    <w:rsid w:val="002E7985"/>
    <w:rsid w:val="002E7A09"/>
    <w:rsid w:val="002F0001"/>
    <w:rsid w:val="002F00FF"/>
    <w:rsid w:val="002F01A7"/>
    <w:rsid w:val="002F0324"/>
    <w:rsid w:val="002F03C5"/>
    <w:rsid w:val="002F043A"/>
    <w:rsid w:val="002F054C"/>
    <w:rsid w:val="002F0A67"/>
    <w:rsid w:val="002F0CC6"/>
    <w:rsid w:val="002F0D66"/>
    <w:rsid w:val="002F0FF8"/>
    <w:rsid w:val="002F11F3"/>
    <w:rsid w:val="002F148F"/>
    <w:rsid w:val="002F14F4"/>
    <w:rsid w:val="002F1911"/>
    <w:rsid w:val="002F1D8C"/>
    <w:rsid w:val="002F1EE5"/>
    <w:rsid w:val="002F2658"/>
    <w:rsid w:val="002F2714"/>
    <w:rsid w:val="002F2CDC"/>
    <w:rsid w:val="002F2D68"/>
    <w:rsid w:val="002F2D91"/>
    <w:rsid w:val="002F3582"/>
    <w:rsid w:val="002F38A4"/>
    <w:rsid w:val="002F3C64"/>
    <w:rsid w:val="002F3F2F"/>
    <w:rsid w:val="002F3F39"/>
    <w:rsid w:val="002F43F5"/>
    <w:rsid w:val="002F460A"/>
    <w:rsid w:val="002F46E1"/>
    <w:rsid w:val="002F470B"/>
    <w:rsid w:val="002F4956"/>
    <w:rsid w:val="002F4D6E"/>
    <w:rsid w:val="002F4D7C"/>
    <w:rsid w:val="002F4F71"/>
    <w:rsid w:val="002F50BA"/>
    <w:rsid w:val="002F52A7"/>
    <w:rsid w:val="002F540A"/>
    <w:rsid w:val="002F5B89"/>
    <w:rsid w:val="002F5C0F"/>
    <w:rsid w:val="002F5E15"/>
    <w:rsid w:val="002F6316"/>
    <w:rsid w:val="002F63EB"/>
    <w:rsid w:val="002F64FE"/>
    <w:rsid w:val="002F660C"/>
    <w:rsid w:val="002F6A62"/>
    <w:rsid w:val="002F6B1D"/>
    <w:rsid w:val="002F6C84"/>
    <w:rsid w:val="002F6DEF"/>
    <w:rsid w:val="002F6FE1"/>
    <w:rsid w:val="002F7171"/>
    <w:rsid w:val="002F760F"/>
    <w:rsid w:val="002F793C"/>
    <w:rsid w:val="002F79F4"/>
    <w:rsid w:val="002F7B8F"/>
    <w:rsid w:val="002F7FCB"/>
    <w:rsid w:val="003000FF"/>
    <w:rsid w:val="0030063B"/>
    <w:rsid w:val="003006A0"/>
    <w:rsid w:val="00300742"/>
    <w:rsid w:val="003007B5"/>
    <w:rsid w:val="00300AA0"/>
    <w:rsid w:val="00300E1A"/>
    <w:rsid w:val="0030137B"/>
    <w:rsid w:val="0030172B"/>
    <w:rsid w:val="00301798"/>
    <w:rsid w:val="00301897"/>
    <w:rsid w:val="00301928"/>
    <w:rsid w:val="00301A07"/>
    <w:rsid w:val="00301B2D"/>
    <w:rsid w:val="00301DAA"/>
    <w:rsid w:val="00301E85"/>
    <w:rsid w:val="00302084"/>
    <w:rsid w:val="003020EF"/>
    <w:rsid w:val="00302264"/>
    <w:rsid w:val="00302635"/>
    <w:rsid w:val="00302826"/>
    <w:rsid w:val="00302BB6"/>
    <w:rsid w:val="00302CD5"/>
    <w:rsid w:val="00302E72"/>
    <w:rsid w:val="00302EA9"/>
    <w:rsid w:val="00303552"/>
    <w:rsid w:val="0030383E"/>
    <w:rsid w:val="003038AA"/>
    <w:rsid w:val="00303ADC"/>
    <w:rsid w:val="00303AFA"/>
    <w:rsid w:val="00303B66"/>
    <w:rsid w:val="00303B82"/>
    <w:rsid w:val="00304161"/>
    <w:rsid w:val="00304212"/>
    <w:rsid w:val="00304263"/>
    <w:rsid w:val="00304678"/>
    <w:rsid w:val="00304D95"/>
    <w:rsid w:val="003050A3"/>
    <w:rsid w:val="00305763"/>
    <w:rsid w:val="00305947"/>
    <w:rsid w:val="003061A3"/>
    <w:rsid w:val="00306732"/>
    <w:rsid w:val="00306A0B"/>
    <w:rsid w:val="00306A32"/>
    <w:rsid w:val="00306B93"/>
    <w:rsid w:val="00307010"/>
    <w:rsid w:val="003070FA"/>
    <w:rsid w:val="00307186"/>
    <w:rsid w:val="003077A5"/>
    <w:rsid w:val="003077B6"/>
    <w:rsid w:val="00307E98"/>
    <w:rsid w:val="00307F9B"/>
    <w:rsid w:val="00310188"/>
    <w:rsid w:val="00310252"/>
    <w:rsid w:val="003102C0"/>
    <w:rsid w:val="0031035B"/>
    <w:rsid w:val="003103BE"/>
    <w:rsid w:val="00310409"/>
    <w:rsid w:val="00310982"/>
    <w:rsid w:val="00310B58"/>
    <w:rsid w:val="00310DE0"/>
    <w:rsid w:val="00310F45"/>
    <w:rsid w:val="00310FAA"/>
    <w:rsid w:val="0031126E"/>
    <w:rsid w:val="00311460"/>
    <w:rsid w:val="0031175C"/>
    <w:rsid w:val="00311E4A"/>
    <w:rsid w:val="003121A6"/>
    <w:rsid w:val="00312777"/>
    <w:rsid w:val="003127D5"/>
    <w:rsid w:val="00312878"/>
    <w:rsid w:val="0031292E"/>
    <w:rsid w:val="00312B67"/>
    <w:rsid w:val="00312DFD"/>
    <w:rsid w:val="003131DA"/>
    <w:rsid w:val="00313290"/>
    <w:rsid w:val="003132D1"/>
    <w:rsid w:val="00313783"/>
    <w:rsid w:val="0031390B"/>
    <w:rsid w:val="00313C71"/>
    <w:rsid w:val="00313C7C"/>
    <w:rsid w:val="00313D44"/>
    <w:rsid w:val="00314563"/>
    <w:rsid w:val="003148A8"/>
    <w:rsid w:val="003148D6"/>
    <w:rsid w:val="00314B9F"/>
    <w:rsid w:val="00314BF3"/>
    <w:rsid w:val="00314BF8"/>
    <w:rsid w:val="00314C6B"/>
    <w:rsid w:val="00314C8A"/>
    <w:rsid w:val="0031542D"/>
    <w:rsid w:val="003154E5"/>
    <w:rsid w:val="003155D2"/>
    <w:rsid w:val="003155D5"/>
    <w:rsid w:val="0031567F"/>
    <w:rsid w:val="00315A8B"/>
    <w:rsid w:val="00315F32"/>
    <w:rsid w:val="00315FE7"/>
    <w:rsid w:val="00316097"/>
    <w:rsid w:val="0031643E"/>
    <w:rsid w:val="00316AF8"/>
    <w:rsid w:val="00316E30"/>
    <w:rsid w:val="003171D9"/>
    <w:rsid w:val="00317463"/>
    <w:rsid w:val="003174A2"/>
    <w:rsid w:val="003177F2"/>
    <w:rsid w:val="00317C18"/>
    <w:rsid w:val="00317DE3"/>
    <w:rsid w:val="00317E09"/>
    <w:rsid w:val="00320048"/>
    <w:rsid w:val="00320442"/>
    <w:rsid w:val="00320566"/>
    <w:rsid w:val="00320993"/>
    <w:rsid w:val="00320996"/>
    <w:rsid w:val="00320ADC"/>
    <w:rsid w:val="00320DBB"/>
    <w:rsid w:val="003211F1"/>
    <w:rsid w:val="003212B4"/>
    <w:rsid w:val="00321823"/>
    <w:rsid w:val="00321887"/>
    <w:rsid w:val="003218FA"/>
    <w:rsid w:val="00321B3C"/>
    <w:rsid w:val="0032213E"/>
    <w:rsid w:val="00322209"/>
    <w:rsid w:val="003223DE"/>
    <w:rsid w:val="00322575"/>
    <w:rsid w:val="003226F3"/>
    <w:rsid w:val="0032278B"/>
    <w:rsid w:val="003228AC"/>
    <w:rsid w:val="003228EA"/>
    <w:rsid w:val="00322B57"/>
    <w:rsid w:val="00322FCD"/>
    <w:rsid w:val="0032310A"/>
    <w:rsid w:val="00323783"/>
    <w:rsid w:val="003237CE"/>
    <w:rsid w:val="00323982"/>
    <w:rsid w:val="00323AE8"/>
    <w:rsid w:val="00323DC0"/>
    <w:rsid w:val="00323F7B"/>
    <w:rsid w:val="003240F6"/>
    <w:rsid w:val="00324208"/>
    <w:rsid w:val="0032458F"/>
    <w:rsid w:val="003245AA"/>
    <w:rsid w:val="00324A81"/>
    <w:rsid w:val="00324AF7"/>
    <w:rsid w:val="0032589F"/>
    <w:rsid w:val="003259A3"/>
    <w:rsid w:val="00325A7A"/>
    <w:rsid w:val="00325ABC"/>
    <w:rsid w:val="00325C41"/>
    <w:rsid w:val="00325DDA"/>
    <w:rsid w:val="003260B2"/>
    <w:rsid w:val="0032610F"/>
    <w:rsid w:val="003266F4"/>
    <w:rsid w:val="0032670D"/>
    <w:rsid w:val="00326ED8"/>
    <w:rsid w:val="00326F1D"/>
    <w:rsid w:val="00326F42"/>
    <w:rsid w:val="00327D35"/>
    <w:rsid w:val="00330092"/>
    <w:rsid w:val="0033014B"/>
    <w:rsid w:val="00330385"/>
    <w:rsid w:val="003304C1"/>
    <w:rsid w:val="00330527"/>
    <w:rsid w:val="003308AC"/>
    <w:rsid w:val="00330916"/>
    <w:rsid w:val="00330B40"/>
    <w:rsid w:val="00330B78"/>
    <w:rsid w:val="00330D02"/>
    <w:rsid w:val="003311C4"/>
    <w:rsid w:val="00331685"/>
    <w:rsid w:val="0033180A"/>
    <w:rsid w:val="0033185B"/>
    <w:rsid w:val="00331AC2"/>
    <w:rsid w:val="00331AEE"/>
    <w:rsid w:val="00331FBE"/>
    <w:rsid w:val="0033202C"/>
    <w:rsid w:val="0033228D"/>
    <w:rsid w:val="003324A1"/>
    <w:rsid w:val="0033253F"/>
    <w:rsid w:val="00332622"/>
    <w:rsid w:val="003327A4"/>
    <w:rsid w:val="0033295D"/>
    <w:rsid w:val="0033296A"/>
    <w:rsid w:val="00332DFF"/>
    <w:rsid w:val="00332E65"/>
    <w:rsid w:val="00332E86"/>
    <w:rsid w:val="00333128"/>
    <w:rsid w:val="00333223"/>
    <w:rsid w:val="003346CE"/>
    <w:rsid w:val="00334DF1"/>
    <w:rsid w:val="0033515F"/>
    <w:rsid w:val="003353EC"/>
    <w:rsid w:val="00335467"/>
    <w:rsid w:val="00335474"/>
    <w:rsid w:val="003354A2"/>
    <w:rsid w:val="003356C8"/>
    <w:rsid w:val="003357AB"/>
    <w:rsid w:val="00335AFA"/>
    <w:rsid w:val="003361A0"/>
    <w:rsid w:val="003367B9"/>
    <w:rsid w:val="00336C0A"/>
    <w:rsid w:val="00336C56"/>
    <w:rsid w:val="003376C8"/>
    <w:rsid w:val="00337797"/>
    <w:rsid w:val="003377BE"/>
    <w:rsid w:val="00337C4D"/>
    <w:rsid w:val="00337C91"/>
    <w:rsid w:val="00337D8F"/>
    <w:rsid w:val="00340230"/>
    <w:rsid w:val="003402B2"/>
    <w:rsid w:val="00340687"/>
    <w:rsid w:val="00340878"/>
    <w:rsid w:val="00340B7A"/>
    <w:rsid w:val="00340B7E"/>
    <w:rsid w:val="00340BFC"/>
    <w:rsid w:val="00340D15"/>
    <w:rsid w:val="00340D58"/>
    <w:rsid w:val="00341011"/>
    <w:rsid w:val="0034111B"/>
    <w:rsid w:val="00341157"/>
    <w:rsid w:val="00341440"/>
    <w:rsid w:val="003414D2"/>
    <w:rsid w:val="003416BB"/>
    <w:rsid w:val="003417AD"/>
    <w:rsid w:val="00341870"/>
    <w:rsid w:val="00341A8C"/>
    <w:rsid w:val="003422F0"/>
    <w:rsid w:val="0034257E"/>
    <w:rsid w:val="003426F3"/>
    <w:rsid w:val="00342877"/>
    <w:rsid w:val="00342895"/>
    <w:rsid w:val="0034333F"/>
    <w:rsid w:val="00343A10"/>
    <w:rsid w:val="00343B43"/>
    <w:rsid w:val="00343DB9"/>
    <w:rsid w:val="00343E68"/>
    <w:rsid w:val="00344502"/>
    <w:rsid w:val="00344596"/>
    <w:rsid w:val="00344DC4"/>
    <w:rsid w:val="003451F7"/>
    <w:rsid w:val="0034538F"/>
    <w:rsid w:val="00345754"/>
    <w:rsid w:val="003459BC"/>
    <w:rsid w:val="003459F5"/>
    <w:rsid w:val="00345A10"/>
    <w:rsid w:val="00345B71"/>
    <w:rsid w:val="00345BE8"/>
    <w:rsid w:val="00345DA2"/>
    <w:rsid w:val="00346236"/>
    <w:rsid w:val="00346840"/>
    <w:rsid w:val="0034689D"/>
    <w:rsid w:val="003469F1"/>
    <w:rsid w:val="00346A06"/>
    <w:rsid w:val="00346A8C"/>
    <w:rsid w:val="00346C96"/>
    <w:rsid w:val="00346F98"/>
    <w:rsid w:val="00347009"/>
    <w:rsid w:val="0034705A"/>
    <w:rsid w:val="00347992"/>
    <w:rsid w:val="00347A62"/>
    <w:rsid w:val="00347B96"/>
    <w:rsid w:val="00347D0F"/>
    <w:rsid w:val="00347E52"/>
    <w:rsid w:val="00347F43"/>
    <w:rsid w:val="003501F6"/>
    <w:rsid w:val="00350450"/>
    <w:rsid w:val="00350617"/>
    <w:rsid w:val="00350639"/>
    <w:rsid w:val="00350A83"/>
    <w:rsid w:val="00350E36"/>
    <w:rsid w:val="00350E74"/>
    <w:rsid w:val="00351438"/>
    <w:rsid w:val="003517BB"/>
    <w:rsid w:val="00351D3A"/>
    <w:rsid w:val="00352240"/>
    <w:rsid w:val="00352335"/>
    <w:rsid w:val="00352505"/>
    <w:rsid w:val="003528AE"/>
    <w:rsid w:val="00352904"/>
    <w:rsid w:val="00352A62"/>
    <w:rsid w:val="00352B17"/>
    <w:rsid w:val="0035309B"/>
    <w:rsid w:val="0035353E"/>
    <w:rsid w:val="003535B9"/>
    <w:rsid w:val="00353A17"/>
    <w:rsid w:val="00354023"/>
    <w:rsid w:val="0035403B"/>
    <w:rsid w:val="003542D6"/>
    <w:rsid w:val="0035452D"/>
    <w:rsid w:val="003547EE"/>
    <w:rsid w:val="00354A12"/>
    <w:rsid w:val="00354FD7"/>
    <w:rsid w:val="00355116"/>
    <w:rsid w:val="00355181"/>
    <w:rsid w:val="00355327"/>
    <w:rsid w:val="00355379"/>
    <w:rsid w:val="00355AC5"/>
    <w:rsid w:val="00355CFD"/>
    <w:rsid w:val="00355FEC"/>
    <w:rsid w:val="0035613B"/>
    <w:rsid w:val="003561CB"/>
    <w:rsid w:val="00356253"/>
    <w:rsid w:val="0035637C"/>
    <w:rsid w:val="00356756"/>
    <w:rsid w:val="003569DB"/>
    <w:rsid w:val="00356AA4"/>
    <w:rsid w:val="003571FB"/>
    <w:rsid w:val="0035746D"/>
    <w:rsid w:val="0035750A"/>
    <w:rsid w:val="0035764B"/>
    <w:rsid w:val="00357680"/>
    <w:rsid w:val="003576F7"/>
    <w:rsid w:val="0035777D"/>
    <w:rsid w:val="00357968"/>
    <w:rsid w:val="00357982"/>
    <w:rsid w:val="00357D33"/>
    <w:rsid w:val="00357F80"/>
    <w:rsid w:val="0036059C"/>
    <w:rsid w:val="003607C5"/>
    <w:rsid w:val="00360AD9"/>
    <w:rsid w:val="00360CF1"/>
    <w:rsid w:val="00360DA1"/>
    <w:rsid w:val="00360DAA"/>
    <w:rsid w:val="003611C4"/>
    <w:rsid w:val="003614B0"/>
    <w:rsid w:val="003614DE"/>
    <w:rsid w:val="003616AD"/>
    <w:rsid w:val="003617B8"/>
    <w:rsid w:val="003617B9"/>
    <w:rsid w:val="00361E66"/>
    <w:rsid w:val="003625B0"/>
    <w:rsid w:val="003625B1"/>
    <w:rsid w:val="00362919"/>
    <w:rsid w:val="00362B31"/>
    <w:rsid w:val="00362C4B"/>
    <w:rsid w:val="00362C91"/>
    <w:rsid w:val="00362D1B"/>
    <w:rsid w:val="00363169"/>
    <w:rsid w:val="003634EA"/>
    <w:rsid w:val="00363922"/>
    <w:rsid w:val="00363A15"/>
    <w:rsid w:val="00363A42"/>
    <w:rsid w:val="00363CDC"/>
    <w:rsid w:val="00363D1B"/>
    <w:rsid w:val="00363ECF"/>
    <w:rsid w:val="003646FB"/>
    <w:rsid w:val="00364733"/>
    <w:rsid w:val="00364757"/>
    <w:rsid w:val="00364B2A"/>
    <w:rsid w:val="00364C5E"/>
    <w:rsid w:val="003651EC"/>
    <w:rsid w:val="00365560"/>
    <w:rsid w:val="00365650"/>
    <w:rsid w:val="00365701"/>
    <w:rsid w:val="0036573A"/>
    <w:rsid w:val="00365E23"/>
    <w:rsid w:val="0036635B"/>
    <w:rsid w:val="00366544"/>
    <w:rsid w:val="0036668C"/>
    <w:rsid w:val="003669A6"/>
    <w:rsid w:val="00366BFF"/>
    <w:rsid w:val="00367382"/>
    <w:rsid w:val="0036747E"/>
    <w:rsid w:val="00367BB0"/>
    <w:rsid w:val="00367C25"/>
    <w:rsid w:val="00367E50"/>
    <w:rsid w:val="003701AC"/>
    <w:rsid w:val="00370645"/>
    <w:rsid w:val="00370B30"/>
    <w:rsid w:val="00370B8A"/>
    <w:rsid w:val="00370CBF"/>
    <w:rsid w:val="00371090"/>
    <w:rsid w:val="0037141D"/>
    <w:rsid w:val="003716BA"/>
    <w:rsid w:val="00371937"/>
    <w:rsid w:val="00371A5B"/>
    <w:rsid w:val="00371F23"/>
    <w:rsid w:val="00372500"/>
    <w:rsid w:val="003725BF"/>
    <w:rsid w:val="003726A2"/>
    <w:rsid w:val="00372773"/>
    <w:rsid w:val="003728D7"/>
    <w:rsid w:val="00372EA4"/>
    <w:rsid w:val="0037312C"/>
    <w:rsid w:val="003731C3"/>
    <w:rsid w:val="00373C7B"/>
    <w:rsid w:val="00373CEB"/>
    <w:rsid w:val="00373DC4"/>
    <w:rsid w:val="00373F94"/>
    <w:rsid w:val="00374200"/>
    <w:rsid w:val="00374242"/>
    <w:rsid w:val="003742E9"/>
    <w:rsid w:val="00374549"/>
    <w:rsid w:val="00374761"/>
    <w:rsid w:val="0037484D"/>
    <w:rsid w:val="00374BD7"/>
    <w:rsid w:val="00374C13"/>
    <w:rsid w:val="003750C2"/>
    <w:rsid w:val="003756A8"/>
    <w:rsid w:val="00375CB0"/>
    <w:rsid w:val="00376179"/>
    <w:rsid w:val="0037647F"/>
    <w:rsid w:val="00376809"/>
    <w:rsid w:val="00376B6A"/>
    <w:rsid w:val="0037705C"/>
    <w:rsid w:val="0037744F"/>
    <w:rsid w:val="003777E2"/>
    <w:rsid w:val="003779AE"/>
    <w:rsid w:val="003779FC"/>
    <w:rsid w:val="00377A00"/>
    <w:rsid w:val="00377E05"/>
    <w:rsid w:val="00380305"/>
    <w:rsid w:val="0038054D"/>
    <w:rsid w:val="00380915"/>
    <w:rsid w:val="00380981"/>
    <w:rsid w:val="00380A03"/>
    <w:rsid w:val="00380FF6"/>
    <w:rsid w:val="00381046"/>
    <w:rsid w:val="00381260"/>
    <w:rsid w:val="00381654"/>
    <w:rsid w:val="00381C11"/>
    <w:rsid w:val="00381DCA"/>
    <w:rsid w:val="00381F15"/>
    <w:rsid w:val="00381F5C"/>
    <w:rsid w:val="0038207B"/>
    <w:rsid w:val="003821E7"/>
    <w:rsid w:val="00382326"/>
    <w:rsid w:val="003824DE"/>
    <w:rsid w:val="0038251E"/>
    <w:rsid w:val="00382526"/>
    <w:rsid w:val="0038258C"/>
    <w:rsid w:val="00382636"/>
    <w:rsid w:val="00382BBA"/>
    <w:rsid w:val="00382F70"/>
    <w:rsid w:val="00382F73"/>
    <w:rsid w:val="003831BC"/>
    <w:rsid w:val="00383254"/>
    <w:rsid w:val="003832AD"/>
    <w:rsid w:val="00383731"/>
    <w:rsid w:val="003837CD"/>
    <w:rsid w:val="00383846"/>
    <w:rsid w:val="0038391C"/>
    <w:rsid w:val="00383BA8"/>
    <w:rsid w:val="00384297"/>
    <w:rsid w:val="0038461D"/>
    <w:rsid w:val="00384693"/>
    <w:rsid w:val="0038480A"/>
    <w:rsid w:val="00384AB5"/>
    <w:rsid w:val="00384C46"/>
    <w:rsid w:val="00384C92"/>
    <w:rsid w:val="00384D9B"/>
    <w:rsid w:val="00384DD8"/>
    <w:rsid w:val="00384F61"/>
    <w:rsid w:val="003852C5"/>
    <w:rsid w:val="0038555F"/>
    <w:rsid w:val="0038567B"/>
    <w:rsid w:val="0038575F"/>
    <w:rsid w:val="00385912"/>
    <w:rsid w:val="00385979"/>
    <w:rsid w:val="00385C50"/>
    <w:rsid w:val="00385D3D"/>
    <w:rsid w:val="00385D62"/>
    <w:rsid w:val="00385F17"/>
    <w:rsid w:val="003861D5"/>
    <w:rsid w:val="003865D6"/>
    <w:rsid w:val="003866AD"/>
    <w:rsid w:val="00386947"/>
    <w:rsid w:val="00386A63"/>
    <w:rsid w:val="00386D50"/>
    <w:rsid w:val="00386D62"/>
    <w:rsid w:val="00387060"/>
    <w:rsid w:val="0038710B"/>
    <w:rsid w:val="00387141"/>
    <w:rsid w:val="00387480"/>
    <w:rsid w:val="003879D6"/>
    <w:rsid w:val="00387C8B"/>
    <w:rsid w:val="00387EAE"/>
    <w:rsid w:val="00387EC3"/>
    <w:rsid w:val="00387EE8"/>
    <w:rsid w:val="003900E9"/>
    <w:rsid w:val="0039064C"/>
    <w:rsid w:val="00390685"/>
    <w:rsid w:val="003908A1"/>
    <w:rsid w:val="00390DAB"/>
    <w:rsid w:val="0039114E"/>
    <w:rsid w:val="00391591"/>
    <w:rsid w:val="00391716"/>
    <w:rsid w:val="0039191D"/>
    <w:rsid w:val="00391ABF"/>
    <w:rsid w:val="00391E30"/>
    <w:rsid w:val="00391E36"/>
    <w:rsid w:val="00391F7A"/>
    <w:rsid w:val="00392145"/>
    <w:rsid w:val="0039226A"/>
    <w:rsid w:val="003922C1"/>
    <w:rsid w:val="00392448"/>
    <w:rsid w:val="003924E4"/>
    <w:rsid w:val="00392536"/>
    <w:rsid w:val="0039291E"/>
    <w:rsid w:val="00392944"/>
    <w:rsid w:val="00392C57"/>
    <w:rsid w:val="00392FFA"/>
    <w:rsid w:val="003930E3"/>
    <w:rsid w:val="003936DF"/>
    <w:rsid w:val="00393895"/>
    <w:rsid w:val="00393C62"/>
    <w:rsid w:val="00393CE6"/>
    <w:rsid w:val="00393EDF"/>
    <w:rsid w:val="00394211"/>
    <w:rsid w:val="00394292"/>
    <w:rsid w:val="0039436F"/>
    <w:rsid w:val="0039438A"/>
    <w:rsid w:val="00394618"/>
    <w:rsid w:val="00394791"/>
    <w:rsid w:val="003947BF"/>
    <w:rsid w:val="00394D4A"/>
    <w:rsid w:val="00395229"/>
    <w:rsid w:val="00395286"/>
    <w:rsid w:val="0039546E"/>
    <w:rsid w:val="00395478"/>
    <w:rsid w:val="003957AA"/>
    <w:rsid w:val="00395F99"/>
    <w:rsid w:val="00396437"/>
    <w:rsid w:val="0039687E"/>
    <w:rsid w:val="00396A34"/>
    <w:rsid w:val="00396DC3"/>
    <w:rsid w:val="0039757D"/>
    <w:rsid w:val="0039769A"/>
    <w:rsid w:val="00397EA2"/>
    <w:rsid w:val="00397F1F"/>
    <w:rsid w:val="003A00EB"/>
    <w:rsid w:val="003A0277"/>
    <w:rsid w:val="003A0316"/>
    <w:rsid w:val="003A063D"/>
    <w:rsid w:val="003A063F"/>
    <w:rsid w:val="003A090B"/>
    <w:rsid w:val="003A0E93"/>
    <w:rsid w:val="003A12C1"/>
    <w:rsid w:val="003A12D7"/>
    <w:rsid w:val="003A13D2"/>
    <w:rsid w:val="003A13DE"/>
    <w:rsid w:val="003A17C3"/>
    <w:rsid w:val="003A1974"/>
    <w:rsid w:val="003A1C71"/>
    <w:rsid w:val="003A1E74"/>
    <w:rsid w:val="003A2009"/>
    <w:rsid w:val="003A219B"/>
    <w:rsid w:val="003A21F8"/>
    <w:rsid w:val="003A24D1"/>
    <w:rsid w:val="003A284B"/>
    <w:rsid w:val="003A28B9"/>
    <w:rsid w:val="003A293A"/>
    <w:rsid w:val="003A2A56"/>
    <w:rsid w:val="003A2D67"/>
    <w:rsid w:val="003A346F"/>
    <w:rsid w:val="003A3642"/>
    <w:rsid w:val="003A36CE"/>
    <w:rsid w:val="003A3DBC"/>
    <w:rsid w:val="003A444D"/>
    <w:rsid w:val="003A46E9"/>
    <w:rsid w:val="003A472D"/>
    <w:rsid w:val="003A4C57"/>
    <w:rsid w:val="003A4E9D"/>
    <w:rsid w:val="003A4F00"/>
    <w:rsid w:val="003A4F03"/>
    <w:rsid w:val="003A4FFA"/>
    <w:rsid w:val="003A5101"/>
    <w:rsid w:val="003A510B"/>
    <w:rsid w:val="003A5346"/>
    <w:rsid w:val="003A53D3"/>
    <w:rsid w:val="003A550E"/>
    <w:rsid w:val="003A55F4"/>
    <w:rsid w:val="003A58DC"/>
    <w:rsid w:val="003A5C62"/>
    <w:rsid w:val="003A5CEA"/>
    <w:rsid w:val="003A5D6F"/>
    <w:rsid w:val="003A5D88"/>
    <w:rsid w:val="003A5F35"/>
    <w:rsid w:val="003A63DB"/>
    <w:rsid w:val="003A65D6"/>
    <w:rsid w:val="003A684C"/>
    <w:rsid w:val="003A6A5D"/>
    <w:rsid w:val="003A6E45"/>
    <w:rsid w:val="003A6EBC"/>
    <w:rsid w:val="003A71CF"/>
    <w:rsid w:val="003A755E"/>
    <w:rsid w:val="003A77A6"/>
    <w:rsid w:val="003A7D3E"/>
    <w:rsid w:val="003A7D4F"/>
    <w:rsid w:val="003A7DB3"/>
    <w:rsid w:val="003B01FF"/>
    <w:rsid w:val="003B0958"/>
    <w:rsid w:val="003B0B3A"/>
    <w:rsid w:val="003B0D26"/>
    <w:rsid w:val="003B0DB6"/>
    <w:rsid w:val="003B0DFB"/>
    <w:rsid w:val="003B0E84"/>
    <w:rsid w:val="003B10A8"/>
    <w:rsid w:val="003B1280"/>
    <w:rsid w:val="003B1636"/>
    <w:rsid w:val="003B1814"/>
    <w:rsid w:val="003B1976"/>
    <w:rsid w:val="003B197A"/>
    <w:rsid w:val="003B2310"/>
    <w:rsid w:val="003B2537"/>
    <w:rsid w:val="003B2786"/>
    <w:rsid w:val="003B293A"/>
    <w:rsid w:val="003B29BB"/>
    <w:rsid w:val="003B2B0C"/>
    <w:rsid w:val="003B3009"/>
    <w:rsid w:val="003B3072"/>
    <w:rsid w:val="003B37F6"/>
    <w:rsid w:val="003B41FC"/>
    <w:rsid w:val="003B45C0"/>
    <w:rsid w:val="003B45C3"/>
    <w:rsid w:val="003B4634"/>
    <w:rsid w:val="003B4A58"/>
    <w:rsid w:val="003B4B55"/>
    <w:rsid w:val="003B4DB9"/>
    <w:rsid w:val="003B51ED"/>
    <w:rsid w:val="003B5958"/>
    <w:rsid w:val="003B5B36"/>
    <w:rsid w:val="003B60D3"/>
    <w:rsid w:val="003B61EE"/>
    <w:rsid w:val="003B6345"/>
    <w:rsid w:val="003B6C50"/>
    <w:rsid w:val="003B6FEC"/>
    <w:rsid w:val="003B70FD"/>
    <w:rsid w:val="003B7395"/>
    <w:rsid w:val="003B7452"/>
    <w:rsid w:val="003B769E"/>
    <w:rsid w:val="003B7C0A"/>
    <w:rsid w:val="003B7C9B"/>
    <w:rsid w:val="003C0190"/>
    <w:rsid w:val="003C021F"/>
    <w:rsid w:val="003C048B"/>
    <w:rsid w:val="003C0C33"/>
    <w:rsid w:val="003C0C44"/>
    <w:rsid w:val="003C0E9A"/>
    <w:rsid w:val="003C0FB8"/>
    <w:rsid w:val="003C105F"/>
    <w:rsid w:val="003C12B8"/>
    <w:rsid w:val="003C1304"/>
    <w:rsid w:val="003C204C"/>
    <w:rsid w:val="003C2DBF"/>
    <w:rsid w:val="003C2F67"/>
    <w:rsid w:val="003C30BF"/>
    <w:rsid w:val="003C33A6"/>
    <w:rsid w:val="003C33FE"/>
    <w:rsid w:val="003C37A3"/>
    <w:rsid w:val="003C41B5"/>
    <w:rsid w:val="003C4BBF"/>
    <w:rsid w:val="003C4C2D"/>
    <w:rsid w:val="003C4D39"/>
    <w:rsid w:val="003C521E"/>
    <w:rsid w:val="003C54A5"/>
    <w:rsid w:val="003C568C"/>
    <w:rsid w:val="003C571A"/>
    <w:rsid w:val="003C5822"/>
    <w:rsid w:val="003C590E"/>
    <w:rsid w:val="003C594E"/>
    <w:rsid w:val="003C636E"/>
    <w:rsid w:val="003C6413"/>
    <w:rsid w:val="003C6476"/>
    <w:rsid w:val="003C6565"/>
    <w:rsid w:val="003C684F"/>
    <w:rsid w:val="003C7091"/>
    <w:rsid w:val="003C7212"/>
    <w:rsid w:val="003C733C"/>
    <w:rsid w:val="003C733D"/>
    <w:rsid w:val="003C78AA"/>
    <w:rsid w:val="003C7B9B"/>
    <w:rsid w:val="003C7BA0"/>
    <w:rsid w:val="003C7E88"/>
    <w:rsid w:val="003D01D9"/>
    <w:rsid w:val="003D04D6"/>
    <w:rsid w:val="003D0662"/>
    <w:rsid w:val="003D0685"/>
    <w:rsid w:val="003D068D"/>
    <w:rsid w:val="003D07E0"/>
    <w:rsid w:val="003D0819"/>
    <w:rsid w:val="003D0831"/>
    <w:rsid w:val="003D0AB5"/>
    <w:rsid w:val="003D0BAF"/>
    <w:rsid w:val="003D0C96"/>
    <w:rsid w:val="003D0D3C"/>
    <w:rsid w:val="003D1163"/>
    <w:rsid w:val="003D11D4"/>
    <w:rsid w:val="003D15CA"/>
    <w:rsid w:val="003D188F"/>
    <w:rsid w:val="003D1C3F"/>
    <w:rsid w:val="003D1E1C"/>
    <w:rsid w:val="003D1FF9"/>
    <w:rsid w:val="003D227F"/>
    <w:rsid w:val="003D2A68"/>
    <w:rsid w:val="003D2DC7"/>
    <w:rsid w:val="003D2F4B"/>
    <w:rsid w:val="003D2FBE"/>
    <w:rsid w:val="003D32B8"/>
    <w:rsid w:val="003D3E01"/>
    <w:rsid w:val="003D3EC6"/>
    <w:rsid w:val="003D3F47"/>
    <w:rsid w:val="003D43F0"/>
    <w:rsid w:val="003D4714"/>
    <w:rsid w:val="003D4881"/>
    <w:rsid w:val="003D49EA"/>
    <w:rsid w:val="003D583D"/>
    <w:rsid w:val="003D58FC"/>
    <w:rsid w:val="003D5A9B"/>
    <w:rsid w:val="003D5AB0"/>
    <w:rsid w:val="003D5E6C"/>
    <w:rsid w:val="003D5F07"/>
    <w:rsid w:val="003D5FAC"/>
    <w:rsid w:val="003D6A9A"/>
    <w:rsid w:val="003D6AE2"/>
    <w:rsid w:val="003D6B0D"/>
    <w:rsid w:val="003D6D4F"/>
    <w:rsid w:val="003D6DEC"/>
    <w:rsid w:val="003D6DF1"/>
    <w:rsid w:val="003D6F92"/>
    <w:rsid w:val="003D734F"/>
    <w:rsid w:val="003D7549"/>
    <w:rsid w:val="003D771E"/>
    <w:rsid w:val="003D7742"/>
    <w:rsid w:val="003D7A29"/>
    <w:rsid w:val="003D7AE6"/>
    <w:rsid w:val="003E01EF"/>
    <w:rsid w:val="003E020B"/>
    <w:rsid w:val="003E039A"/>
    <w:rsid w:val="003E0406"/>
    <w:rsid w:val="003E0471"/>
    <w:rsid w:val="003E063B"/>
    <w:rsid w:val="003E0988"/>
    <w:rsid w:val="003E0BAA"/>
    <w:rsid w:val="003E0C03"/>
    <w:rsid w:val="003E10F4"/>
    <w:rsid w:val="003E126E"/>
    <w:rsid w:val="003E1387"/>
    <w:rsid w:val="003E151E"/>
    <w:rsid w:val="003E1535"/>
    <w:rsid w:val="003E1725"/>
    <w:rsid w:val="003E1C08"/>
    <w:rsid w:val="003E1C42"/>
    <w:rsid w:val="003E1DC0"/>
    <w:rsid w:val="003E2428"/>
    <w:rsid w:val="003E2561"/>
    <w:rsid w:val="003E2D0C"/>
    <w:rsid w:val="003E2FEC"/>
    <w:rsid w:val="003E31BE"/>
    <w:rsid w:val="003E35CF"/>
    <w:rsid w:val="003E3B0F"/>
    <w:rsid w:val="003E3B93"/>
    <w:rsid w:val="003E3CBD"/>
    <w:rsid w:val="003E3E94"/>
    <w:rsid w:val="003E3E9A"/>
    <w:rsid w:val="003E4721"/>
    <w:rsid w:val="003E4856"/>
    <w:rsid w:val="003E4BF3"/>
    <w:rsid w:val="003E5015"/>
    <w:rsid w:val="003E5158"/>
    <w:rsid w:val="003E526A"/>
    <w:rsid w:val="003E5405"/>
    <w:rsid w:val="003E5CDE"/>
    <w:rsid w:val="003E5EBC"/>
    <w:rsid w:val="003E5F82"/>
    <w:rsid w:val="003E612A"/>
    <w:rsid w:val="003E627A"/>
    <w:rsid w:val="003E6423"/>
    <w:rsid w:val="003E6513"/>
    <w:rsid w:val="003E68A5"/>
    <w:rsid w:val="003E68CD"/>
    <w:rsid w:val="003E710B"/>
    <w:rsid w:val="003E76CF"/>
    <w:rsid w:val="003E7A91"/>
    <w:rsid w:val="003E7B17"/>
    <w:rsid w:val="003E7E5B"/>
    <w:rsid w:val="003E7F5A"/>
    <w:rsid w:val="003F096B"/>
    <w:rsid w:val="003F0B3E"/>
    <w:rsid w:val="003F0ECB"/>
    <w:rsid w:val="003F12CE"/>
    <w:rsid w:val="003F1351"/>
    <w:rsid w:val="003F1776"/>
    <w:rsid w:val="003F17BE"/>
    <w:rsid w:val="003F1843"/>
    <w:rsid w:val="003F1A6C"/>
    <w:rsid w:val="003F1B52"/>
    <w:rsid w:val="003F208B"/>
    <w:rsid w:val="003F20A4"/>
    <w:rsid w:val="003F20DE"/>
    <w:rsid w:val="003F2283"/>
    <w:rsid w:val="003F23B4"/>
    <w:rsid w:val="003F2764"/>
    <w:rsid w:val="003F2821"/>
    <w:rsid w:val="003F32BE"/>
    <w:rsid w:val="003F3325"/>
    <w:rsid w:val="003F340D"/>
    <w:rsid w:val="003F36B1"/>
    <w:rsid w:val="003F3D2E"/>
    <w:rsid w:val="003F3E40"/>
    <w:rsid w:val="003F3FAB"/>
    <w:rsid w:val="003F40D1"/>
    <w:rsid w:val="003F4428"/>
    <w:rsid w:val="003F4F79"/>
    <w:rsid w:val="003F4F84"/>
    <w:rsid w:val="003F50E0"/>
    <w:rsid w:val="003F516E"/>
    <w:rsid w:val="003F5716"/>
    <w:rsid w:val="003F60C2"/>
    <w:rsid w:val="003F621E"/>
    <w:rsid w:val="003F649F"/>
    <w:rsid w:val="003F665D"/>
    <w:rsid w:val="003F698E"/>
    <w:rsid w:val="003F6A94"/>
    <w:rsid w:val="003F704B"/>
    <w:rsid w:val="003F7144"/>
    <w:rsid w:val="003F74D8"/>
    <w:rsid w:val="003F76F6"/>
    <w:rsid w:val="003F7758"/>
    <w:rsid w:val="003F7922"/>
    <w:rsid w:val="003F7B4F"/>
    <w:rsid w:val="004002B2"/>
    <w:rsid w:val="004003C6"/>
    <w:rsid w:val="00400408"/>
    <w:rsid w:val="00400454"/>
    <w:rsid w:val="004008A0"/>
    <w:rsid w:val="00400B72"/>
    <w:rsid w:val="00400E28"/>
    <w:rsid w:val="00400EE6"/>
    <w:rsid w:val="00401287"/>
    <w:rsid w:val="0040131E"/>
    <w:rsid w:val="00401339"/>
    <w:rsid w:val="0040188E"/>
    <w:rsid w:val="0040199D"/>
    <w:rsid w:val="00401B18"/>
    <w:rsid w:val="00401C5B"/>
    <w:rsid w:val="0040218F"/>
    <w:rsid w:val="00402274"/>
    <w:rsid w:val="004026AA"/>
    <w:rsid w:val="00402AD4"/>
    <w:rsid w:val="00402EDF"/>
    <w:rsid w:val="0040399D"/>
    <w:rsid w:val="00403D3C"/>
    <w:rsid w:val="00403F36"/>
    <w:rsid w:val="004040FE"/>
    <w:rsid w:val="00404738"/>
    <w:rsid w:val="00404785"/>
    <w:rsid w:val="00404F2A"/>
    <w:rsid w:val="0040554F"/>
    <w:rsid w:val="00405706"/>
    <w:rsid w:val="00405C66"/>
    <w:rsid w:val="00405FB4"/>
    <w:rsid w:val="004062D7"/>
    <w:rsid w:val="004063BD"/>
    <w:rsid w:val="00406B8E"/>
    <w:rsid w:val="00406C08"/>
    <w:rsid w:val="00406E86"/>
    <w:rsid w:val="004070E7"/>
    <w:rsid w:val="004071AA"/>
    <w:rsid w:val="004071E1"/>
    <w:rsid w:val="0040764E"/>
    <w:rsid w:val="00407691"/>
    <w:rsid w:val="00407B1E"/>
    <w:rsid w:val="00407B24"/>
    <w:rsid w:val="00407C96"/>
    <w:rsid w:val="00410386"/>
    <w:rsid w:val="004105C1"/>
    <w:rsid w:val="00410BBB"/>
    <w:rsid w:val="004115D8"/>
    <w:rsid w:val="004115F5"/>
    <w:rsid w:val="00411607"/>
    <w:rsid w:val="00411B45"/>
    <w:rsid w:val="00411C04"/>
    <w:rsid w:val="00411E95"/>
    <w:rsid w:val="00411EB7"/>
    <w:rsid w:val="00411F9F"/>
    <w:rsid w:val="00411FBA"/>
    <w:rsid w:val="00412340"/>
    <w:rsid w:val="00412366"/>
    <w:rsid w:val="004123F4"/>
    <w:rsid w:val="00412488"/>
    <w:rsid w:val="00412572"/>
    <w:rsid w:val="00412956"/>
    <w:rsid w:val="00413C4D"/>
    <w:rsid w:val="00413D73"/>
    <w:rsid w:val="00413FE1"/>
    <w:rsid w:val="00414148"/>
    <w:rsid w:val="00414424"/>
    <w:rsid w:val="00414636"/>
    <w:rsid w:val="00414936"/>
    <w:rsid w:val="00414D29"/>
    <w:rsid w:val="0041530D"/>
    <w:rsid w:val="00415552"/>
    <w:rsid w:val="0041560E"/>
    <w:rsid w:val="004156AA"/>
    <w:rsid w:val="00415807"/>
    <w:rsid w:val="00416350"/>
    <w:rsid w:val="00416CB0"/>
    <w:rsid w:val="00416D3B"/>
    <w:rsid w:val="00416EE8"/>
    <w:rsid w:val="00416F71"/>
    <w:rsid w:val="00416F7B"/>
    <w:rsid w:val="0041717F"/>
    <w:rsid w:val="004171BB"/>
    <w:rsid w:val="00417308"/>
    <w:rsid w:val="00417431"/>
    <w:rsid w:val="0041753B"/>
    <w:rsid w:val="0041773E"/>
    <w:rsid w:val="00417963"/>
    <w:rsid w:val="00417B83"/>
    <w:rsid w:val="00417D0C"/>
    <w:rsid w:val="00420984"/>
    <w:rsid w:val="00420A6E"/>
    <w:rsid w:val="00420BA9"/>
    <w:rsid w:val="00420C63"/>
    <w:rsid w:val="004214FD"/>
    <w:rsid w:val="00421674"/>
    <w:rsid w:val="004216A1"/>
    <w:rsid w:val="004216E4"/>
    <w:rsid w:val="004217C8"/>
    <w:rsid w:val="00421CB1"/>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3F3D"/>
    <w:rsid w:val="004242E0"/>
    <w:rsid w:val="0042443E"/>
    <w:rsid w:val="0042466E"/>
    <w:rsid w:val="0042500C"/>
    <w:rsid w:val="004256F0"/>
    <w:rsid w:val="004257F8"/>
    <w:rsid w:val="004259BC"/>
    <w:rsid w:val="00425B7D"/>
    <w:rsid w:val="00425B9B"/>
    <w:rsid w:val="00425D6B"/>
    <w:rsid w:val="00426044"/>
    <w:rsid w:val="0042613A"/>
    <w:rsid w:val="0042695B"/>
    <w:rsid w:val="00426F17"/>
    <w:rsid w:val="00427080"/>
    <w:rsid w:val="00427298"/>
    <w:rsid w:val="004273AC"/>
    <w:rsid w:val="004276C1"/>
    <w:rsid w:val="00427CC2"/>
    <w:rsid w:val="004300BF"/>
    <w:rsid w:val="00430244"/>
    <w:rsid w:val="004303B7"/>
    <w:rsid w:val="00430804"/>
    <w:rsid w:val="004309A5"/>
    <w:rsid w:val="00431777"/>
    <w:rsid w:val="004318E7"/>
    <w:rsid w:val="004321B8"/>
    <w:rsid w:val="00432376"/>
    <w:rsid w:val="00432EBC"/>
    <w:rsid w:val="0043325A"/>
    <w:rsid w:val="0043363F"/>
    <w:rsid w:val="004339BB"/>
    <w:rsid w:val="00433A4E"/>
    <w:rsid w:val="00433B55"/>
    <w:rsid w:val="00434278"/>
    <w:rsid w:val="00434DF3"/>
    <w:rsid w:val="00434FF6"/>
    <w:rsid w:val="004354A8"/>
    <w:rsid w:val="00435BDC"/>
    <w:rsid w:val="00436285"/>
    <w:rsid w:val="004363F7"/>
    <w:rsid w:val="0043642F"/>
    <w:rsid w:val="004365DA"/>
    <w:rsid w:val="00436A99"/>
    <w:rsid w:val="00436E4E"/>
    <w:rsid w:val="00436FF7"/>
    <w:rsid w:val="00437098"/>
    <w:rsid w:val="004370F7"/>
    <w:rsid w:val="0043720F"/>
    <w:rsid w:val="00437413"/>
    <w:rsid w:val="00437592"/>
    <w:rsid w:val="004377FC"/>
    <w:rsid w:val="0043798A"/>
    <w:rsid w:val="00437B42"/>
    <w:rsid w:val="00437C27"/>
    <w:rsid w:val="00437C9C"/>
    <w:rsid w:val="00437D10"/>
    <w:rsid w:val="0044008A"/>
    <w:rsid w:val="0044058B"/>
    <w:rsid w:val="00440A32"/>
    <w:rsid w:val="00440B1D"/>
    <w:rsid w:val="00440CF1"/>
    <w:rsid w:val="0044102C"/>
    <w:rsid w:val="004410E1"/>
    <w:rsid w:val="00441136"/>
    <w:rsid w:val="004411C8"/>
    <w:rsid w:val="004417E6"/>
    <w:rsid w:val="00441ABA"/>
    <w:rsid w:val="00441AD2"/>
    <w:rsid w:val="00441C5C"/>
    <w:rsid w:val="00441E22"/>
    <w:rsid w:val="00442016"/>
    <w:rsid w:val="00442327"/>
    <w:rsid w:val="004426ED"/>
    <w:rsid w:val="00442947"/>
    <w:rsid w:val="00442AF5"/>
    <w:rsid w:val="00442CBF"/>
    <w:rsid w:val="00442D2F"/>
    <w:rsid w:val="00442EB8"/>
    <w:rsid w:val="00442EC8"/>
    <w:rsid w:val="0044308C"/>
    <w:rsid w:val="00443570"/>
    <w:rsid w:val="00443B66"/>
    <w:rsid w:val="00443F4D"/>
    <w:rsid w:val="0044443D"/>
    <w:rsid w:val="004444C4"/>
    <w:rsid w:val="00444591"/>
    <w:rsid w:val="00444B47"/>
    <w:rsid w:val="00444B5E"/>
    <w:rsid w:val="00445005"/>
    <w:rsid w:val="00445260"/>
    <w:rsid w:val="004456B2"/>
    <w:rsid w:val="004456F2"/>
    <w:rsid w:val="00446087"/>
    <w:rsid w:val="0044611D"/>
    <w:rsid w:val="00446284"/>
    <w:rsid w:val="004467ED"/>
    <w:rsid w:val="00446A00"/>
    <w:rsid w:val="00446AF2"/>
    <w:rsid w:val="00446D39"/>
    <w:rsid w:val="00446FAD"/>
    <w:rsid w:val="00447064"/>
    <w:rsid w:val="0044726D"/>
    <w:rsid w:val="004476C3"/>
    <w:rsid w:val="004500C1"/>
    <w:rsid w:val="00450428"/>
    <w:rsid w:val="004506C2"/>
    <w:rsid w:val="004506CB"/>
    <w:rsid w:val="0045082C"/>
    <w:rsid w:val="00450AF0"/>
    <w:rsid w:val="00450C2E"/>
    <w:rsid w:val="00450C3E"/>
    <w:rsid w:val="00450C9D"/>
    <w:rsid w:val="00450D05"/>
    <w:rsid w:val="00450FB6"/>
    <w:rsid w:val="004510C4"/>
    <w:rsid w:val="004512D5"/>
    <w:rsid w:val="00451526"/>
    <w:rsid w:val="004519EA"/>
    <w:rsid w:val="00452387"/>
    <w:rsid w:val="00452753"/>
    <w:rsid w:val="004527D4"/>
    <w:rsid w:val="00452931"/>
    <w:rsid w:val="00452A0A"/>
    <w:rsid w:val="00452B48"/>
    <w:rsid w:val="00452B89"/>
    <w:rsid w:val="00452EB4"/>
    <w:rsid w:val="004531A3"/>
    <w:rsid w:val="00453862"/>
    <w:rsid w:val="004538E3"/>
    <w:rsid w:val="00453B5B"/>
    <w:rsid w:val="00453B9D"/>
    <w:rsid w:val="00453C6F"/>
    <w:rsid w:val="00453CC1"/>
    <w:rsid w:val="004544DA"/>
    <w:rsid w:val="004546AB"/>
    <w:rsid w:val="0045476B"/>
    <w:rsid w:val="004549A1"/>
    <w:rsid w:val="00454ACE"/>
    <w:rsid w:val="00454DBB"/>
    <w:rsid w:val="0045548A"/>
    <w:rsid w:val="004555CD"/>
    <w:rsid w:val="004557BC"/>
    <w:rsid w:val="00455A2B"/>
    <w:rsid w:val="00455A6D"/>
    <w:rsid w:val="00455C8B"/>
    <w:rsid w:val="00456124"/>
    <w:rsid w:val="00456237"/>
    <w:rsid w:val="0045644C"/>
    <w:rsid w:val="004568C0"/>
    <w:rsid w:val="00456A16"/>
    <w:rsid w:val="00456A88"/>
    <w:rsid w:val="00456CA0"/>
    <w:rsid w:val="00456E1F"/>
    <w:rsid w:val="00456EB6"/>
    <w:rsid w:val="00457060"/>
    <w:rsid w:val="00457217"/>
    <w:rsid w:val="004572B1"/>
    <w:rsid w:val="004577C7"/>
    <w:rsid w:val="0046051E"/>
    <w:rsid w:val="00460850"/>
    <w:rsid w:val="00460A9C"/>
    <w:rsid w:val="00460B03"/>
    <w:rsid w:val="00460B37"/>
    <w:rsid w:val="00460B7C"/>
    <w:rsid w:val="00461694"/>
    <w:rsid w:val="0046177A"/>
    <w:rsid w:val="0046197F"/>
    <w:rsid w:val="00461ABB"/>
    <w:rsid w:val="00461B1D"/>
    <w:rsid w:val="00462731"/>
    <w:rsid w:val="00462C4D"/>
    <w:rsid w:val="00462E19"/>
    <w:rsid w:val="0046305C"/>
    <w:rsid w:val="00463435"/>
    <w:rsid w:val="00463536"/>
    <w:rsid w:val="00463663"/>
    <w:rsid w:val="00463BE8"/>
    <w:rsid w:val="00463DA0"/>
    <w:rsid w:val="00464220"/>
    <w:rsid w:val="0046433D"/>
    <w:rsid w:val="00464399"/>
    <w:rsid w:val="0046483D"/>
    <w:rsid w:val="00464E85"/>
    <w:rsid w:val="0046517B"/>
    <w:rsid w:val="00465293"/>
    <w:rsid w:val="00465503"/>
    <w:rsid w:val="00465C2D"/>
    <w:rsid w:val="00465FD1"/>
    <w:rsid w:val="00466490"/>
    <w:rsid w:val="004666A1"/>
    <w:rsid w:val="00466DA4"/>
    <w:rsid w:val="00466E88"/>
    <w:rsid w:val="00466F27"/>
    <w:rsid w:val="004672E8"/>
    <w:rsid w:val="00467B5D"/>
    <w:rsid w:val="00467CB6"/>
    <w:rsid w:val="00467D56"/>
    <w:rsid w:val="00467EB8"/>
    <w:rsid w:val="0047013D"/>
    <w:rsid w:val="00470144"/>
    <w:rsid w:val="00470214"/>
    <w:rsid w:val="00470237"/>
    <w:rsid w:val="00470802"/>
    <w:rsid w:val="00470B1F"/>
    <w:rsid w:val="00471044"/>
    <w:rsid w:val="0047110B"/>
    <w:rsid w:val="0047136B"/>
    <w:rsid w:val="004716F5"/>
    <w:rsid w:val="004719F0"/>
    <w:rsid w:val="00471AFF"/>
    <w:rsid w:val="00471CDB"/>
    <w:rsid w:val="00472108"/>
    <w:rsid w:val="00472192"/>
    <w:rsid w:val="00472374"/>
    <w:rsid w:val="00472423"/>
    <w:rsid w:val="00472C8E"/>
    <w:rsid w:val="00472E7C"/>
    <w:rsid w:val="004730B6"/>
    <w:rsid w:val="0047333D"/>
    <w:rsid w:val="004733B1"/>
    <w:rsid w:val="00473624"/>
    <w:rsid w:val="00473671"/>
    <w:rsid w:val="00473689"/>
    <w:rsid w:val="004738EA"/>
    <w:rsid w:val="00473CFC"/>
    <w:rsid w:val="00473E5F"/>
    <w:rsid w:val="0047429B"/>
    <w:rsid w:val="0047450B"/>
    <w:rsid w:val="0047467E"/>
    <w:rsid w:val="00474A51"/>
    <w:rsid w:val="00474B33"/>
    <w:rsid w:val="00474C30"/>
    <w:rsid w:val="00474D75"/>
    <w:rsid w:val="00474E95"/>
    <w:rsid w:val="0047510A"/>
    <w:rsid w:val="00475139"/>
    <w:rsid w:val="004751CA"/>
    <w:rsid w:val="004754F1"/>
    <w:rsid w:val="00475935"/>
    <w:rsid w:val="004761E6"/>
    <w:rsid w:val="004762B1"/>
    <w:rsid w:val="0047667D"/>
    <w:rsid w:val="00476DEA"/>
    <w:rsid w:val="004772AB"/>
    <w:rsid w:val="0047739F"/>
    <w:rsid w:val="0047771D"/>
    <w:rsid w:val="00477D65"/>
    <w:rsid w:val="00477E57"/>
    <w:rsid w:val="0048015D"/>
    <w:rsid w:val="00480264"/>
    <w:rsid w:val="00480867"/>
    <w:rsid w:val="00480AC5"/>
    <w:rsid w:val="00481445"/>
    <w:rsid w:val="00481794"/>
    <w:rsid w:val="004819CD"/>
    <w:rsid w:val="00481BA3"/>
    <w:rsid w:val="0048214C"/>
    <w:rsid w:val="004822A7"/>
    <w:rsid w:val="0048239B"/>
    <w:rsid w:val="0048258F"/>
    <w:rsid w:val="00482834"/>
    <w:rsid w:val="00482917"/>
    <w:rsid w:val="00482A9B"/>
    <w:rsid w:val="00482BBD"/>
    <w:rsid w:val="00482C31"/>
    <w:rsid w:val="00482CBB"/>
    <w:rsid w:val="00482F14"/>
    <w:rsid w:val="004831A3"/>
    <w:rsid w:val="004836FA"/>
    <w:rsid w:val="0048374D"/>
    <w:rsid w:val="00483758"/>
    <w:rsid w:val="004838CA"/>
    <w:rsid w:val="00483A71"/>
    <w:rsid w:val="00484226"/>
    <w:rsid w:val="0048432C"/>
    <w:rsid w:val="004843F9"/>
    <w:rsid w:val="004848A1"/>
    <w:rsid w:val="00484FD5"/>
    <w:rsid w:val="004852D0"/>
    <w:rsid w:val="00485343"/>
    <w:rsid w:val="0048582A"/>
    <w:rsid w:val="00485F83"/>
    <w:rsid w:val="00485FA4"/>
    <w:rsid w:val="004860B6"/>
    <w:rsid w:val="00486140"/>
    <w:rsid w:val="004864B9"/>
    <w:rsid w:val="00486E04"/>
    <w:rsid w:val="0048705F"/>
    <w:rsid w:val="0048724E"/>
    <w:rsid w:val="0048770D"/>
    <w:rsid w:val="004877B8"/>
    <w:rsid w:val="004877D9"/>
    <w:rsid w:val="00487887"/>
    <w:rsid w:val="00487C22"/>
    <w:rsid w:val="00487D34"/>
    <w:rsid w:val="00487E06"/>
    <w:rsid w:val="004900D9"/>
    <w:rsid w:val="00490118"/>
    <w:rsid w:val="004905CA"/>
    <w:rsid w:val="00490BDA"/>
    <w:rsid w:val="00490D2A"/>
    <w:rsid w:val="004910DF"/>
    <w:rsid w:val="00491421"/>
    <w:rsid w:val="00491B2C"/>
    <w:rsid w:val="00491C77"/>
    <w:rsid w:val="00491DF8"/>
    <w:rsid w:val="00491F1A"/>
    <w:rsid w:val="00491FD7"/>
    <w:rsid w:val="00492044"/>
    <w:rsid w:val="00492045"/>
    <w:rsid w:val="004920AA"/>
    <w:rsid w:val="0049239F"/>
    <w:rsid w:val="00492AA2"/>
    <w:rsid w:val="00492CAF"/>
    <w:rsid w:val="00492F01"/>
    <w:rsid w:val="00493172"/>
    <w:rsid w:val="00493CC0"/>
    <w:rsid w:val="00493E35"/>
    <w:rsid w:val="00493ECF"/>
    <w:rsid w:val="004941CE"/>
    <w:rsid w:val="004943BF"/>
    <w:rsid w:val="00494649"/>
    <w:rsid w:val="0049476C"/>
    <w:rsid w:val="00494DB5"/>
    <w:rsid w:val="00494FC5"/>
    <w:rsid w:val="00495181"/>
    <w:rsid w:val="00495402"/>
    <w:rsid w:val="0049558A"/>
    <w:rsid w:val="004955C4"/>
    <w:rsid w:val="00495834"/>
    <w:rsid w:val="00495A27"/>
    <w:rsid w:val="00495B68"/>
    <w:rsid w:val="00495E00"/>
    <w:rsid w:val="004960DF"/>
    <w:rsid w:val="00496263"/>
    <w:rsid w:val="004967DF"/>
    <w:rsid w:val="0049685F"/>
    <w:rsid w:val="004974A2"/>
    <w:rsid w:val="004974F4"/>
    <w:rsid w:val="0049770D"/>
    <w:rsid w:val="00497741"/>
    <w:rsid w:val="00497744"/>
    <w:rsid w:val="00497E2E"/>
    <w:rsid w:val="00497E65"/>
    <w:rsid w:val="00497EC7"/>
    <w:rsid w:val="00497F67"/>
    <w:rsid w:val="004A0B68"/>
    <w:rsid w:val="004A0C97"/>
    <w:rsid w:val="004A0D0A"/>
    <w:rsid w:val="004A0D4B"/>
    <w:rsid w:val="004A0D86"/>
    <w:rsid w:val="004A0E87"/>
    <w:rsid w:val="004A1191"/>
    <w:rsid w:val="004A1215"/>
    <w:rsid w:val="004A1263"/>
    <w:rsid w:val="004A12BA"/>
    <w:rsid w:val="004A14A5"/>
    <w:rsid w:val="004A1885"/>
    <w:rsid w:val="004A1AAC"/>
    <w:rsid w:val="004A1E07"/>
    <w:rsid w:val="004A20B3"/>
    <w:rsid w:val="004A2129"/>
    <w:rsid w:val="004A2327"/>
    <w:rsid w:val="004A23DA"/>
    <w:rsid w:val="004A23DE"/>
    <w:rsid w:val="004A26AB"/>
    <w:rsid w:val="004A280B"/>
    <w:rsid w:val="004A28BD"/>
    <w:rsid w:val="004A2ADC"/>
    <w:rsid w:val="004A2B24"/>
    <w:rsid w:val="004A2C55"/>
    <w:rsid w:val="004A2CA7"/>
    <w:rsid w:val="004A2E2E"/>
    <w:rsid w:val="004A2E75"/>
    <w:rsid w:val="004A3684"/>
    <w:rsid w:val="004A37A5"/>
    <w:rsid w:val="004A3A7D"/>
    <w:rsid w:val="004A3C0E"/>
    <w:rsid w:val="004A3D29"/>
    <w:rsid w:val="004A3D2F"/>
    <w:rsid w:val="004A3E7A"/>
    <w:rsid w:val="004A415C"/>
    <w:rsid w:val="004A4862"/>
    <w:rsid w:val="004A488C"/>
    <w:rsid w:val="004A48E2"/>
    <w:rsid w:val="004A4F19"/>
    <w:rsid w:val="004A4F24"/>
    <w:rsid w:val="004A4F6D"/>
    <w:rsid w:val="004A4F80"/>
    <w:rsid w:val="004A522D"/>
    <w:rsid w:val="004A5793"/>
    <w:rsid w:val="004A5FF6"/>
    <w:rsid w:val="004A63A3"/>
    <w:rsid w:val="004A66BC"/>
    <w:rsid w:val="004A68E7"/>
    <w:rsid w:val="004A6A3E"/>
    <w:rsid w:val="004A6BFE"/>
    <w:rsid w:val="004A6D02"/>
    <w:rsid w:val="004A7491"/>
    <w:rsid w:val="004A7552"/>
    <w:rsid w:val="004A7599"/>
    <w:rsid w:val="004A7FD1"/>
    <w:rsid w:val="004B059F"/>
    <w:rsid w:val="004B0E6E"/>
    <w:rsid w:val="004B0F6F"/>
    <w:rsid w:val="004B1019"/>
    <w:rsid w:val="004B109E"/>
    <w:rsid w:val="004B1282"/>
    <w:rsid w:val="004B12B4"/>
    <w:rsid w:val="004B1302"/>
    <w:rsid w:val="004B1566"/>
    <w:rsid w:val="004B1638"/>
    <w:rsid w:val="004B1840"/>
    <w:rsid w:val="004B19D0"/>
    <w:rsid w:val="004B1ECA"/>
    <w:rsid w:val="004B1F23"/>
    <w:rsid w:val="004B2396"/>
    <w:rsid w:val="004B24CB"/>
    <w:rsid w:val="004B2B7C"/>
    <w:rsid w:val="004B2EED"/>
    <w:rsid w:val="004B2FC0"/>
    <w:rsid w:val="004B35F0"/>
    <w:rsid w:val="004B3729"/>
    <w:rsid w:val="004B3C43"/>
    <w:rsid w:val="004B3D3A"/>
    <w:rsid w:val="004B3F31"/>
    <w:rsid w:val="004B42EB"/>
    <w:rsid w:val="004B444F"/>
    <w:rsid w:val="004B445D"/>
    <w:rsid w:val="004B44CB"/>
    <w:rsid w:val="004B4715"/>
    <w:rsid w:val="004B480C"/>
    <w:rsid w:val="004B4ABF"/>
    <w:rsid w:val="004B4BD8"/>
    <w:rsid w:val="004B4C91"/>
    <w:rsid w:val="004B4CA8"/>
    <w:rsid w:val="004B4CF8"/>
    <w:rsid w:val="004B4E0E"/>
    <w:rsid w:val="004B4E46"/>
    <w:rsid w:val="004B5074"/>
    <w:rsid w:val="004B51A9"/>
    <w:rsid w:val="004B5407"/>
    <w:rsid w:val="004B5C7C"/>
    <w:rsid w:val="004B5DD7"/>
    <w:rsid w:val="004B5F57"/>
    <w:rsid w:val="004B62B2"/>
    <w:rsid w:val="004B68BF"/>
    <w:rsid w:val="004B6FC4"/>
    <w:rsid w:val="004B7280"/>
    <w:rsid w:val="004B7AC0"/>
    <w:rsid w:val="004B7BA2"/>
    <w:rsid w:val="004B7CC1"/>
    <w:rsid w:val="004B7D68"/>
    <w:rsid w:val="004C033E"/>
    <w:rsid w:val="004C03A3"/>
    <w:rsid w:val="004C04D9"/>
    <w:rsid w:val="004C05AD"/>
    <w:rsid w:val="004C0850"/>
    <w:rsid w:val="004C0857"/>
    <w:rsid w:val="004C0943"/>
    <w:rsid w:val="004C0A1A"/>
    <w:rsid w:val="004C0AA9"/>
    <w:rsid w:val="004C0FAE"/>
    <w:rsid w:val="004C13A7"/>
    <w:rsid w:val="004C147B"/>
    <w:rsid w:val="004C165F"/>
    <w:rsid w:val="004C1AB2"/>
    <w:rsid w:val="004C1F0F"/>
    <w:rsid w:val="004C2306"/>
    <w:rsid w:val="004C25A8"/>
    <w:rsid w:val="004C26D1"/>
    <w:rsid w:val="004C29C0"/>
    <w:rsid w:val="004C2C4E"/>
    <w:rsid w:val="004C3057"/>
    <w:rsid w:val="004C33E7"/>
    <w:rsid w:val="004C3C92"/>
    <w:rsid w:val="004C4156"/>
    <w:rsid w:val="004C43DB"/>
    <w:rsid w:val="004C469A"/>
    <w:rsid w:val="004C47F9"/>
    <w:rsid w:val="004C4900"/>
    <w:rsid w:val="004C4C56"/>
    <w:rsid w:val="004C4CF6"/>
    <w:rsid w:val="004C5317"/>
    <w:rsid w:val="004C5669"/>
    <w:rsid w:val="004C5C3B"/>
    <w:rsid w:val="004C5C6B"/>
    <w:rsid w:val="004C6049"/>
    <w:rsid w:val="004C6114"/>
    <w:rsid w:val="004C6307"/>
    <w:rsid w:val="004C6751"/>
    <w:rsid w:val="004C6949"/>
    <w:rsid w:val="004C69CF"/>
    <w:rsid w:val="004C70D4"/>
    <w:rsid w:val="004C7216"/>
    <w:rsid w:val="004C7495"/>
    <w:rsid w:val="004C7879"/>
    <w:rsid w:val="004C7BBA"/>
    <w:rsid w:val="004D0024"/>
    <w:rsid w:val="004D0614"/>
    <w:rsid w:val="004D07BE"/>
    <w:rsid w:val="004D0B12"/>
    <w:rsid w:val="004D0C8B"/>
    <w:rsid w:val="004D13B9"/>
    <w:rsid w:val="004D16F6"/>
    <w:rsid w:val="004D19AD"/>
    <w:rsid w:val="004D1A57"/>
    <w:rsid w:val="004D1A70"/>
    <w:rsid w:val="004D1BE3"/>
    <w:rsid w:val="004D1F83"/>
    <w:rsid w:val="004D2158"/>
    <w:rsid w:val="004D21A7"/>
    <w:rsid w:val="004D255A"/>
    <w:rsid w:val="004D261C"/>
    <w:rsid w:val="004D2696"/>
    <w:rsid w:val="004D26DB"/>
    <w:rsid w:val="004D2D46"/>
    <w:rsid w:val="004D3381"/>
    <w:rsid w:val="004D3610"/>
    <w:rsid w:val="004D390D"/>
    <w:rsid w:val="004D39DE"/>
    <w:rsid w:val="004D3F7B"/>
    <w:rsid w:val="004D40C2"/>
    <w:rsid w:val="004D4540"/>
    <w:rsid w:val="004D4C00"/>
    <w:rsid w:val="004D4E0F"/>
    <w:rsid w:val="004D52DC"/>
    <w:rsid w:val="004D5419"/>
    <w:rsid w:val="004D5609"/>
    <w:rsid w:val="004D591C"/>
    <w:rsid w:val="004D59C6"/>
    <w:rsid w:val="004D5A72"/>
    <w:rsid w:val="004D5AE9"/>
    <w:rsid w:val="004D5C91"/>
    <w:rsid w:val="004D5F68"/>
    <w:rsid w:val="004D6199"/>
    <w:rsid w:val="004D6533"/>
    <w:rsid w:val="004D67E4"/>
    <w:rsid w:val="004D6B48"/>
    <w:rsid w:val="004D6B80"/>
    <w:rsid w:val="004D6C5B"/>
    <w:rsid w:val="004D6C91"/>
    <w:rsid w:val="004D7090"/>
    <w:rsid w:val="004D723D"/>
    <w:rsid w:val="004D7871"/>
    <w:rsid w:val="004D7ABB"/>
    <w:rsid w:val="004E000C"/>
    <w:rsid w:val="004E0054"/>
    <w:rsid w:val="004E0425"/>
    <w:rsid w:val="004E0523"/>
    <w:rsid w:val="004E0699"/>
    <w:rsid w:val="004E0800"/>
    <w:rsid w:val="004E0D1C"/>
    <w:rsid w:val="004E0DB5"/>
    <w:rsid w:val="004E1821"/>
    <w:rsid w:val="004E2195"/>
    <w:rsid w:val="004E2386"/>
    <w:rsid w:val="004E2421"/>
    <w:rsid w:val="004E2446"/>
    <w:rsid w:val="004E244D"/>
    <w:rsid w:val="004E24E4"/>
    <w:rsid w:val="004E27A4"/>
    <w:rsid w:val="004E2B62"/>
    <w:rsid w:val="004E2C05"/>
    <w:rsid w:val="004E2D6C"/>
    <w:rsid w:val="004E2D89"/>
    <w:rsid w:val="004E2E92"/>
    <w:rsid w:val="004E2EDC"/>
    <w:rsid w:val="004E30D1"/>
    <w:rsid w:val="004E32ED"/>
    <w:rsid w:val="004E32FD"/>
    <w:rsid w:val="004E3677"/>
    <w:rsid w:val="004E3823"/>
    <w:rsid w:val="004E3D10"/>
    <w:rsid w:val="004E3FAF"/>
    <w:rsid w:val="004E4013"/>
    <w:rsid w:val="004E41AF"/>
    <w:rsid w:val="004E41B1"/>
    <w:rsid w:val="004E47B0"/>
    <w:rsid w:val="004E49A5"/>
    <w:rsid w:val="004E4A0D"/>
    <w:rsid w:val="004E4B1E"/>
    <w:rsid w:val="004E4C1A"/>
    <w:rsid w:val="004E4DFC"/>
    <w:rsid w:val="004E502E"/>
    <w:rsid w:val="004E5291"/>
    <w:rsid w:val="004E52AE"/>
    <w:rsid w:val="004E54F9"/>
    <w:rsid w:val="004E56B0"/>
    <w:rsid w:val="004E586C"/>
    <w:rsid w:val="004E5C32"/>
    <w:rsid w:val="004E5CD1"/>
    <w:rsid w:val="004E5ECA"/>
    <w:rsid w:val="004E64E6"/>
    <w:rsid w:val="004E6DB4"/>
    <w:rsid w:val="004E6E17"/>
    <w:rsid w:val="004E71FB"/>
    <w:rsid w:val="004E723A"/>
    <w:rsid w:val="004E75AC"/>
    <w:rsid w:val="004E789C"/>
    <w:rsid w:val="004E7A0E"/>
    <w:rsid w:val="004E7A65"/>
    <w:rsid w:val="004E7AEF"/>
    <w:rsid w:val="004E7D5B"/>
    <w:rsid w:val="004E7E22"/>
    <w:rsid w:val="004E7E7E"/>
    <w:rsid w:val="004E7F14"/>
    <w:rsid w:val="004F0486"/>
    <w:rsid w:val="004F0563"/>
    <w:rsid w:val="004F0571"/>
    <w:rsid w:val="004F068F"/>
    <w:rsid w:val="004F0860"/>
    <w:rsid w:val="004F0A14"/>
    <w:rsid w:val="004F0C1C"/>
    <w:rsid w:val="004F10AF"/>
    <w:rsid w:val="004F1142"/>
    <w:rsid w:val="004F12AC"/>
    <w:rsid w:val="004F15FC"/>
    <w:rsid w:val="004F19AE"/>
    <w:rsid w:val="004F22A5"/>
    <w:rsid w:val="004F25DC"/>
    <w:rsid w:val="004F260D"/>
    <w:rsid w:val="004F2D31"/>
    <w:rsid w:val="004F3026"/>
    <w:rsid w:val="004F30C8"/>
    <w:rsid w:val="004F30DF"/>
    <w:rsid w:val="004F32DA"/>
    <w:rsid w:val="004F3359"/>
    <w:rsid w:val="004F38F7"/>
    <w:rsid w:val="004F3AB5"/>
    <w:rsid w:val="004F3DC4"/>
    <w:rsid w:val="004F405D"/>
    <w:rsid w:val="004F42CB"/>
    <w:rsid w:val="004F448E"/>
    <w:rsid w:val="004F4600"/>
    <w:rsid w:val="004F460C"/>
    <w:rsid w:val="004F4855"/>
    <w:rsid w:val="004F4A04"/>
    <w:rsid w:val="004F4C1D"/>
    <w:rsid w:val="004F4CD0"/>
    <w:rsid w:val="004F4D99"/>
    <w:rsid w:val="004F4F6D"/>
    <w:rsid w:val="004F4F84"/>
    <w:rsid w:val="004F50BF"/>
    <w:rsid w:val="004F5734"/>
    <w:rsid w:val="004F57A4"/>
    <w:rsid w:val="004F5807"/>
    <w:rsid w:val="004F596C"/>
    <w:rsid w:val="004F5B10"/>
    <w:rsid w:val="004F5C85"/>
    <w:rsid w:val="004F5F76"/>
    <w:rsid w:val="004F601B"/>
    <w:rsid w:val="004F60FB"/>
    <w:rsid w:val="004F6387"/>
    <w:rsid w:val="004F649F"/>
    <w:rsid w:val="004F66FE"/>
    <w:rsid w:val="004F68C5"/>
    <w:rsid w:val="004F693F"/>
    <w:rsid w:val="004F6AAD"/>
    <w:rsid w:val="004F6B68"/>
    <w:rsid w:val="004F6C24"/>
    <w:rsid w:val="004F6C98"/>
    <w:rsid w:val="004F738D"/>
    <w:rsid w:val="004F78D8"/>
    <w:rsid w:val="004F7901"/>
    <w:rsid w:val="00500220"/>
    <w:rsid w:val="00500B5F"/>
    <w:rsid w:val="00501361"/>
    <w:rsid w:val="0050170E"/>
    <w:rsid w:val="00501833"/>
    <w:rsid w:val="00501A4C"/>
    <w:rsid w:val="00501E2E"/>
    <w:rsid w:val="00501FB0"/>
    <w:rsid w:val="00501FDE"/>
    <w:rsid w:val="005028D9"/>
    <w:rsid w:val="00502A17"/>
    <w:rsid w:val="00502B2A"/>
    <w:rsid w:val="00503084"/>
    <w:rsid w:val="005030F5"/>
    <w:rsid w:val="00503177"/>
    <w:rsid w:val="00503394"/>
    <w:rsid w:val="005034F5"/>
    <w:rsid w:val="00503635"/>
    <w:rsid w:val="00503CDD"/>
    <w:rsid w:val="00503D57"/>
    <w:rsid w:val="00503DB3"/>
    <w:rsid w:val="00503FD2"/>
    <w:rsid w:val="005047D1"/>
    <w:rsid w:val="005047DA"/>
    <w:rsid w:val="00504CFC"/>
    <w:rsid w:val="00504DE5"/>
    <w:rsid w:val="00505247"/>
    <w:rsid w:val="005057C9"/>
    <w:rsid w:val="00505979"/>
    <w:rsid w:val="00505E15"/>
    <w:rsid w:val="00506131"/>
    <w:rsid w:val="00506374"/>
    <w:rsid w:val="00506466"/>
    <w:rsid w:val="00506484"/>
    <w:rsid w:val="005067BD"/>
    <w:rsid w:val="005069D1"/>
    <w:rsid w:val="00506B18"/>
    <w:rsid w:val="005072EC"/>
    <w:rsid w:val="00507859"/>
    <w:rsid w:val="00507A53"/>
    <w:rsid w:val="00507B8B"/>
    <w:rsid w:val="00507D3E"/>
    <w:rsid w:val="00507DFB"/>
    <w:rsid w:val="005109E8"/>
    <w:rsid w:val="00510A61"/>
    <w:rsid w:val="00510B81"/>
    <w:rsid w:val="00511241"/>
    <w:rsid w:val="0051196F"/>
    <w:rsid w:val="00511CEB"/>
    <w:rsid w:val="00512072"/>
    <w:rsid w:val="005124E1"/>
    <w:rsid w:val="00512520"/>
    <w:rsid w:val="00512555"/>
    <w:rsid w:val="00512690"/>
    <w:rsid w:val="00512829"/>
    <w:rsid w:val="005128BE"/>
    <w:rsid w:val="0051299C"/>
    <w:rsid w:val="005129E1"/>
    <w:rsid w:val="00512C13"/>
    <w:rsid w:val="00512D4C"/>
    <w:rsid w:val="00512F79"/>
    <w:rsid w:val="005130FA"/>
    <w:rsid w:val="00513872"/>
    <w:rsid w:val="005142BD"/>
    <w:rsid w:val="00514702"/>
    <w:rsid w:val="00514D63"/>
    <w:rsid w:val="00514D8A"/>
    <w:rsid w:val="0051510B"/>
    <w:rsid w:val="005153DF"/>
    <w:rsid w:val="00515452"/>
    <w:rsid w:val="0051589A"/>
    <w:rsid w:val="00515E02"/>
    <w:rsid w:val="00515E0D"/>
    <w:rsid w:val="00515E5C"/>
    <w:rsid w:val="0051617A"/>
    <w:rsid w:val="0051618F"/>
    <w:rsid w:val="005168D7"/>
    <w:rsid w:val="00516AC0"/>
    <w:rsid w:val="00517010"/>
    <w:rsid w:val="0051720A"/>
    <w:rsid w:val="00517E80"/>
    <w:rsid w:val="005202C6"/>
    <w:rsid w:val="00520515"/>
    <w:rsid w:val="005207D6"/>
    <w:rsid w:val="0052094C"/>
    <w:rsid w:val="00520B77"/>
    <w:rsid w:val="00520D5E"/>
    <w:rsid w:val="00520DDC"/>
    <w:rsid w:val="00520E13"/>
    <w:rsid w:val="00520E6B"/>
    <w:rsid w:val="00521089"/>
    <w:rsid w:val="00521230"/>
    <w:rsid w:val="00521302"/>
    <w:rsid w:val="005213BD"/>
    <w:rsid w:val="005215E0"/>
    <w:rsid w:val="0052174F"/>
    <w:rsid w:val="005218B7"/>
    <w:rsid w:val="00522448"/>
    <w:rsid w:val="005224A5"/>
    <w:rsid w:val="0052254F"/>
    <w:rsid w:val="005225C4"/>
    <w:rsid w:val="00522C3E"/>
    <w:rsid w:val="00522CE3"/>
    <w:rsid w:val="005230E3"/>
    <w:rsid w:val="0052340E"/>
    <w:rsid w:val="0052367C"/>
    <w:rsid w:val="00523956"/>
    <w:rsid w:val="0052419D"/>
    <w:rsid w:val="005242C3"/>
    <w:rsid w:val="005244D3"/>
    <w:rsid w:val="00524627"/>
    <w:rsid w:val="00524678"/>
    <w:rsid w:val="00524887"/>
    <w:rsid w:val="00524C31"/>
    <w:rsid w:val="00524C4E"/>
    <w:rsid w:val="00524C5F"/>
    <w:rsid w:val="00524C7D"/>
    <w:rsid w:val="00524DD5"/>
    <w:rsid w:val="00524E8A"/>
    <w:rsid w:val="00525066"/>
    <w:rsid w:val="005250A4"/>
    <w:rsid w:val="005257E0"/>
    <w:rsid w:val="00525A58"/>
    <w:rsid w:val="00525ABA"/>
    <w:rsid w:val="00526158"/>
    <w:rsid w:val="005261F6"/>
    <w:rsid w:val="00526469"/>
    <w:rsid w:val="00526B16"/>
    <w:rsid w:val="00526C42"/>
    <w:rsid w:val="00526F58"/>
    <w:rsid w:val="00527006"/>
    <w:rsid w:val="0052795F"/>
    <w:rsid w:val="00527DBD"/>
    <w:rsid w:val="00527E0E"/>
    <w:rsid w:val="00527F62"/>
    <w:rsid w:val="0053033B"/>
    <w:rsid w:val="005303FF"/>
    <w:rsid w:val="005310AB"/>
    <w:rsid w:val="00531481"/>
    <w:rsid w:val="0053173E"/>
    <w:rsid w:val="005317CC"/>
    <w:rsid w:val="00531898"/>
    <w:rsid w:val="00531958"/>
    <w:rsid w:val="005319DC"/>
    <w:rsid w:val="00531B98"/>
    <w:rsid w:val="00531BD3"/>
    <w:rsid w:val="00531C1D"/>
    <w:rsid w:val="0053208E"/>
    <w:rsid w:val="0053222B"/>
    <w:rsid w:val="0053224B"/>
    <w:rsid w:val="005325AA"/>
    <w:rsid w:val="005329B6"/>
    <w:rsid w:val="00532A7B"/>
    <w:rsid w:val="00532A9E"/>
    <w:rsid w:val="00532BCB"/>
    <w:rsid w:val="00532E2C"/>
    <w:rsid w:val="005330CC"/>
    <w:rsid w:val="0053320F"/>
    <w:rsid w:val="00533536"/>
    <w:rsid w:val="005336A8"/>
    <w:rsid w:val="00533BF8"/>
    <w:rsid w:val="00534404"/>
    <w:rsid w:val="00534515"/>
    <w:rsid w:val="005346C5"/>
    <w:rsid w:val="0053528F"/>
    <w:rsid w:val="005358BD"/>
    <w:rsid w:val="00535D99"/>
    <w:rsid w:val="00535F02"/>
    <w:rsid w:val="00535FF6"/>
    <w:rsid w:val="00536315"/>
    <w:rsid w:val="00536362"/>
    <w:rsid w:val="005364DB"/>
    <w:rsid w:val="00536B42"/>
    <w:rsid w:val="00536BD8"/>
    <w:rsid w:val="00537775"/>
    <w:rsid w:val="00537781"/>
    <w:rsid w:val="005377EA"/>
    <w:rsid w:val="0053784B"/>
    <w:rsid w:val="00537BA9"/>
    <w:rsid w:val="00537C7F"/>
    <w:rsid w:val="00537D80"/>
    <w:rsid w:val="005401AA"/>
    <w:rsid w:val="00540476"/>
    <w:rsid w:val="005404FE"/>
    <w:rsid w:val="00540A0A"/>
    <w:rsid w:val="00540BCA"/>
    <w:rsid w:val="00540E6E"/>
    <w:rsid w:val="0054148A"/>
    <w:rsid w:val="005414DA"/>
    <w:rsid w:val="00541825"/>
    <w:rsid w:val="005419FE"/>
    <w:rsid w:val="00541D70"/>
    <w:rsid w:val="00541FC4"/>
    <w:rsid w:val="00542063"/>
    <w:rsid w:val="0054213F"/>
    <w:rsid w:val="00542169"/>
    <w:rsid w:val="005421E8"/>
    <w:rsid w:val="005428A2"/>
    <w:rsid w:val="00542B7D"/>
    <w:rsid w:val="00542C45"/>
    <w:rsid w:val="00542D07"/>
    <w:rsid w:val="00542F75"/>
    <w:rsid w:val="0054344F"/>
    <w:rsid w:val="00543700"/>
    <w:rsid w:val="00543818"/>
    <w:rsid w:val="0054406E"/>
    <w:rsid w:val="005441B0"/>
    <w:rsid w:val="005444A0"/>
    <w:rsid w:val="00544569"/>
    <w:rsid w:val="00544655"/>
    <w:rsid w:val="005447CB"/>
    <w:rsid w:val="0054481C"/>
    <w:rsid w:val="00544A5D"/>
    <w:rsid w:val="00544BC9"/>
    <w:rsid w:val="00544DAE"/>
    <w:rsid w:val="005454EB"/>
    <w:rsid w:val="005455C1"/>
    <w:rsid w:val="0054571A"/>
    <w:rsid w:val="005457F0"/>
    <w:rsid w:val="0054585F"/>
    <w:rsid w:val="00545B05"/>
    <w:rsid w:val="00545B21"/>
    <w:rsid w:val="00545B72"/>
    <w:rsid w:val="00545F9C"/>
    <w:rsid w:val="0054613A"/>
    <w:rsid w:val="0054615F"/>
    <w:rsid w:val="00546427"/>
    <w:rsid w:val="005465C4"/>
    <w:rsid w:val="0054674E"/>
    <w:rsid w:val="00546851"/>
    <w:rsid w:val="00546868"/>
    <w:rsid w:val="00547058"/>
    <w:rsid w:val="005473DB"/>
    <w:rsid w:val="0054750A"/>
    <w:rsid w:val="00547893"/>
    <w:rsid w:val="00547A70"/>
    <w:rsid w:val="00547A8E"/>
    <w:rsid w:val="00547B35"/>
    <w:rsid w:val="005500C9"/>
    <w:rsid w:val="00550495"/>
    <w:rsid w:val="005507F2"/>
    <w:rsid w:val="00550B0A"/>
    <w:rsid w:val="00550B4C"/>
    <w:rsid w:val="00550D5E"/>
    <w:rsid w:val="00550FB6"/>
    <w:rsid w:val="00550FDD"/>
    <w:rsid w:val="0055110C"/>
    <w:rsid w:val="00551695"/>
    <w:rsid w:val="00551C50"/>
    <w:rsid w:val="00551D55"/>
    <w:rsid w:val="00551D5C"/>
    <w:rsid w:val="00551F5A"/>
    <w:rsid w:val="00551FC6"/>
    <w:rsid w:val="00552077"/>
    <w:rsid w:val="005520A8"/>
    <w:rsid w:val="005520DE"/>
    <w:rsid w:val="0055233C"/>
    <w:rsid w:val="00552374"/>
    <w:rsid w:val="00552441"/>
    <w:rsid w:val="005524DF"/>
    <w:rsid w:val="00552516"/>
    <w:rsid w:val="005525BE"/>
    <w:rsid w:val="00552876"/>
    <w:rsid w:val="005529A0"/>
    <w:rsid w:val="00552ABE"/>
    <w:rsid w:val="00552BB4"/>
    <w:rsid w:val="00552D04"/>
    <w:rsid w:val="00552E9D"/>
    <w:rsid w:val="0055339A"/>
    <w:rsid w:val="005535CF"/>
    <w:rsid w:val="005537A5"/>
    <w:rsid w:val="005538DB"/>
    <w:rsid w:val="00553949"/>
    <w:rsid w:val="0055406E"/>
    <w:rsid w:val="005540F4"/>
    <w:rsid w:val="00554240"/>
    <w:rsid w:val="00554A8C"/>
    <w:rsid w:val="00554B01"/>
    <w:rsid w:val="00554ED5"/>
    <w:rsid w:val="00555873"/>
    <w:rsid w:val="00555898"/>
    <w:rsid w:val="00555FC6"/>
    <w:rsid w:val="0055619C"/>
    <w:rsid w:val="005562D5"/>
    <w:rsid w:val="0055642B"/>
    <w:rsid w:val="0055694C"/>
    <w:rsid w:val="00556B3C"/>
    <w:rsid w:val="00556F93"/>
    <w:rsid w:val="005573AB"/>
    <w:rsid w:val="0055789E"/>
    <w:rsid w:val="00557CAA"/>
    <w:rsid w:val="00557DC6"/>
    <w:rsid w:val="005607B6"/>
    <w:rsid w:val="005609B9"/>
    <w:rsid w:val="00560CD6"/>
    <w:rsid w:val="005610B6"/>
    <w:rsid w:val="0056124D"/>
    <w:rsid w:val="00561263"/>
    <w:rsid w:val="005617CB"/>
    <w:rsid w:val="00561904"/>
    <w:rsid w:val="00561AC7"/>
    <w:rsid w:val="00561B63"/>
    <w:rsid w:val="005621D4"/>
    <w:rsid w:val="0056230B"/>
    <w:rsid w:val="00562922"/>
    <w:rsid w:val="005629E7"/>
    <w:rsid w:val="00562A24"/>
    <w:rsid w:val="00562C42"/>
    <w:rsid w:val="00562CB0"/>
    <w:rsid w:val="00562CE4"/>
    <w:rsid w:val="00562FD5"/>
    <w:rsid w:val="00563059"/>
    <w:rsid w:val="005631A2"/>
    <w:rsid w:val="00563294"/>
    <w:rsid w:val="005632EE"/>
    <w:rsid w:val="00563685"/>
    <w:rsid w:val="005636C8"/>
    <w:rsid w:val="00563730"/>
    <w:rsid w:val="00563752"/>
    <w:rsid w:val="00563B99"/>
    <w:rsid w:val="00563BD3"/>
    <w:rsid w:val="00563EE6"/>
    <w:rsid w:val="00564199"/>
    <w:rsid w:val="005641EF"/>
    <w:rsid w:val="005642B4"/>
    <w:rsid w:val="0056430B"/>
    <w:rsid w:val="005644CD"/>
    <w:rsid w:val="00564753"/>
    <w:rsid w:val="00564918"/>
    <w:rsid w:val="00564B1D"/>
    <w:rsid w:val="00564FB4"/>
    <w:rsid w:val="005651EA"/>
    <w:rsid w:val="0056555C"/>
    <w:rsid w:val="00565964"/>
    <w:rsid w:val="00565A76"/>
    <w:rsid w:val="00566145"/>
    <w:rsid w:val="0056637D"/>
    <w:rsid w:val="00566518"/>
    <w:rsid w:val="00566B1D"/>
    <w:rsid w:val="0056710D"/>
    <w:rsid w:val="005671D9"/>
    <w:rsid w:val="005671F2"/>
    <w:rsid w:val="0056780E"/>
    <w:rsid w:val="00567B0D"/>
    <w:rsid w:val="005703D9"/>
    <w:rsid w:val="00570CD2"/>
    <w:rsid w:val="00570F89"/>
    <w:rsid w:val="00571100"/>
    <w:rsid w:val="00571191"/>
    <w:rsid w:val="00571367"/>
    <w:rsid w:val="005719EB"/>
    <w:rsid w:val="00571AE6"/>
    <w:rsid w:val="00571E22"/>
    <w:rsid w:val="00571ED2"/>
    <w:rsid w:val="00571FBA"/>
    <w:rsid w:val="005720BF"/>
    <w:rsid w:val="0057229C"/>
    <w:rsid w:val="00572416"/>
    <w:rsid w:val="0057266C"/>
    <w:rsid w:val="00572729"/>
    <w:rsid w:val="005729BF"/>
    <w:rsid w:val="00572D2A"/>
    <w:rsid w:val="00572FE9"/>
    <w:rsid w:val="00573193"/>
    <w:rsid w:val="0057323E"/>
    <w:rsid w:val="00573521"/>
    <w:rsid w:val="00573585"/>
    <w:rsid w:val="005736C1"/>
    <w:rsid w:val="0057385B"/>
    <w:rsid w:val="00573E58"/>
    <w:rsid w:val="0057428B"/>
    <w:rsid w:val="00574629"/>
    <w:rsid w:val="00574772"/>
    <w:rsid w:val="005748E7"/>
    <w:rsid w:val="00574A49"/>
    <w:rsid w:val="0057514C"/>
    <w:rsid w:val="00575155"/>
    <w:rsid w:val="005754FC"/>
    <w:rsid w:val="0057552C"/>
    <w:rsid w:val="005757AF"/>
    <w:rsid w:val="00575C67"/>
    <w:rsid w:val="0057630C"/>
    <w:rsid w:val="0057641E"/>
    <w:rsid w:val="00576678"/>
    <w:rsid w:val="005767A3"/>
    <w:rsid w:val="005769A0"/>
    <w:rsid w:val="00576E45"/>
    <w:rsid w:val="00576FB0"/>
    <w:rsid w:val="0057707B"/>
    <w:rsid w:val="0057734E"/>
    <w:rsid w:val="005777E2"/>
    <w:rsid w:val="005778ED"/>
    <w:rsid w:val="00580946"/>
    <w:rsid w:val="0058097A"/>
    <w:rsid w:val="005809B6"/>
    <w:rsid w:val="005810DD"/>
    <w:rsid w:val="0058135D"/>
    <w:rsid w:val="00581B40"/>
    <w:rsid w:val="00581E9D"/>
    <w:rsid w:val="00582040"/>
    <w:rsid w:val="0058205F"/>
    <w:rsid w:val="005820A2"/>
    <w:rsid w:val="0058226A"/>
    <w:rsid w:val="00582418"/>
    <w:rsid w:val="005825FB"/>
    <w:rsid w:val="00582A25"/>
    <w:rsid w:val="00582AD0"/>
    <w:rsid w:val="00582B1D"/>
    <w:rsid w:val="00582C47"/>
    <w:rsid w:val="00583050"/>
    <w:rsid w:val="0058316E"/>
    <w:rsid w:val="005834C8"/>
    <w:rsid w:val="00583522"/>
    <w:rsid w:val="00583650"/>
    <w:rsid w:val="00583D7B"/>
    <w:rsid w:val="0058454D"/>
    <w:rsid w:val="00584742"/>
    <w:rsid w:val="00584AEF"/>
    <w:rsid w:val="00584BC4"/>
    <w:rsid w:val="005851C0"/>
    <w:rsid w:val="00585A6A"/>
    <w:rsid w:val="00585C46"/>
    <w:rsid w:val="00585EF3"/>
    <w:rsid w:val="00586078"/>
    <w:rsid w:val="005860FF"/>
    <w:rsid w:val="00586460"/>
    <w:rsid w:val="00586547"/>
    <w:rsid w:val="00586883"/>
    <w:rsid w:val="00586A14"/>
    <w:rsid w:val="00586D5C"/>
    <w:rsid w:val="00586E40"/>
    <w:rsid w:val="00586FDF"/>
    <w:rsid w:val="005870BA"/>
    <w:rsid w:val="00587207"/>
    <w:rsid w:val="005873B3"/>
    <w:rsid w:val="00587487"/>
    <w:rsid w:val="005874FE"/>
    <w:rsid w:val="00587A8A"/>
    <w:rsid w:val="00587BC4"/>
    <w:rsid w:val="00587BDA"/>
    <w:rsid w:val="005901FB"/>
    <w:rsid w:val="0059067D"/>
    <w:rsid w:val="00590748"/>
    <w:rsid w:val="0059089C"/>
    <w:rsid w:val="00590D2E"/>
    <w:rsid w:val="005911B1"/>
    <w:rsid w:val="005911E9"/>
    <w:rsid w:val="005912D3"/>
    <w:rsid w:val="00591319"/>
    <w:rsid w:val="0059135E"/>
    <w:rsid w:val="00591417"/>
    <w:rsid w:val="00591976"/>
    <w:rsid w:val="00591C6D"/>
    <w:rsid w:val="00591D17"/>
    <w:rsid w:val="00591F34"/>
    <w:rsid w:val="005921F7"/>
    <w:rsid w:val="005922D8"/>
    <w:rsid w:val="00592401"/>
    <w:rsid w:val="005926C9"/>
    <w:rsid w:val="00592768"/>
    <w:rsid w:val="00592B25"/>
    <w:rsid w:val="005932B0"/>
    <w:rsid w:val="005932EE"/>
    <w:rsid w:val="005933A4"/>
    <w:rsid w:val="00593673"/>
    <w:rsid w:val="0059399A"/>
    <w:rsid w:val="005939B7"/>
    <w:rsid w:val="00593B83"/>
    <w:rsid w:val="00593CD5"/>
    <w:rsid w:val="00593E9C"/>
    <w:rsid w:val="0059404F"/>
    <w:rsid w:val="0059421A"/>
    <w:rsid w:val="0059435D"/>
    <w:rsid w:val="00594361"/>
    <w:rsid w:val="005947B3"/>
    <w:rsid w:val="00594AC6"/>
    <w:rsid w:val="00594C11"/>
    <w:rsid w:val="00594C75"/>
    <w:rsid w:val="00595004"/>
    <w:rsid w:val="0059598B"/>
    <w:rsid w:val="00595A3A"/>
    <w:rsid w:val="00595C0F"/>
    <w:rsid w:val="00595E52"/>
    <w:rsid w:val="00596021"/>
    <w:rsid w:val="005960CB"/>
    <w:rsid w:val="00596278"/>
    <w:rsid w:val="005962BE"/>
    <w:rsid w:val="00596609"/>
    <w:rsid w:val="00597219"/>
    <w:rsid w:val="00597570"/>
    <w:rsid w:val="00597973"/>
    <w:rsid w:val="00597E75"/>
    <w:rsid w:val="005A0594"/>
    <w:rsid w:val="005A06B2"/>
    <w:rsid w:val="005A0774"/>
    <w:rsid w:val="005A1118"/>
    <w:rsid w:val="005A1342"/>
    <w:rsid w:val="005A143F"/>
    <w:rsid w:val="005A1CD8"/>
    <w:rsid w:val="005A20BE"/>
    <w:rsid w:val="005A22E4"/>
    <w:rsid w:val="005A2D39"/>
    <w:rsid w:val="005A2DB3"/>
    <w:rsid w:val="005A2DF6"/>
    <w:rsid w:val="005A3049"/>
    <w:rsid w:val="005A3306"/>
    <w:rsid w:val="005A3406"/>
    <w:rsid w:val="005A38D6"/>
    <w:rsid w:val="005A3C7B"/>
    <w:rsid w:val="005A3E83"/>
    <w:rsid w:val="005A3FBF"/>
    <w:rsid w:val="005A40D0"/>
    <w:rsid w:val="005A4184"/>
    <w:rsid w:val="005A4780"/>
    <w:rsid w:val="005A4B8E"/>
    <w:rsid w:val="005A4BCE"/>
    <w:rsid w:val="005A4D6A"/>
    <w:rsid w:val="005A4D7F"/>
    <w:rsid w:val="005A5389"/>
    <w:rsid w:val="005A54B3"/>
    <w:rsid w:val="005A54EB"/>
    <w:rsid w:val="005A578E"/>
    <w:rsid w:val="005A5856"/>
    <w:rsid w:val="005A585A"/>
    <w:rsid w:val="005A5AB2"/>
    <w:rsid w:val="005A5CA2"/>
    <w:rsid w:val="005A60EB"/>
    <w:rsid w:val="005A6C4A"/>
    <w:rsid w:val="005A6C88"/>
    <w:rsid w:val="005A6D30"/>
    <w:rsid w:val="005A6FD0"/>
    <w:rsid w:val="005A72EA"/>
    <w:rsid w:val="005A7417"/>
    <w:rsid w:val="005A7523"/>
    <w:rsid w:val="005A75B1"/>
    <w:rsid w:val="005A7AAD"/>
    <w:rsid w:val="005A7E34"/>
    <w:rsid w:val="005A7E78"/>
    <w:rsid w:val="005B0147"/>
    <w:rsid w:val="005B020D"/>
    <w:rsid w:val="005B047C"/>
    <w:rsid w:val="005B09A5"/>
    <w:rsid w:val="005B10CB"/>
    <w:rsid w:val="005B121D"/>
    <w:rsid w:val="005B150C"/>
    <w:rsid w:val="005B16DF"/>
    <w:rsid w:val="005B2635"/>
    <w:rsid w:val="005B26FD"/>
    <w:rsid w:val="005B2CF0"/>
    <w:rsid w:val="005B2E57"/>
    <w:rsid w:val="005B30DF"/>
    <w:rsid w:val="005B338D"/>
    <w:rsid w:val="005B39DF"/>
    <w:rsid w:val="005B3A75"/>
    <w:rsid w:val="005B3D42"/>
    <w:rsid w:val="005B3F08"/>
    <w:rsid w:val="005B3F35"/>
    <w:rsid w:val="005B40D8"/>
    <w:rsid w:val="005B45D2"/>
    <w:rsid w:val="005B486F"/>
    <w:rsid w:val="005B49F6"/>
    <w:rsid w:val="005B4DB6"/>
    <w:rsid w:val="005B5078"/>
    <w:rsid w:val="005B526F"/>
    <w:rsid w:val="005B5389"/>
    <w:rsid w:val="005B567D"/>
    <w:rsid w:val="005B568B"/>
    <w:rsid w:val="005B5A78"/>
    <w:rsid w:val="005B5D50"/>
    <w:rsid w:val="005B6319"/>
    <w:rsid w:val="005B6764"/>
    <w:rsid w:val="005B6C31"/>
    <w:rsid w:val="005B6D90"/>
    <w:rsid w:val="005B6DE4"/>
    <w:rsid w:val="005B6E88"/>
    <w:rsid w:val="005B7363"/>
    <w:rsid w:val="005B736B"/>
    <w:rsid w:val="005B74FB"/>
    <w:rsid w:val="005B76CF"/>
    <w:rsid w:val="005B7BBB"/>
    <w:rsid w:val="005B7F43"/>
    <w:rsid w:val="005C07E6"/>
    <w:rsid w:val="005C0E12"/>
    <w:rsid w:val="005C10C7"/>
    <w:rsid w:val="005C1159"/>
    <w:rsid w:val="005C1483"/>
    <w:rsid w:val="005C1D77"/>
    <w:rsid w:val="005C2156"/>
    <w:rsid w:val="005C254C"/>
    <w:rsid w:val="005C25AC"/>
    <w:rsid w:val="005C2B04"/>
    <w:rsid w:val="005C2B2C"/>
    <w:rsid w:val="005C303C"/>
    <w:rsid w:val="005C3076"/>
    <w:rsid w:val="005C314A"/>
    <w:rsid w:val="005C3215"/>
    <w:rsid w:val="005C3478"/>
    <w:rsid w:val="005C36ED"/>
    <w:rsid w:val="005C38AA"/>
    <w:rsid w:val="005C3984"/>
    <w:rsid w:val="005C3A65"/>
    <w:rsid w:val="005C3A99"/>
    <w:rsid w:val="005C41CA"/>
    <w:rsid w:val="005C4406"/>
    <w:rsid w:val="005C44B9"/>
    <w:rsid w:val="005C46E9"/>
    <w:rsid w:val="005C46FB"/>
    <w:rsid w:val="005C4B55"/>
    <w:rsid w:val="005C4D49"/>
    <w:rsid w:val="005C4FDB"/>
    <w:rsid w:val="005C5107"/>
    <w:rsid w:val="005C51EE"/>
    <w:rsid w:val="005C58E5"/>
    <w:rsid w:val="005C5E9F"/>
    <w:rsid w:val="005C5F6C"/>
    <w:rsid w:val="005C61AE"/>
    <w:rsid w:val="005C64A3"/>
    <w:rsid w:val="005C64EE"/>
    <w:rsid w:val="005C6566"/>
    <w:rsid w:val="005C6ED4"/>
    <w:rsid w:val="005C6F0E"/>
    <w:rsid w:val="005C7123"/>
    <w:rsid w:val="005C747A"/>
    <w:rsid w:val="005C7718"/>
    <w:rsid w:val="005C779C"/>
    <w:rsid w:val="005C77AD"/>
    <w:rsid w:val="005C78B7"/>
    <w:rsid w:val="005C79A0"/>
    <w:rsid w:val="005C7B59"/>
    <w:rsid w:val="005D0071"/>
    <w:rsid w:val="005D025D"/>
    <w:rsid w:val="005D02DD"/>
    <w:rsid w:val="005D0834"/>
    <w:rsid w:val="005D0C52"/>
    <w:rsid w:val="005D0D3A"/>
    <w:rsid w:val="005D0DFF"/>
    <w:rsid w:val="005D0F9D"/>
    <w:rsid w:val="005D1026"/>
    <w:rsid w:val="005D1436"/>
    <w:rsid w:val="005D149D"/>
    <w:rsid w:val="005D14F8"/>
    <w:rsid w:val="005D174B"/>
    <w:rsid w:val="005D18B9"/>
    <w:rsid w:val="005D1BB0"/>
    <w:rsid w:val="005D1EB4"/>
    <w:rsid w:val="005D200F"/>
    <w:rsid w:val="005D21FE"/>
    <w:rsid w:val="005D24C1"/>
    <w:rsid w:val="005D2675"/>
    <w:rsid w:val="005D2759"/>
    <w:rsid w:val="005D27D1"/>
    <w:rsid w:val="005D2AD0"/>
    <w:rsid w:val="005D2B6F"/>
    <w:rsid w:val="005D2BB1"/>
    <w:rsid w:val="005D2BB5"/>
    <w:rsid w:val="005D2EE7"/>
    <w:rsid w:val="005D2FE5"/>
    <w:rsid w:val="005D3D41"/>
    <w:rsid w:val="005D4530"/>
    <w:rsid w:val="005D4904"/>
    <w:rsid w:val="005D4A61"/>
    <w:rsid w:val="005D4AD6"/>
    <w:rsid w:val="005D51D4"/>
    <w:rsid w:val="005D5287"/>
    <w:rsid w:val="005D55D3"/>
    <w:rsid w:val="005D5790"/>
    <w:rsid w:val="005D5B09"/>
    <w:rsid w:val="005D5C1C"/>
    <w:rsid w:val="005D5FD1"/>
    <w:rsid w:val="005D646D"/>
    <w:rsid w:val="005D659A"/>
    <w:rsid w:val="005D6614"/>
    <w:rsid w:val="005D68F3"/>
    <w:rsid w:val="005D6C87"/>
    <w:rsid w:val="005D6DC6"/>
    <w:rsid w:val="005D6DD6"/>
    <w:rsid w:val="005D70A9"/>
    <w:rsid w:val="005D737F"/>
    <w:rsid w:val="005D745E"/>
    <w:rsid w:val="005D74F0"/>
    <w:rsid w:val="005D7598"/>
    <w:rsid w:val="005D78F6"/>
    <w:rsid w:val="005D794B"/>
    <w:rsid w:val="005D79E2"/>
    <w:rsid w:val="005D7A3A"/>
    <w:rsid w:val="005D7B34"/>
    <w:rsid w:val="005D7B99"/>
    <w:rsid w:val="005D7BD2"/>
    <w:rsid w:val="005D7CA5"/>
    <w:rsid w:val="005D7D23"/>
    <w:rsid w:val="005D7E74"/>
    <w:rsid w:val="005D7FBF"/>
    <w:rsid w:val="005E0450"/>
    <w:rsid w:val="005E08D0"/>
    <w:rsid w:val="005E0938"/>
    <w:rsid w:val="005E1673"/>
    <w:rsid w:val="005E1786"/>
    <w:rsid w:val="005E1CEA"/>
    <w:rsid w:val="005E2129"/>
    <w:rsid w:val="005E2150"/>
    <w:rsid w:val="005E2210"/>
    <w:rsid w:val="005E262D"/>
    <w:rsid w:val="005E287E"/>
    <w:rsid w:val="005E2E54"/>
    <w:rsid w:val="005E2F8E"/>
    <w:rsid w:val="005E35B3"/>
    <w:rsid w:val="005E3BA1"/>
    <w:rsid w:val="005E3C66"/>
    <w:rsid w:val="005E3DD1"/>
    <w:rsid w:val="005E44A7"/>
    <w:rsid w:val="005E48AA"/>
    <w:rsid w:val="005E48B6"/>
    <w:rsid w:val="005E4BDC"/>
    <w:rsid w:val="005E51EC"/>
    <w:rsid w:val="005E536F"/>
    <w:rsid w:val="005E5652"/>
    <w:rsid w:val="005E5790"/>
    <w:rsid w:val="005E5792"/>
    <w:rsid w:val="005E582A"/>
    <w:rsid w:val="005E588A"/>
    <w:rsid w:val="005E5BF2"/>
    <w:rsid w:val="005E5C7E"/>
    <w:rsid w:val="005E6B16"/>
    <w:rsid w:val="005E6E01"/>
    <w:rsid w:val="005E7032"/>
    <w:rsid w:val="005E7452"/>
    <w:rsid w:val="005F01FB"/>
    <w:rsid w:val="005F0B7D"/>
    <w:rsid w:val="005F0CE6"/>
    <w:rsid w:val="005F0D78"/>
    <w:rsid w:val="005F0FB1"/>
    <w:rsid w:val="005F114E"/>
    <w:rsid w:val="005F13AB"/>
    <w:rsid w:val="005F15FB"/>
    <w:rsid w:val="005F221E"/>
    <w:rsid w:val="005F2429"/>
    <w:rsid w:val="005F2599"/>
    <w:rsid w:val="005F274F"/>
    <w:rsid w:val="005F285F"/>
    <w:rsid w:val="005F2E52"/>
    <w:rsid w:val="005F2E87"/>
    <w:rsid w:val="005F3050"/>
    <w:rsid w:val="005F321C"/>
    <w:rsid w:val="005F3350"/>
    <w:rsid w:val="005F34A4"/>
    <w:rsid w:val="005F3561"/>
    <w:rsid w:val="005F3920"/>
    <w:rsid w:val="005F3921"/>
    <w:rsid w:val="005F3978"/>
    <w:rsid w:val="005F41A2"/>
    <w:rsid w:val="005F4706"/>
    <w:rsid w:val="005F4A18"/>
    <w:rsid w:val="005F4C07"/>
    <w:rsid w:val="005F4D4A"/>
    <w:rsid w:val="005F50BA"/>
    <w:rsid w:val="005F52E4"/>
    <w:rsid w:val="005F536D"/>
    <w:rsid w:val="005F57E1"/>
    <w:rsid w:val="005F5AFE"/>
    <w:rsid w:val="005F5C22"/>
    <w:rsid w:val="005F5C79"/>
    <w:rsid w:val="005F5E57"/>
    <w:rsid w:val="005F5EDF"/>
    <w:rsid w:val="005F5F5C"/>
    <w:rsid w:val="005F6183"/>
    <w:rsid w:val="005F62B6"/>
    <w:rsid w:val="005F6842"/>
    <w:rsid w:val="005F6ED8"/>
    <w:rsid w:val="005F7039"/>
    <w:rsid w:val="005F7809"/>
    <w:rsid w:val="005F783A"/>
    <w:rsid w:val="005F7B41"/>
    <w:rsid w:val="005F7D0E"/>
    <w:rsid w:val="005F7F36"/>
    <w:rsid w:val="00600049"/>
    <w:rsid w:val="00600371"/>
    <w:rsid w:val="00600462"/>
    <w:rsid w:val="00600499"/>
    <w:rsid w:val="006005CA"/>
    <w:rsid w:val="0060090C"/>
    <w:rsid w:val="00600BF0"/>
    <w:rsid w:val="00600E75"/>
    <w:rsid w:val="00600F2E"/>
    <w:rsid w:val="006011CA"/>
    <w:rsid w:val="00601777"/>
    <w:rsid w:val="006017BC"/>
    <w:rsid w:val="006017FE"/>
    <w:rsid w:val="00601A8A"/>
    <w:rsid w:val="00601B5D"/>
    <w:rsid w:val="00601BA8"/>
    <w:rsid w:val="00601CEB"/>
    <w:rsid w:val="00602099"/>
    <w:rsid w:val="006020DB"/>
    <w:rsid w:val="006025A2"/>
    <w:rsid w:val="0060280E"/>
    <w:rsid w:val="006029E9"/>
    <w:rsid w:val="00602AF4"/>
    <w:rsid w:val="00602B7B"/>
    <w:rsid w:val="006032AD"/>
    <w:rsid w:val="00603589"/>
    <w:rsid w:val="00603633"/>
    <w:rsid w:val="00603696"/>
    <w:rsid w:val="0060373A"/>
    <w:rsid w:val="00603A0F"/>
    <w:rsid w:val="00603BA9"/>
    <w:rsid w:val="00603C76"/>
    <w:rsid w:val="00603CD8"/>
    <w:rsid w:val="00603DCC"/>
    <w:rsid w:val="00603E0F"/>
    <w:rsid w:val="00603E5F"/>
    <w:rsid w:val="00603FC8"/>
    <w:rsid w:val="006046D0"/>
    <w:rsid w:val="00604763"/>
    <w:rsid w:val="00604FFD"/>
    <w:rsid w:val="00605088"/>
    <w:rsid w:val="00605439"/>
    <w:rsid w:val="006055D6"/>
    <w:rsid w:val="00605C47"/>
    <w:rsid w:val="00605CBD"/>
    <w:rsid w:val="0060607D"/>
    <w:rsid w:val="006061F9"/>
    <w:rsid w:val="0060637D"/>
    <w:rsid w:val="006069D1"/>
    <w:rsid w:val="00606A2D"/>
    <w:rsid w:val="00606C30"/>
    <w:rsid w:val="00606C49"/>
    <w:rsid w:val="00606E67"/>
    <w:rsid w:val="006070C0"/>
    <w:rsid w:val="006075BE"/>
    <w:rsid w:val="0060769A"/>
    <w:rsid w:val="006078FA"/>
    <w:rsid w:val="00610B94"/>
    <w:rsid w:val="00610ED1"/>
    <w:rsid w:val="00610EFE"/>
    <w:rsid w:val="00610FD8"/>
    <w:rsid w:val="00611445"/>
    <w:rsid w:val="006117F7"/>
    <w:rsid w:val="00611973"/>
    <w:rsid w:val="00611BC7"/>
    <w:rsid w:val="00611C1F"/>
    <w:rsid w:val="00611DC4"/>
    <w:rsid w:val="00611F42"/>
    <w:rsid w:val="00611FC2"/>
    <w:rsid w:val="006122DF"/>
    <w:rsid w:val="006123FE"/>
    <w:rsid w:val="00612622"/>
    <w:rsid w:val="0061263E"/>
    <w:rsid w:val="0061290F"/>
    <w:rsid w:val="006129B7"/>
    <w:rsid w:val="00612A69"/>
    <w:rsid w:val="00612BE6"/>
    <w:rsid w:val="00612E46"/>
    <w:rsid w:val="00613131"/>
    <w:rsid w:val="006132AD"/>
    <w:rsid w:val="006132B6"/>
    <w:rsid w:val="00613485"/>
    <w:rsid w:val="00613838"/>
    <w:rsid w:val="00613CB4"/>
    <w:rsid w:val="00613E94"/>
    <w:rsid w:val="00613F9B"/>
    <w:rsid w:val="00614245"/>
    <w:rsid w:val="006145D6"/>
    <w:rsid w:val="00614732"/>
    <w:rsid w:val="00615141"/>
    <w:rsid w:val="0061537D"/>
    <w:rsid w:val="00615597"/>
    <w:rsid w:val="00615609"/>
    <w:rsid w:val="00615882"/>
    <w:rsid w:val="006159EC"/>
    <w:rsid w:val="00615A2B"/>
    <w:rsid w:val="00615C61"/>
    <w:rsid w:val="00615D14"/>
    <w:rsid w:val="00615DC5"/>
    <w:rsid w:val="00615EF4"/>
    <w:rsid w:val="00615F63"/>
    <w:rsid w:val="0061621D"/>
    <w:rsid w:val="00616391"/>
    <w:rsid w:val="0061656E"/>
    <w:rsid w:val="00616875"/>
    <w:rsid w:val="00616E54"/>
    <w:rsid w:val="006170B1"/>
    <w:rsid w:val="00617455"/>
    <w:rsid w:val="0061747B"/>
    <w:rsid w:val="006176E8"/>
    <w:rsid w:val="00617885"/>
    <w:rsid w:val="00620068"/>
    <w:rsid w:val="00620121"/>
    <w:rsid w:val="006201C8"/>
    <w:rsid w:val="00620541"/>
    <w:rsid w:val="0062089B"/>
    <w:rsid w:val="006208F8"/>
    <w:rsid w:val="00620CBA"/>
    <w:rsid w:val="00620D68"/>
    <w:rsid w:val="0062128E"/>
    <w:rsid w:val="00621754"/>
    <w:rsid w:val="006218AB"/>
    <w:rsid w:val="006218C5"/>
    <w:rsid w:val="00621E44"/>
    <w:rsid w:val="00622160"/>
    <w:rsid w:val="0062248D"/>
    <w:rsid w:val="006225C1"/>
    <w:rsid w:val="006226B0"/>
    <w:rsid w:val="00622978"/>
    <w:rsid w:val="00622CE0"/>
    <w:rsid w:val="00622CF6"/>
    <w:rsid w:val="00622E32"/>
    <w:rsid w:val="00622E40"/>
    <w:rsid w:val="00622ED3"/>
    <w:rsid w:val="00623146"/>
    <w:rsid w:val="006234CB"/>
    <w:rsid w:val="00623C25"/>
    <w:rsid w:val="006240C0"/>
    <w:rsid w:val="0062425E"/>
    <w:rsid w:val="006242E9"/>
    <w:rsid w:val="0062480D"/>
    <w:rsid w:val="00624B0A"/>
    <w:rsid w:val="00624B65"/>
    <w:rsid w:val="00624C30"/>
    <w:rsid w:val="006251CC"/>
    <w:rsid w:val="00625367"/>
    <w:rsid w:val="0062554B"/>
    <w:rsid w:val="00625B01"/>
    <w:rsid w:val="00625BA5"/>
    <w:rsid w:val="00625F92"/>
    <w:rsid w:val="006265C0"/>
    <w:rsid w:val="00626C18"/>
    <w:rsid w:val="00626E22"/>
    <w:rsid w:val="00626E78"/>
    <w:rsid w:val="006277F0"/>
    <w:rsid w:val="00627DF5"/>
    <w:rsid w:val="00627E1A"/>
    <w:rsid w:val="0063018D"/>
    <w:rsid w:val="00630263"/>
    <w:rsid w:val="0063079A"/>
    <w:rsid w:val="00630BB7"/>
    <w:rsid w:val="006313AC"/>
    <w:rsid w:val="006313F5"/>
    <w:rsid w:val="006314DE"/>
    <w:rsid w:val="00631A22"/>
    <w:rsid w:val="00632098"/>
    <w:rsid w:val="00632419"/>
    <w:rsid w:val="006326B6"/>
    <w:rsid w:val="006327F8"/>
    <w:rsid w:val="00632A7C"/>
    <w:rsid w:val="00632CDE"/>
    <w:rsid w:val="006337CF"/>
    <w:rsid w:val="00633872"/>
    <w:rsid w:val="006339CF"/>
    <w:rsid w:val="00633A2E"/>
    <w:rsid w:val="00633A4D"/>
    <w:rsid w:val="00633DCA"/>
    <w:rsid w:val="00633EAD"/>
    <w:rsid w:val="00633EBC"/>
    <w:rsid w:val="0063407D"/>
    <w:rsid w:val="006341EE"/>
    <w:rsid w:val="00634642"/>
    <w:rsid w:val="0063466E"/>
    <w:rsid w:val="0063468B"/>
    <w:rsid w:val="006346DA"/>
    <w:rsid w:val="0063492A"/>
    <w:rsid w:val="00634E6E"/>
    <w:rsid w:val="006350DD"/>
    <w:rsid w:val="00635192"/>
    <w:rsid w:val="006351FE"/>
    <w:rsid w:val="0063554C"/>
    <w:rsid w:val="006359A0"/>
    <w:rsid w:val="00635FCB"/>
    <w:rsid w:val="0063608B"/>
    <w:rsid w:val="00636101"/>
    <w:rsid w:val="00636106"/>
    <w:rsid w:val="00636671"/>
    <w:rsid w:val="006367C1"/>
    <w:rsid w:val="00636872"/>
    <w:rsid w:val="006369E0"/>
    <w:rsid w:val="00636E8C"/>
    <w:rsid w:val="00636EBB"/>
    <w:rsid w:val="0063707A"/>
    <w:rsid w:val="006374D2"/>
    <w:rsid w:val="00637509"/>
    <w:rsid w:val="006377DF"/>
    <w:rsid w:val="00637971"/>
    <w:rsid w:val="00637C4C"/>
    <w:rsid w:val="006401DE"/>
    <w:rsid w:val="00640336"/>
    <w:rsid w:val="00640382"/>
    <w:rsid w:val="006404D3"/>
    <w:rsid w:val="00640515"/>
    <w:rsid w:val="006406C5"/>
    <w:rsid w:val="0064077B"/>
    <w:rsid w:val="006407D9"/>
    <w:rsid w:val="006409BE"/>
    <w:rsid w:val="00640C41"/>
    <w:rsid w:val="00640DAA"/>
    <w:rsid w:val="00640E88"/>
    <w:rsid w:val="006410E4"/>
    <w:rsid w:val="0064117F"/>
    <w:rsid w:val="006412EE"/>
    <w:rsid w:val="00641630"/>
    <w:rsid w:val="00641B27"/>
    <w:rsid w:val="00641E96"/>
    <w:rsid w:val="00641EEE"/>
    <w:rsid w:val="0064211D"/>
    <w:rsid w:val="00642308"/>
    <w:rsid w:val="0064262F"/>
    <w:rsid w:val="00642693"/>
    <w:rsid w:val="00642B09"/>
    <w:rsid w:val="00642D37"/>
    <w:rsid w:val="00642E4F"/>
    <w:rsid w:val="00642F62"/>
    <w:rsid w:val="00643006"/>
    <w:rsid w:val="00643180"/>
    <w:rsid w:val="00643A18"/>
    <w:rsid w:val="00643BE2"/>
    <w:rsid w:val="00643D49"/>
    <w:rsid w:val="00643F38"/>
    <w:rsid w:val="006445EA"/>
    <w:rsid w:val="00644868"/>
    <w:rsid w:val="00644A3B"/>
    <w:rsid w:val="00644BC4"/>
    <w:rsid w:val="00644C14"/>
    <w:rsid w:val="00644C9F"/>
    <w:rsid w:val="00645472"/>
    <w:rsid w:val="006454B4"/>
    <w:rsid w:val="00645637"/>
    <w:rsid w:val="00645699"/>
    <w:rsid w:val="006459E2"/>
    <w:rsid w:val="00645A27"/>
    <w:rsid w:val="00645F8E"/>
    <w:rsid w:val="00645FD6"/>
    <w:rsid w:val="00646150"/>
    <w:rsid w:val="006462A2"/>
    <w:rsid w:val="00646306"/>
    <w:rsid w:val="0064663C"/>
    <w:rsid w:val="00646738"/>
    <w:rsid w:val="006469D6"/>
    <w:rsid w:val="00646D13"/>
    <w:rsid w:val="00647269"/>
    <w:rsid w:val="00647489"/>
    <w:rsid w:val="00647915"/>
    <w:rsid w:val="00647939"/>
    <w:rsid w:val="00647B41"/>
    <w:rsid w:val="00647BC9"/>
    <w:rsid w:val="00647C1F"/>
    <w:rsid w:val="00647D67"/>
    <w:rsid w:val="00650173"/>
    <w:rsid w:val="006502E3"/>
    <w:rsid w:val="006505F2"/>
    <w:rsid w:val="00650DCF"/>
    <w:rsid w:val="00650E77"/>
    <w:rsid w:val="00650FA9"/>
    <w:rsid w:val="0065101E"/>
    <w:rsid w:val="006512C1"/>
    <w:rsid w:val="006512CB"/>
    <w:rsid w:val="0065142A"/>
    <w:rsid w:val="00651688"/>
    <w:rsid w:val="0065178C"/>
    <w:rsid w:val="006517B1"/>
    <w:rsid w:val="006518B7"/>
    <w:rsid w:val="00651AEA"/>
    <w:rsid w:val="00651B15"/>
    <w:rsid w:val="00651FB2"/>
    <w:rsid w:val="00652043"/>
    <w:rsid w:val="00652356"/>
    <w:rsid w:val="00652681"/>
    <w:rsid w:val="0065268E"/>
    <w:rsid w:val="006527C9"/>
    <w:rsid w:val="00652FD7"/>
    <w:rsid w:val="00653188"/>
    <w:rsid w:val="006533C0"/>
    <w:rsid w:val="00653B2C"/>
    <w:rsid w:val="00653E55"/>
    <w:rsid w:val="006545D7"/>
    <w:rsid w:val="00654BAE"/>
    <w:rsid w:val="00654BDE"/>
    <w:rsid w:val="00654C45"/>
    <w:rsid w:val="00654EF6"/>
    <w:rsid w:val="00655CCC"/>
    <w:rsid w:val="0065616D"/>
    <w:rsid w:val="006562D0"/>
    <w:rsid w:val="006563F3"/>
    <w:rsid w:val="006566AA"/>
    <w:rsid w:val="006566FA"/>
    <w:rsid w:val="0065671C"/>
    <w:rsid w:val="00656810"/>
    <w:rsid w:val="00656F28"/>
    <w:rsid w:val="006573BE"/>
    <w:rsid w:val="0065769D"/>
    <w:rsid w:val="00657E95"/>
    <w:rsid w:val="0066038B"/>
    <w:rsid w:val="006606BF"/>
    <w:rsid w:val="00660BFA"/>
    <w:rsid w:val="00661066"/>
    <w:rsid w:val="006610F5"/>
    <w:rsid w:val="00661608"/>
    <w:rsid w:val="006616EA"/>
    <w:rsid w:val="00662186"/>
    <w:rsid w:val="00662949"/>
    <w:rsid w:val="00662CA5"/>
    <w:rsid w:val="00662EE4"/>
    <w:rsid w:val="00662FCF"/>
    <w:rsid w:val="0066355E"/>
    <w:rsid w:val="00663580"/>
    <w:rsid w:val="00663607"/>
    <w:rsid w:val="006636A7"/>
    <w:rsid w:val="00663DFF"/>
    <w:rsid w:val="00663E55"/>
    <w:rsid w:val="00663E99"/>
    <w:rsid w:val="00664277"/>
    <w:rsid w:val="006644BB"/>
    <w:rsid w:val="0066452B"/>
    <w:rsid w:val="006646A5"/>
    <w:rsid w:val="00664AA1"/>
    <w:rsid w:val="00664D17"/>
    <w:rsid w:val="00664E97"/>
    <w:rsid w:val="00664FE6"/>
    <w:rsid w:val="0066514A"/>
    <w:rsid w:val="006656F3"/>
    <w:rsid w:val="0066581A"/>
    <w:rsid w:val="006659AB"/>
    <w:rsid w:val="006659D5"/>
    <w:rsid w:val="00665CD1"/>
    <w:rsid w:val="00665D7A"/>
    <w:rsid w:val="00665E22"/>
    <w:rsid w:val="00665ED4"/>
    <w:rsid w:val="0066673C"/>
    <w:rsid w:val="006668C2"/>
    <w:rsid w:val="006669AB"/>
    <w:rsid w:val="00666AFB"/>
    <w:rsid w:val="00666D8E"/>
    <w:rsid w:val="0066721F"/>
    <w:rsid w:val="006672F9"/>
    <w:rsid w:val="00667310"/>
    <w:rsid w:val="006675E6"/>
    <w:rsid w:val="006676A1"/>
    <w:rsid w:val="0066775D"/>
    <w:rsid w:val="006678D5"/>
    <w:rsid w:val="00667EC1"/>
    <w:rsid w:val="0067002B"/>
    <w:rsid w:val="0067016C"/>
    <w:rsid w:val="0067038F"/>
    <w:rsid w:val="006704BB"/>
    <w:rsid w:val="00670C2F"/>
    <w:rsid w:val="00670F32"/>
    <w:rsid w:val="00671015"/>
    <w:rsid w:val="006712F9"/>
    <w:rsid w:val="006713D6"/>
    <w:rsid w:val="00671542"/>
    <w:rsid w:val="006717F3"/>
    <w:rsid w:val="0067190B"/>
    <w:rsid w:val="00671994"/>
    <w:rsid w:val="00671EA0"/>
    <w:rsid w:val="00671EF1"/>
    <w:rsid w:val="00672307"/>
    <w:rsid w:val="00673097"/>
    <w:rsid w:val="006730F1"/>
    <w:rsid w:val="00673354"/>
    <w:rsid w:val="00673522"/>
    <w:rsid w:val="00673591"/>
    <w:rsid w:val="00673763"/>
    <w:rsid w:val="006738EC"/>
    <w:rsid w:val="00673905"/>
    <w:rsid w:val="006739B9"/>
    <w:rsid w:val="00673A67"/>
    <w:rsid w:val="00673C8D"/>
    <w:rsid w:val="0067441A"/>
    <w:rsid w:val="006750FE"/>
    <w:rsid w:val="00675229"/>
    <w:rsid w:val="0067525C"/>
    <w:rsid w:val="00675345"/>
    <w:rsid w:val="00675504"/>
    <w:rsid w:val="0067554D"/>
    <w:rsid w:val="00675A2C"/>
    <w:rsid w:val="00675BFC"/>
    <w:rsid w:val="0067656C"/>
    <w:rsid w:val="006765D1"/>
    <w:rsid w:val="0067663B"/>
    <w:rsid w:val="006766BB"/>
    <w:rsid w:val="006767A3"/>
    <w:rsid w:val="00676984"/>
    <w:rsid w:val="00676E0C"/>
    <w:rsid w:val="0067704A"/>
    <w:rsid w:val="006772D2"/>
    <w:rsid w:val="006773DB"/>
    <w:rsid w:val="0067754A"/>
    <w:rsid w:val="00677650"/>
    <w:rsid w:val="00677A30"/>
    <w:rsid w:val="00677D1E"/>
    <w:rsid w:val="006800A3"/>
    <w:rsid w:val="00680295"/>
    <w:rsid w:val="006806EE"/>
    <w:rsid w:val="0068092A"/>
    <w:rsid w:val="00680A23"/>
    <w:rsid w:val="00680D09"/>
    <w:rsid w:val="00680DAE"/>
    <w:rsid w:val="00680E3C"/>
    <w:rsid w:val="00681713"/>
    <w:rsid w:val="006817DD"/>
    <w:rsid w:val="006819B7"/>
    <w:rsid w:val="00681FE6"/>
    <w:rsid w:val="006820D2"/>
    <w:rsid w:val="0068214C"/>
    <w:rsid w:val="0068241D"/>
    <w:rsid w:val="00682544"/>
    <w:rsid w:val="006825B6"/>
    <w:rsid w:val="006826FB"/>
    <w:rsid w:val="00682846"/>
    <w:rsid w:val="006834D6"/>
    <w:rsid w:val="0068360F"/>
    <w:rsid w:val="00683893"/>
    <w:rsid w:val="00683DD0"/>
    <w:rsid w:val="006840E5"/>
    <w:rsid w:val="006843CF"/>
    <w:rsid w:val="00684486"/>
    <w:rsid w:val="00684686"/>
    <w:rsid w:val="0068474B"/>
    <w:rsid w:val="006854AB"/>
    <w:rsid w:val="00685AA8"/>
    <w:rsid w:val="00685D68"/>
    <w:rsid w:val="00686786"/>
    <w:rsid w:val="0068692B"/>
    <w:rsid w:val="00686C3D"/>
    <w:rsid w:val="006871EE"/>
    <w:rsid w:val="0068782D"/>
    <w:rsid w:val="00687A7F"/>
    <w:rsid w:val="00687AE3"/>
    <w:rsid w:val="00687CC2"/>
    <w:rsid w:val="00687E95"/>
    <w:rsid w:val="00690729"/>
    <w:rsid w:val="00690CB1"/>
    <w:rsid w:val="00690FC4"/>
    <w:rsid w:val="006910DB"/>
    <w:rsid w:val="0069118D"/>
    <w:rsid w:val="0069138B"/>
    <w:rsid w:val="006913A8"/>
    <w:rsid w:val="006914A3"/>
    <w:rsid w:val="0069174B"/>
    <w:rsid w:val="0069193C"/>
    <w:rsid w:val="00691B12"/>
    <w:rsid w:val="00691C64"/>
    <w:rsid w:val="00691D62"/>
    <w:rsid w:val="00691E79"/>
    <w:rsid w:val="00691FBF"/>
    <w:rsid w:val="00692332"/>
    <w:rsid w:val="00692484"/>
    <w:rsid w:val="006926EB"/>
    <w:rsid w:val="00692B7A"/>
    <w:rsid w:val="00692D73"/>
    <w:rsid w:val="00693130"/>
    <w:rsid w:val="00693853"/>
    <w:rsid w:val="00693ABF"/>
    <w:rsid w:val="00693B86"/>
    <w:rsid w:val="00693E6D"/>
    <w:rsid w:val="00694914"/>
    <w:rsid w:val="00694950"/>
    <w:rsid w:val="00694CF0"/>
    <w:rsid w:val="00694E22"/>
    <w:rsid w:val="00695271"/>
    <w:rsid w:val="0069527F"/>
    <w:rsid w:val="00695359"/>
    <w:rsid w:val="00695412"/>
    <w:rsid w:val="006959B5"/>
    <w:rsid w:val="00696061"/>
    <w:rsid w:val="006968DA"/>
    <w:rsid w:val="00696945"/>
    <w:rsid w:val="0069699C"/>
    <w:rsid w:val="006969DB"/>
    <w:rsid w:val="00696A4A"/>
    <w:rsid w:val="00696A51"/>
    <w:rsid w:val="00696FE0"/>
    <w:rsid w:val="00697010"/>
    <w:rsid w:val="00697406"/>
    <w:rsid w:val="00697554"/>
    <w:rsid w:val="00697A80"/>
    <w:rsid w:val="00697BEE"/>
    <w:rsid w:val="00697CCF"/>
    <w:rsid w:val="00697CE8"/>
    <w:rsid w:val="00697DE5"/>
    <w:rsid w:val="00697FA5"/>
    <w:rsid w:val="006A092C"/>
    <w:rsid w:val="006A0C2E"/>
    <w:rsid w:val="006A114D"/>
    <w:rsid w:val="006A1185"/>
    <w:rsid w:val="006A14C9"/>
    <w:rsid w:val="006A1646"/>
    <w:rsid w:val="006A175A"/>
    <w:rsid w:val="006A24A8"/>
    <w:rsid w:val="006A29AB"/>
    <w:rsid w:val="006A2A4D"/>
    <w:rsid w:val="006A2F25"/>
    <w:rsid w:val="006A3412"/>
    <w:rsid w:val="006A3CA1"/>
    <w:rsid w:val="006A40A6"/>
    <w:rsid w:val="006A464C"/>
    <w:rsid w:val="006A4758"/>
    <w:rsid w:val="006A4916"/>
    <w:rsid w:val="006A4B25"/>
    <w:rsid w:val="006A4B26"/>
    <w:rsid w:val="006A4C58"/>
    <w:rsid w:val="006A4CD3"/>
    <w:rsid w:val="006A5414"/>
    <w:rsid w:val="006A55A3"/>
    <w:rsid w:val="006A5B48"/>
    <w:rsid w:val="006A5CA7"/>
    <w:rsid w:val="006A5DBD"/>
    <w:rsid w:val="006A5E6B"/>
    <w:rsid w:val="006A5EBB"/>
    <w:rsid w:val="006A6097"/>
    <w:rsid w:val="006A60FE"/>
    <w:rsid w:val="006A617F"/>
    <w:rsid w:val="006A6273"/>
    <w:rsid w:val="006A65A4"/>
    <w:rsid w:val="006A6605"/>
    <w:rsid w:val="006A668B"/>
    <w:rsid w:val="006A66BD"/>
    <w:rsid w:val="006A66D0"/>
    <w:rsid w:val="006A6962"/>
    <w:rsid w:val="006A6B4D"/>
    <w:rsid w:val="006A6D1E"/>
    <w:rsid w:val="006A6DAE"/>
    <w:rsid w:val="006A6E01"/>
    <w:rsid w:val="006A6F35"/>
    <w:rsid w:val="006A7609"/>
    <w:rsid w:val="006A7648"/>
    <w:rsid w:val="006A76A7"/>
    <w:rsid w:val="006A7800"/>
    <w:rsid w:val="006A789B"/>
    <w:rsid w:val="006A78D9"/>
    <w:rsid w:val="006A7C79"/>
    <w:rsid w:val="006A7E20"/>
    <w:rsid w:val="006B00D5"/>
    <w:rsid w:val="006B0358"/>
    <w:rsid w:val="006B04CF"/>
    <w:rsid w:val="006B097E"/>
    <w:rsid w:val="006B0F30"/>
    <w:rsid w:val="006B11FA"/>
    <w:rsid w:val="006B1360"/>
    <w:rsid w:val="006B1392"/>
    <w:rsid w:val="006B1855"/>
    <w:rsid w:val="006B18DA"/>
    <w:rsid w:val="006B1914"/>
    <w:rsid w:val="006B231E"/>
    <w:rsid w:val="006B25A9"/>
    <w:rsid w:val="006B2877"/>
    <w:rsid w:val="006B2893"/>
    <w:rsid w:val="006B29DC"/>
    <w:rsid w:val="006B2A6B"/>
    <w:rsid w:val="006B33A4"/>
    <w:rsid w:val="006B3438"/>
    <w:rsid w:val="006B3803"/>
    <w:rsid w:val="006B38FD"/>
    <w:rsid w:val="006B3CDF"/>
    <w:rsid w:val="006B3E5B"/>
    <w:rsid w:val="006B40DA"/>
    <w:rsid w:val="006B456F"/>
    <w:rsid w:val="006B49F1"/>
    <w:rsid w:val="006B5413"/>
    <w:rsid w:val="006B5414"/>
    <w:rsid w:val="006B5769"/>
    <w:rsid w:val="006B5EBA"/>
    <w:rsid w:val="006B5F44"/>
    <w:rsid w:val="006B619C"/>
    <w:rsid w:val="006B61A4"/>
    <w:rsid w:val="006B69E3"/>
    <w:rsid w:val="006B6C73"/>
    <w:rsid w:val="006B717C"/>
    <w:rsid w:val="006B7331"/>
    <w:rsid w:val="006B7353"/>
    <w:rsid w:val="006B73D7"/>
    <w:rsid w:val="006B7491"/>
    <w:rsid w:val="006B7561"/>
    <w:rsid w:val="006B783F"/>
    <w:rsid w:val="006B7896"/>
    <w:rsid w:val="006B7AA0"/>
    <w:rsid w:val="006B7B8E"/>
    <w:rsid w:val="006B7F12"/>
    <w:rsid w:val="006C042D"/>
    <w:rsid w:val="006C0766"/>
    <w:rsid w:val="006C0E2F"/>
    <w:rsid w:val="006C0EC1"/>
    <w:rsid w:val="006C0F5D"/>
    <w:rsid w:val="006C1227"/>
    <w:rsid w:val="006C12B6"/>
    <w:rsid w:val="006C137C"/>
    <w:rsid w:val="006C1412"/>
    <w:rsid w:val="006C14BD"/>
    <w:rsid w:val="006C14DD"/>
    <w:rsid w:val="006C1582"/>
    <w:rsid w:val="006C177D"/>
    <w:rsid w:val="006C1A07"/>
    <w:rsid w:val="006C1FDA"/>
    <w:rsid w:val="006C1FDD"/>
    <w:rsid w:val="006C247C"/>
    <w:rsid w:val="006C2599"/>
    <w:rsid w:val="006C25C3"/>
    <w:rsid w:val="006C2D56"/>
    <w:rsid w:val="006C2E2C"/>
    <w:rsid w:val="006C33DB"/>
    <w:rsid w:val="006C3583"/>
    <w:rsid w:val="006C360B"/>
    <w:rsid w:val="006C393A"/>
    <w:rsid w:val="006C3BD7"/>
    <w:rsid w:val="006C437E"/>
    <w:rsid w:val="006C4761"/>
    <w:rsid w:val="006C4B18"/>
    <w:rsid w:val="006C4C17"/>
    <w:rsid w:val="006C510E"/>
    <w:rsid w:val="006C51D5"/>
    <w:rsid w:val="006C5571"/>
    <w:rsid w:val="006C5904"/>
    <w:rsid w:val="006C5B9B"/>
    <w:rsid w:val="006C5CC4"/>
    <w:rsid w:val="006C6454"/>
    <w:rsid w:val="006C685E"/>
    <w:rsid w:val="006C68DD"/>
    <w:rsid w:val="006C6904"/>
    <w:rsid w:val="006C697F"/>
    <w:rsid w:val="006C6B15"/>
    <w:rsid w:val="006C6B2D"/>
    <w:rsid w:val="006C6EC7"/>
    <w:rsid w:val="006C72DD"/>
    <w:rsid w:val="006C73D3"/>
    <w:rsid w:val="006C7507"/>
    <w:rsid w:val="006C76B0"/>
    <w:rsid w:val="006C7771"/>
    <w:rsid w:val="006C791E"/>
    <w:rsid w:val="006C7BE5"/>
    <w:rsid w:val="006C7D05"/>
    <w:rsid w:val="006C7E16"/>
    <w:rsid w:val="006C7E6C"/>
    <w:rsid w:val="006C7F94"/>
    <w:rsid w:val="006D0BDE"/>
    <w:rsid w:val="006D0CE4"/>
    <w:rsid w:val="006D0CF1"/>
    <w:rsid w:val="006D0F26"/>
    <w:rsid w:val="006D0F7A"/>
    <w:rsid w:val="006D11BC"/>
    <w:rsid w:val="006D1594"/>
    <w:rsid w:val="006D15FC"/>
    <w:rsid w:val="006D1B21"/>
    <w:rsid w:val="006D1BF5"/>
    <w:rsid w:val="006D1D78"/>
    <w:rsid w:val="006D20D6"/>
    <w:rsid w:val="006D245A"/>
    <w:rsid w:val="006D25E9"/>
    <w:rsid w:val="006D2624"/>
    <w:rsid w:val="006D276D"/>
    <w:rsid w:val="006D2795"/>
    <w:rsid w:val="006D280A"/>
    <w:rsid w:val="006D289D"/>
    <w:rsid w:val="006D2956"/>
    <w:rsid w:val="006D2984"/>
    <w:rsid w:val="006D29C4"/>
    <w:rsid w:val="006D2D35"/>
    <w:rsid w:val="006D3C67"/>
    <w:rsid w:val="006D3E32"/>
    <w:rsid w:val="006D4A20"/>
    <w:rsid w:val="006D4B11"/>
    <w:rsid w:val="006D4CB2"/>
    <w:rsid w:val="006D4CF0"/>
    <w:rsid w:val="006D4D97"/>
    <w:rsid w:val="006D4DFF"/>
    <w:rsid w:val="006D50AC"/>
    <w:rsid w:val="006D550F"/>
    <w:rsid w:val="006D5568"/>
    <w:rsid w:val="006D5571"/>
    <w:rsid w:val="006D572D"/>
    <w:rsid w:val="006D59AD"/>
    <w:rsid w:val="006D5B6A"/>
    <w:rsid w:val="006D5EDF"/>
    <w:rsid w:val="006D6280"/>
    <w:rsid w:val="006D62B8"/>
    <w:rsid w:val="006D6525"/>
    <w:rsid w:val="006D67F7"/>
    <w:rsid w:val="006D722D"/>
    <w:rsid w:val="006D73F2"/>
    <w:rsid w:val="006D759E"/>
    <w:rsid w:val="006D75DB"/>
    <w:rsid w:val="006D76E6"/>
    <w:rsid w:val="006D7819"/>
    <w:rsid w:val="006E00CA"/>
    <w:rsid w:val="006E022E"/>
    <w:rsid w:val="006E05E3"/>
    <w:rsid w:val="006E097F"/>
    <w:rsid w:val="006E0B1F"/>
    <w:rsid w:val="006E0DEA"/>
    <w:rsid w:val="006E0F8D"/>
    <w:rsid w:val="006E1120"/>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627"/>
    <w:rsid w:val="006E47E7"/>
    <w:rsid w:val="006E4980"/>
    <w:rsid w:val="006E4EC9"/>
    <w:rsid w:val="006E50B3"/>
    <w:rsid w:val="006E55DF"/>
    <w:rsid w:val="006E5BC8"/>
    <w:rsid w:val="006E5CE9"/>
    <w:rsid w:val="006E5DF8"/>
    <w:rsid w:val="006E5E74"/>
    <w:rsid w:val="006E5F77"/>
    <w:rsid w:val="006E659F"/>
    <w:rsid w:val="006E6BCB"/>
    <w:rsid w:val="006E6CDD"/>
    <w:rsid w:val="006E7211"/>
    <w:rsid w:val="006E7383"/>
    <w:rsid w:val="006E74F5"/>
    <w:rsid w:val="006E758C"/>
    <w:rsid w:val="006E769B"/>
    <w:rsid w:val="006E77B9"/>
    <w:rsid w:val="006E79C1"/>
    <w:rsid w:val="006E79CE"/>
    <w:rsid w:val="006F01B1"/>
    <w:rsid w:val="006F03A0"/>
    <w:rsid w:val="006F0510"/>
    <w:rsid w:val="006F068B"/>
    <w:rsid w:val="006F0AF2"/>
    <w:rsid w:val="006F0D83"/>
    <w:rsid w:val="006F0F39"/>
    <w:rsid w:val="006F0F5C"/>
    <w:rsid w:val="006F0F97"/>
    <w:rsid w:val="006F0F9E"/>
    <w:rsid w:val="006F15FC"/>
    <w:rsid w:val="006F1B12"/>
    <w:rsid w:val="006F1D69"/>
    <w:rsid w:val="006F20F6"/>
    <w:rsid w:val="006F21F6"/>
    <w:rsid w:val="006F2283"/>
    <w:rsid w:val="006F22B9"/>
    <w:rsid w:val="006F2469"/>
    <w:rsid w:val="006F2643"/>
    <w:rsid w:val="006F26A9"/>
    <w:rsid w:val="006F2738"/>
    <w:rsid w:val="006F2B76"/>
    <w:rsid w:val="006F3100"/>
    <w:rsid w:val="006F325F"/>
    <w:rsid w:val="006F3367"/>
    <w:rsid w:val="006F3422"/>
    <w:rsid w:val="006F3593"/>
    <w:rsid w:val="006F383D"/>
    <w:rsid w:val="006F391B"/>
    <w:rsid w:val="006F3CE8"/>
    <w:rsid w:val="006F3FEA"/>
    <w:rsid w:val="006F41AF"/>
    <w:rsid w:val="006F42DC"/>
    <w:rsid w:val="006F4714"/>
    <w:rsid w:val="006F4B59"/>
    <w:rsid w:val="006F4DED"/>
    <w:rsid w:val="006F5356"/>
    <w:rsid w:val="006F577D"/>
    <w:rsid w:val="006F585E"/>
    <w:rsid w:val="006F6198"/>
    <w:rsid w:val="006F7B86"/>
    <w:rsid w:val="006F7CD7"/>
    <w:rsid w:val="007000E1"/>
    <w:rsid w:val="00700326"/>
    <w:rsid w:val="0070074B"/>
    <w:rsid w:val="0070088A"/>
    <w:rsid w:val="00700911"/>
    <w:rsid w:val="00700D8E"/>
    <w:rsid w:val="00700F26"/>
    <w:rsid w:val="00700F9A"/>
    <w:rsid w:val="007011C5"/>
    <w:rsid w:val="00701693"/>
    <w:rsid w:val="00701A32"/>
    <w:rsid w:val="00701C0D"/>
    <w:rsid w:val="00701C2C"/>
    <w:rsid w:val="00701D25"/>
    <w:rsid w:val="00701ED8"/>
    <w:rsid w:val="00701EFE"/>
    <w:rsid w:val="0070227C"/>
    <w:rsid w:val="007026DE"/>
    <w:rsid w:val="007027E3"/>
    <w:rsid w:val="007027E9"/>
    <w:rsid w:val="0070287F"/>
    <w:rsid w:val="00702C9F"/>
    <w:rsid w:val="00702EB4"/>
    <w:rsid w:val="00702FD5"/>
    <w:rsid w:val="007032CA"/>
    <w:rsid w:val="007035DC"/>
    <w:rsid w:val="0070370A"/>
    <w:rsid w:val="007038F8"/>
    <w:rsid w:val="00703BAB"/>
    <w:rsid w:val="00703D6E"/>
    <w:rsid w:val="00704124"/>
    <w:rsid w:val="00704AB3"/>
    <w:rsid w:val="00704CB5"/>
    <w:rsid w:val="00704EFA"/>
    <w:rsid w:val="00704F37"/>
    <w:rsid w:val="0070516C"/>
    <w:rsid w:val="00705C08"/>
    <w:rsid w:val="00706419"/>
    <w:rsid w:val="00706638"/>
    <w:rsid w:val="00706915"/>
    <w:rsid w:val="007074BF"/>
    <w:rsid w:val="007100C5"/>
    <w:rsid w:val="00710166"/>
    <w:rsid w:val="0071024B"/>
    <w:rsid w:val="007104B1"/>
    <w:rsid w:val="007108F4"/>
    <w:rsid w:val="007109A3"/>
    <w:rsid w:val="00710E4A"/>
    <w:rsid w:val="00710F38"/>
    <w:rsid w:val="00711410"/>
    <w:rsid w:val="007116C1"/>
    <w:rsid w:val="007117A0"/>
    <w:rsid w:val="00711C6C"/>
    <w:rsid w:val="00711D4E"/>
    <w:rsid w:val="00711F0F"/>
    <w:rsid w:val="007125A4"/>
    <w:rsid w:val="007125E4"/>
    <w:rsid w:val="00712889"/>
    <w:rsid w:val="007128DE"/>
    <w:rsid w:val="0071290D"/>
    <w:rsid w:val="00712B40"/>
    <w:rsid w:val="00712B9E"/>
    <w:rsid w:val="007135ED"/>
    <w:rsid w:val="00713E18"/>
    <w:rsid w:val="00714093"/>
    <w:rsid w:val="007143E3"/>
    <w:rsid w:val="00714478"/>
    <w:rsid w:val="00714593"/>
    <w:rsid w:val="00714598"/>
    <w:rsid w:val="00715076"/>
    <w:rsid w:val="00715326"/>
    <w:rsid w:val="0071538F"/>
    <w:rsid w:val="007153BB"/>
    <w:rsid w:val="00715799"/>
    <w:rsid w:val="00715968"/>
    <w:rsid w:val="00715B99"/>
    <w:rsid w:val="00715D74"/>
    <w:rsid w:val="0071711A"/>
    <w:rsid w:val="00717513"/>
    <w:rsid w:val="00717758"/>
    <w:rsid w:val="007177F0"/>
    <w:rsid w:val="0071791A"/>
    <w:rsid w:val="00717F14"/>
    <w:rsid w:val="00720008"/>
    <w:rsid w:val="0072024F"/>
    <w:rsid w:val="0072034F"/>
    <w:rsid w:val="0072054F"/>
    <w:rsid w:val="0072093A"/>
    <w:rsid w:val="00720D17"/>
    <w:rsid w:val="00720E54"/>
    <w:rsid w:val="00721099"/>
    <w:rsid w:val="00721626"/>
    <w:rsid w:val="00721773"/>
    <w:rsid w:val="0072177B"/>
    <w:rsid w:val="0072184F"/>
    <w:rsid w:val="00721925"/>
    <w:rsid w:val="00721B5F"/>
    <w:rsid w:val="00721C88"/>
    <w:rsid w:val="00721FED"/>
    <w:rsid w:val="00722237"/>
    <w:rsid w:val="00722543"/>
    <w:rsid w:val="00722905"/>
    <w:rsid w:val="00722915"/>
    <w:rsid w:val="00722EB4"/>
    <w:rsid w:val="00722EBA"/>
    <w:rsid w:val="00723147"/>
    <w:rsid w:val="00723170"/>
    <w:rsid w:val="00723504"/>
    <w:rsid w:val="00723A5D"/>
    <w:rsid w:val="00723B70"/>
    <w:rsid w:val="007244BA"/>
    <w:rsid w:val="007249BB"/>
    <w:rsid w:val="00724E53"/>
    <w:rsid w:val="00724E74"/>
    <w:rsid w:val="00724ED8"/>
    <w:rsid w:val="00725097"/>
    <w:rsid w:val="0072535D"/>
    <w:rsid w:val="00725585"/>
    <w:rsid w:val="00725689"/>
    <w:rsid w:val="00725783"/>
    <w:rsid w:val="007259EF"/>
    <w:rsid w:val="0072601C"/>
    <w:rsid w:val="00726119"/>
    <w:rsid w:val="0072625B"/>
    <w:rsid w:val="0072652D"/>
    <w:rsid w:val="00726603"/>
    <w:rsid w:val="00726DC8"/>
    <w:rsid w:val="00726F58"/>
    <w:rsid w:val="00726FB6"/>
    <w:rsid w:val="007270F8"/>
    <w:rsid w:val="0072748A"/>
    <w:rsid w:val="007276FE"/>
    <w:rsid w:val="007277BA"/>
    <w:rsid w:val="0073012E"/>
    <w:rsid w:val="00730518"/>
    <w:rsid w:val="007306CA"/>
    <w:rsid w:val="00730817"/>
    <w:rsid w:val="00730BA6"/>
    <w:rsid w:val="00730E21"/>
    <w:rsid w:val="00730F79"/>
    <w:rsid w:val="00730FED"/>
    <w:rsid w:val="00730FFE"/>
    <w:rsid w:val="007310B9"/>
    <w:rsid w:val="007312E9"/>
    <w:rsid w:val="00731650"/>
    <w:rsid w:val="0073167D"/>
    <w:rsid w:val="00731EC8"/>
    <w:rsid w:val="00732055"/>
    <w:rsid w:val="0073232E"/>
    <w:rsid w:val="007325BF"/>
    <w:rsid w:val="007326C6"/>
    <w:rsid w:val="00732857"/>
    <w:rsid w:val="00732BD7"/>
    <w:rsid w:val="007335BD"/>
    <w:rsid w:val="007335E0"/>
    <w:rsid w:val="00733611"/>
    <w:rsid w:val="00733709"/>
    <w:rsid w:val="007337F7"/>
    <w:rsid w:val="0073399D"/>
    <w:rsid w:val="00733AD0"/>
    <w:rsid w:val="00733DFE"/>
    <w:rsid w:val="00733F2C"/>
    <w:rsid w:val="00734119"/>
    <w:rsid w:val="0073444E"/>
    <w:rsid w:val="00734496"/>
    <w:rsid w:val="007344C9"/>
    <w:rsid w:val="0073497F"/>
    <w:rsid w:val="00734A05"/>
    <w:rsid w:val="00734EEB"/>
    <w:rsid w:val="00734EF2"/>
    <w:rsid w:val="00734FA4"/>
    <w:rsid w:val="00735132"/>
    <w:rsid w:val="0073554E"/>
    <w:rsid w:val="00735698"/>
    <w:rsid w:val="00735786"/>
    <w:rsid w:val="007357AB"/>
    <w:rsid w:val="00735BF8"/>
    <w:rsid w:val="00735EAA"/>
    <w:rsid w:val="0073610B"/>
    <w:rsid w:val="0073629F"/>
    <w:rsid w:val="00736944"/>
    <w:rsid w:val="00736974"/>
    <w:rsid w:val="00736A63"/>
    <w:rsid w:val="00736D76"/>
    <w:rsid w:val="00737085"/>
    <w:rsid w:val="00737587"/>
    <w:rsid w:val="00737AB0"/>
    <w:rsid w:val="0074025C"/>
    <w:rsid w:val="007406E8"/>
    <w:rsid w:val="00740905"/>
    <w:rsid w:val="00740D08"/>
    <w:rsid w:val="00740FE1"/>
    <w:rsid w:val="0074132B"/>
    <w:rsid w:val="0074155B"/>
    <w:rsid w:val="00741B67"/>
    <w:rsid w:val="00741B84"/>
    <w:rsid w:val="00741CA7"/>
    <w:rsid w:val="007421B8"/>
    <w:rsid w:val="00742419"/>
    <w:rsid w:val="007425A2"/>
    <w:rsid w:val="007427BF"/>
    <w:rsid w:val="00742CE6"/>
    <w:rsid w:val="0074314D"/>
    <w:rsid w:val="00743AE4"/>
    <w:rsid w:val="00743D6F"/>
    <w:rsid w:val="007443B6"/>
    <w:rsid w:val="00744867"/>
    <w:rsid w:val="0074495E"/>
    <w:rsid w:val="007449A5"/>
    <w:rsid w:val="00744A17"/>
    <w:rsid w:val="00744B5A"/>
    <w:rsid w:val="00744B9F"/>
    <w:rsid w:val="00744C0B"/>
    <w:rsid w:val="00744E23"/>
    <w:rsid w:val="00744F08"/>
    <w:rsid w:val="00745192"/>
    <w:rsid w:val="00745421"/>
    <w:rsid w:val="00745502"/>
    <w:rsid w:val="00745861"/>
    <w:rsid w:val="0074599F"/>
    <w:rsid w:val="00745D1D"/>
    <w:rsid w:val="00745D65"/>
    <w:rsid w:val="00745F15"/>
    <w:rsid w:val="00745F1D"/>
    <w:rsid w:val="00745F61"/>
    <w:rsid w:val="00745FC7"/>
    <w:rsid w:val="00746185"/>
    <w:rsid w:val="00746482"/>
    <w:rsid w:val="0074655C"/>
    <w:rsid w:val="00746634"/>
    <w:rsid w:val="007469AA"/>
    <w:rsid w:val="00746A18"/>
    <w:rsid w:val="00746D57"/>
    <w:rsid w:val="00746DCD"/>
    <w:rsid w:val="00747053"/>
    <w:rsid w:val="00747106"/>
    <w:rsid w:val="0074733C"/>
    <w:rsid w:val="00747F08"/>
    <w:rsid w:val="00747F28"/>
    <w:rsid w:val="00747F8A"/>
    <w:rsid w:val="00747FB9"/>
    <w:rsid w:val="007507AB"/>
    <w:rsid w:val="007507C6"/>
    <w:rsid w:val="00750DBD"/>
    <w:rsid w:val="00751024"/>
    <w:rsid w:val="007512CE"/>
    <w:rsid w:val="007518C3"/>
    <w:rsid w:val="00751D79"/>
    <w:rsid w:val="00751F5F"/>
    <w:rsid w:val="00751FE8"/>
    <w:rsid w:val="0075227B"/>
    <w:rsid w:val="007527D2"/>
    <w:rsid w:val="00752AC2"/>
    <w:rsid w:val="00752B9E"/>
    <w:rsid w:val="0075321D"/>
    <w:rsid w:val="007537DB"/>
    <w:rsid w:val="00753FA6"/>
    <w:rsid w:val="007541E6"/>
    <w:rsid w:val="00754472"/>
    <w:rsid w:val="0075457F"/>
    <w:rsid w:val="007547DE"/>
    <w:rsid w:val="00754C17"/>
    <w:rsid w:val="007554E8"/>
    <w:rsid w:val="00755890"/>
    <w:rsid w:val="007559F3"/>
    <w:rsid w:val="00755B76"/>
    <w:rsid w:val="007561C8"/>
    <w:rsid w:val="007563C9"/>
    <w:rsid w:val="0075662D"/>
    <w:rsid w:val="00756BA2"/>
    <w:rsid w:val="00756C45"/>
    <w:rsid w:val="00757166"/>
    <w:rsid w:val="0075754F"/>
    <w:rsid w:val="007578FE"/>
    <w:rsid w:val="00757A7C"/>
    <w:rsid w:val="00757B85"/>
    <w:rsid w:val="00757CA5"/>
    <w:rsid w:val="00757E63"/>
    <w:rsid w:val="0076068E"/>
    <w:rsid w:val="0076072A"/>
    <w:rsid w:val="007608C3"/>
    <w:rsid w:val="00760FD0"/>
    <w:rsid w:val="00761A2B"/>
    <w:rsid w:val="00761B11"/>
    <w:rsid w:val="00761B1E"/>
    <w:rsid w:val="00761DB5"/>
    <w:rsid w:val="007623EB"/>
    <w:rsid w:val="007624A3"/>
    <w:rsid w:val="0076252F"/>
    <w:rsid w:val="0076258B"/>
    <w:rsid w:val="00762B22"/>
    <w:rsid w:val="00762CE9"/>
    <w:rsid w:val="00762E2C"/>
    <w:rsid w:val="00762F17"/>
    <w:rsid w:val="0076358D"/>
    <w:rsid w:val="00763A71"/>
    <w:rsid w:val="00763B5C"/>
    <w:rsid w:val="00763D02"/>
    <w:rsid w:val="007642C0"/>
    <w:rsid w:val="007653C6"/>
    <w:rsid w:val="007656A8"/>
    <w:rsid w:val="00765759"/>
    <w:rsid w:val="00765F75"/>
    <w:rsid w:val="00766215"/>
    <w:rsid w:val="007662B2"/>
    <w:rsid w:val="00766758"/>
    <w:rsid w:val="007667A1"/>
    <w:rsid w:val="007669E0"/>
    <w:rsid w:val="00766DB0"/>
    <w:rsid w:val="00766F78"/>
    <w:rsid w:val="00767B0F"/>
    <w:rsid w:val="00767CEB"/>
    <w:rsid w:val="00767D45"/>
    <w:rsid w:val="00767E82"/>
    <w:rsid w:val="007709DA"/>
    <w:rsid w:val="00770B47"/>
    <w:rsid w:val="00770C53"/>
    <w:rsid w:val="00770D51"/>
    <w:rsid w:val="00770E20"/>
    <w:rsid w:val="00771135"/>
    <w:rsid w:val="0077131C"/>
    <w:rsid w:val="0077131F"/>
    <w:rsid w:val="007713EE"/>
    <w:rsid w:val="007719CD"/>
    <w:rsid w:val="00771DB2"/>
    <w:rsid w:val="00772032"/>
    <w:rsid w:val="0077208A"/>
    <w:rsid w:val="007722A8"/>
    <w:rsid w:val="007723E9"/>
    <w:rsid w:val="00772654"/>
    <w:rsid w:val="00772D23"/>
    <w:rsid w:val="00772FEB"/>
    <w:rsid w:val="0077344F"/>
    <w:rsid w:val="00773788"/>
    <w:rsid w:val="00773C2C"/>
    <w:rsid w:val="00773E60"/>
    <w:rsid w:val="00773EC0"/>
    <w:rsid w:val="00773ECF"/>
    <w:rsid w:val="007740C8"/>
    <w:rsid w:val="00774441"/>
    <w:rsid w:val="007746BC"/>
    <w:rsid w:val="00774B23"/>
    <w:rsid w:val="00774BE1"/>
    <w:rsid w:val="00774F10"/>
    <w:rsid w:val="00774F44"/>
    <w:rsid w:val="007752A9"/>
    <w:rsid w:val="007753EF"/>
    <w:rsid w:val="00775411"/>
    <w:rsid w:val="007754A4"/>
    <w:rsid w:val="0077573C"/>
    <w:rsid w:val="00775746"/>
    <w:rsid w:val="007758E2"/>
    <w:rsid w:val="00775995"/>
    <w:rsid w:val="00775AAC"/>
    <w:rsid w:val="00775B76"/>
    <w:rsid w:val="00775BB7"/>
    <w:rsid w:val="00775DDC"/>
    <w:rsid w:val="00775F9F"/>
    <w:rsid w:val="00775FAE"/>
    <w:rsid w:val="00776211"/>
    <w:rsid w:val="00776590"/>
    <w:rsid w:val="0077677F"/>
    <w:rsid w:val="007769BC"/>
    <w:rsid w:val="00776A77"/>
    <w:rsid w:val="00776DF4"/>
    <w:rsid w:val="00776EE9"/>
    <w:rsid w:val="007778C5"/>
    <w:rsid w:val="00780091"/>
    <w:rsid w:val="007800A3"/>
    <w:rsid w:val="007800A6"/>
    <w:rsid w:val="007804F8"/>
    <w:rsid w:val="00780B90"/>
    <w:rsid w:val="0078103E"/>
    <w:rsid w:val="00781126"/>
    <w:rsid w:val="007811CE"/>
    <w:rsid w:val="007816C2"/>
    <w:rsid w:val="00781BDB"/>
    <w:rsid w:val="00781C30"/>
    <w:rsid w:val="007825C0"/>
    <w:rsid w:val="00783026"/>
    <w:rsid w:val="007830EB"/>
    <w:rsid w:val="007835AF"/>
    <w:rsid w:val="007836FD"/>
    <w:rsid w:val="00783725"/>
    <w:rsid w:val="007837C5"/>
    <w:rsid w:val="0078384C"/>
    <w:rsid w:val="00783D36"/>
    <w:rsid w:val="007846A1"/>
    <w:rsid w:val="007849FE"/>
    <w:rsid w:val="00784B31"/>
    <w:rsid w:val="00785009"/>
    <w:rsid w:val="007850BB"/>
    <w:rsid w:val="007850CC"/>
    <w:rsid w:val="007852F7"/>
    <w:rsid w:val="0078589E"/>
    <w:rsid w:val="0078594D"/>
    <w:rsid w:val="00785B98"/>
    <w:rsid w:val="0078602F"/>
    <w:rsid w:val="00786288"/>
    <w:rsid w:val="007863E4"/>
    <w:rsid w:val="007867C4"/>
    <w:rsid w:val="0078697E"/>
    <w:rsid w:val="00786A90"/>
    <w:rsid w:val="00786FC1"/>
    <w:rsid w:val="00787772"/>
    <w:rsid w:val="0078797B"/>
    <w:rsid w:val="00787A27"/>
    <w:rsid w:val="00787C7C"/>
    <w:rsid w:val="007905AE"/>
    <w:rsid w:val="007907AE"/>
    <w:rsid w:val="00790966"/>
    <w:rsid w:val="007909A2"/>
    <w:rsid w:val="00790F7F"/>
    <w:rsid w:val="00791055"/>
    <w:rsid w:val="00791068"/>
    <w:rsid w:val="00791369"/>
    <w:rsid w:val="00791663"/>
    <w:rsid w:val="007919DF"/>
    <w:rsid w:val="00791ADB"/>
    <w:rsid w:val="00791C11"/>
    <w:rsid w:val="007921AC"/>
    <w:rsid w:val="007922FF"/>
    <w:rsid w:val="0079231E"/>
    <w:rsid w:val="007924C4"/>
    <w:rsid w:val="00792A77"/>
    <w:rsid w:val="00792C19"/>
    <w:rsid w:val="00792D43"/>
    <w:rsid w:val="007930C3"/>
    <w:rsid w:val="0079333E"/>
    <w:rsid w:val="00793574"/>
    <w:rsid w:val="00793888"/>
    <w:rsid w:val="00793942"/>
    <w:rsid w:val="007939AE"/>
    <w:rsid w:val="00793A5A"/>
    <w:rsid w:val="00793C6B"/>
    <w:rsid w:val="00794A2E"/>
    <w:rsid w:val="00794A9E"/>
    <w:rsid w:val="00794AA0"/>
    <w:rsid w:val="00794EA4"/>
    <w:rsid w:val="00794FC8"/>
    <w:rsid w:val="007950E3"/>
    <w:rsid w:val="0079527C"/>
    <w:rsid w:val="0079545D"/>
    <w:rsid w:val="007954C1"/>
    <w:rsid w:val="00795694"/>
    <w:rsid w:val="0079574A"/>
    <w:rsid w:val="00795A6B"/>
    <w:rsid w:val="00795CC9"/>
    <w:rsid w:val="0079658D"/>
    <w:rsid w:val="007969A7"/>
    <w:rsid w:val="00796AA4"/>
    <w:rsid w:val="00796DBE"/>
    <w:rsid w:val="00797039"/>
    <w:rsid w:val="00797123"/>
    <w:rsid w:val="00797135"/>
    <w:rsid w:val="0079788A"/>
    <w:rsid w:val="00797AC0"/>
    <w:rsid w:val="00797BD3"/>
    <w:rsid w:val="00797F24"/>
    <w:rsid w:val="007A01DE"/>
    <w:rsid w:val="007A0724"/>
    <w:rsid w:val="007A0A3B"/>
    <w:rsid w:val="007A13F1"/>
    <w:rsid w:val="007A1425"/>
    <w:rsid w:val="007A143E"/>
    <w:rsid w:val="007A1619"/>
    <w:rsid w:val="007A178B"/>
    <w:rsid w:val="007A195B"/>
    <w:rsid w:val="007A1B4C"/>
    <w:rsid w:val="007A1D8A"/>
    <w:rsid w:val="007A252D"/>
    <w:rsid w:val="007A2778"/>
    <w:rsid w:val="007A2A31"/>
    <w:rsid w:val="007A2DB8"/>
    <w:rsid w:val="007A2E9B"/>
    <w:rsid w:val="007A33A7"/>
    <w:rsid w:val="007A3837"/>
    <w:rsid w:val="007A3C19"/>
    <w:rsid w:val="007A3D23"/>
    <w:rsid w:val="007A3E3E"/>
    <w:rsid w:val="007A41A6"/>
    <w:rsid w:val="007A4554"/>
    <w:rsid w:val="007A45EF"/>
    <w:rsid w:val="007A479B"/>
    <w:rsid w:val="007A47E6"/>
    <w:rsid w:val="007A4896"/>
    <w:rsid w:val="007A4B97"/>
    <w:rsid w:val="007A4EA3"/>
    <w:rsid w:val="007A53E0"/>
    <w:rsid w:val="007A5484"/>
    <w:rsid w:val="007A5807"/>
    <w:rsid w:val="007A5B0A"/>
    <w:rsid w:val="007A5C98"/>
    <w:rsid w:val="007A5CA4"/>
    <w:rsid w:val="007A5E38"/>
    <w:rsid w:val="007A6005"/>
    <w:rsid w:val="007A6050"/>
    <w:rsid w:val="007A618F"/>
    <w:rsid w:val="007A63BE"/>
    <w:rsid w:val="007A6434"/>
    <w:rsid w:val="007A6555"/>
    <w:rsid w:val="007A688C"/>
    <w:rsid w:val="007A69BF"/>
    <w:rsid w:val="007A6F07"/>
    <w:rsid w:val="007A715D"/>
    <w:rsid w:val="007A721A"/>
    <w:rsid w:val="007A7446"/>
    <w:rsid w:val="007A7525"/>
    <w:rsid w:val="007A7962"/>
    <w:rsid w:val="007A7E49"/>
    <w:rsid w:val="007A7E56"/>
    <w:rsid w:val="007A7E9B"/>
    <w:rsid w:val="007B020E"/>
    <w:rsid w:val="007B02DA"/>
    <w:rsid w:val="007B03F4"/>
    <w:rsid w:val="007B07AE"/>
    <w:rsid w:val="007B0869"/>
    <w:rsid w:val="007B0CF4"/>
    <w:rsid w:val="007B0E65"/>
    <w:rsid w:val="007B0ECB"/>
    <w:rsid w:val="007B0EDF"/>
    <w:rsid w:val="007B103F"/>
    <w:rsid w:val="007B11D4"/>
    <w:rsid w:val="007B1478"/>
    <w:rsid w:val="007B1DF4"/>
    <w:rsid w:val="007B1F6F"/>
    <w:rsid w:val="007B2337"/>
    <w:rsid w:val="007B252C"/>
    <w:rsid w:val="007B2D9F"/>
    <w:rsid w:val="007B2F75"/>
    <w:rsid w:val="007B3083"/>
    <w:rsid w:val="007B3489"/>
    <w:rsid w:val="007B39F5"/>
    <w:rsid w:val="007B3A96"/>
    <w:rsid w:val="007B3AC3"/>
    <w:rsid w:val="007B3F6C"/>
    <w:rsid w:val="007B4642"/>
    <w:rsid w:val="007B4685"/>
    <w:rsid w:val="007B468B"/>
    <w:rsid w:val="007B48AA"/>
    <w:rsid w:val="007B48AC"/>
    <w:rsid w:val="007B4F6F"/>
    <w:rsid w:val="007B4FFA"/>
    <w:rsid w:val="007B5201"/>
    <w:rsid w:val="007B54D2"/>
    <w:rsid w:val="007B55D6"/>
    <w:rsid w:val="007B58BF"/>
    <w:rsid w:val="007B5A6D"/>
    <w:rsid w:val="007B5BBD"/>
    <w:rsid w:val="007B6092"/>
    <w:rsid w:val="007B621C"/>
    <w:rsid w:val="007B6600"/>
    <w:rsid w:val="007B66DA"/>
    <w:rsid w:val="007B6949"/>
    <w:rsid w:val="007B6987"/>
    <w:rsid w:val="007B6B28"/>
    <w:rsid w:val="007B6B93"/>
    <w:rsid w:val="007B6F05"/>
    <w:rsid w:val="007B70F5"/>
    <w:rsid w:val="007B71A6"/>
    <w:rsid w:val="007B71C7"/>
    <w:rsid w:val="007B7398"/>
    <w:rsid w:val="007B772F"/>
    <w:rsid w:val="007B7960"/>
    <w:rsid w:val="007B7963"/>
    <w:rsid w:val="007B7A8B"/>
    <w:rsid w:val="007B7D17"/>
    <w:rsid w:val="007B7EA1"/>
    <w:rsid w:val="007C0076"/>
    <w:rsid w:val="007C0182"/>
    <w:rsid w:val="007C0463"/>
    <w:rsid w:val="007C0C59"/>
    <w:rsid w:val="007C0DF2"/>
    <w:rsid w:val="007C1043"/>
    <w:rsid w:val="007C10E0"/>
    <w:rsid w:val="007C11E9"/>
    <w:rsid w:val="007C1293"/>
    <w:rsid w:val="007C12B1"/>
    <w:rsid w:val="007C1484"/>
    <w:rsid w:val="007C1529"/>
    <w:rsid w:val="007C1808"/>
    <w:rsid w:val="007C1848"/>
    <w:rsid w:val="007C1E6F"/>
    <w:rsid w:val="007C2157"/>
    <w:rsid w:val="007C236A"/>
    <w:rsid w:val="007C2429"/>
    <w:rsid w:val="007C2609"/>
    <w:rsid w:val="007C282B"/>
    <w:rsid w:val="007C28A6"/>
    <w:rsid w:val="007C28B1"/>
    <w:rsid w:val="007C32CF"/>
    <w:rsid w:val="007C32D4"/>
    <w:rsid w:val="007C334A"/>
    <w:rsid w:val="007C34C8"/>
    <w:rsid w:val="007C35E6"/>
    <w:rsid w:val="007C35EA"/>
    <w:rsid w:val="007C3CB6"/>
    <w:rsid w:val="007C3DFC"/>
    <w:rsid w:val="007C4317"/>
    <w:rsid w:val="007C4484"/>
    <w:rsid w:val="007C46C7"/>
    <w:rsid w:val="007C47CB"/>
    <w:rsid w:val="007C483E"/>
    <w:rsid w:val="007C4CBC"/>
    <w:rsid w:val="007C55B9"/>
    <w:rsid w:val="007C58AF"/>
    <w:rsid w:val="007C5D70"/>
    <w:rsid w:val="007C5F8D"/>
    <w:rsid w:val="007C5FC3"/>
    <w:rsid w:val="007C634C"/>
    <w:rsid w:val="007C6470"/>
    <w:rsid w:val="007C651F"/>
    <w:rsid w:val="007C6543"/>
    <w:rsid w:val="007C69AE"/>
    <w:rsid w:val="007C6A73"/>
    <w:rsid w:val="007C7309"/>
    <w:rsid w:val="007C73EA"/>
    <w:rsid w:val="007C794C"/>
    <w:rsid w:val="007C7D10"/>
    <w:rsid w:val="007C7FC9"/>
    <w:rsid w:val="007C7FCC"/>
    <w:rsid w:val="007D0723"/>
    <w:rsid w:val="007D076E"/>
    <w:rsid w:val="007D085F"/>
    <w:rsid w:val="007D09E0"/>
    <w:rsid w:val="007D12C0"/>
    <w:rsid w:val="007D12C7"/>
    <w:rsid w:val="007D13F7"/>
    <w:rsid w:val="007D165C"/>
    <w:rsid w:val="007D17B8"/>
    <w:rsid w:val="007D1917"/>
    <w:rsid w:val="007D198D"/>
    <w:rsid w:val="007D1AC5"/>
    <w:rsid w:val="007D1EAC"/>
    <w:rsid w:val="007D29E3"/>
    <w:rsid w:val="007D29F7"/>
    <w:rsid w:val="007D2ACF"/>
    <w:rsid w:val="007D34E0"/>
    <w:rsid w:val="007D388F"/>
    <w:rsid w:val="007D3A2E"/>
    <w:rsid w:val="007D3A4E"/>
    <w:rsid w:val="007D3AAB"/>
    <w:rsid w:val="007D40B5"/>
    <w:rsid w:val="007D4641"/>
    <w:rsid w:val="007D49CB"/>
    <w:rsid w:val="007D55B1"/>
    <w:rsid w:val="007D57CD"/>
    <w:rsid w:val="007D5844"/>
    <w:rsid w:val="007D597C"/>
    <w:rsid w:val="007D5B10"/>
    <w:rsid w:val="007D5D33"/>
    <w:rsid w:val="007D61CA"/>
    <w:rsid w:val="007D63C8"/>
    <w:rsid w:val="007D65A0"/>
    <w:rsid w:val="007D6726"/>
    <w:rsid w:val="007D68FD"/>
    <w:rsid w:val="007D6AEE"/>
    <w:rsid w:val="007D6FED"/>
    <w:rsid w:val="007D7110"/>
    <w:rsid w:val="007D733F"/>
    <w:rsid w:val="007D7343"/>
    <w:rsid w:val="007D74B7"/>
    <w:rsid w:val="007D7611"/>
    <w:rsid w:val="007D7A7C"/>
    <w:rsid w:val="007D7D82"/>
    <w:rsid w:val="007D7E2C"/>
    <w:rsid w:val="007E0002"/>
    <w:rsid w:val="007E013D"/>
    <w:rsid w:val="007E0233"/>
    <w:rsid w:val="007E08DF"/>
    <w:rsid w:val="007E0A55"/>
    <w:rsid w:val="007E0E82"/>
    <w:rsid w:val="007E124E"/>
    <w:rsid w:val="007E1703"/>
    <w:rsid w:val="007E176D"/>
    <w:rsid w:val="007E18DB"/>
    <w:rsid w:val="007E1A61"/>
    <w:rsid w:val="007E1F52"/>
    <w:rsid w:val="007E2500"/>
    <w:rsid w:val="007E27B8"/>
    <w:rsid w:val="007E2961"/>
    <w:rsid w:val="007E2A43"/>
    <w:rsid w:val="007E2CDD"/>
    <w:rsid w:val="007E31A2"/>
    <w:rsid w:val="007E353E"/>
    <w:rsid w:val="007E3688"/>
    <w:rsid w:val="007E3D1B"/>
    <w:rsid w:val="007E3DF7"/>
    <w:rsid w:val="007E3F5C"/>
    <w:rsid w:val="007E4433"/>
    <w:rsid w:val="007E4530"/>
    <w:rsid w:val="007E4653"/>
    <w:rsid w:val="007E480A"/>
    <w:rsid w:val="007E482F"/>
    <w:rsid w:val="007E4CB6"/>
    <w:rsid w:val="007E5082"/>
    <w:rsid w:val="007E5149"/>
    <w:rsid w:val="007E51A8"/>
    <w:rsid w:val="007E5332"/>
    <w:rsid w:val="007E53F0"/>
    <w:rsid w:val="007E554B"/>
    <w:rsid w:val="007E562A"/>
    <w:rsid w:val="007E58C5"/>
    <w:rsid w:val="007E5958"/>
    <w:rsid w:val="007E5A26"/>
    <w:rsid w:val="007E5D35"/>
    <w:rsid w:val="007E5DA7"/>
    <w:rsid w:val="007E5F51"/>
    <w:rsid w:val="007E63E8"/>
    <w:rsid w:val="007E6AD8"/>
    <w:rsid w:val="007E6BA9"/>
    <w:rsid w:val="007E729D"/>
    <w:rsid w:val="007E73F9"/>
    <w:rsid w:val="007E7C28"/>
    <w:rsid w:val="007E7C34"/>
    <w:rsid w:val="007E7D4F"/>
    <w:rsid w:val="007E7DEE"/>
    <w:rsid w:val="007F0108"/>
    <w:rsid w:val="007F02E5"/>
    <w:rsid w:val="007F0439"/>
    <w:rsid w:val="007F04ED"/>
    <w:rsid w:val="007F0769"/>
    <w:rsid w:val="007F0B5C"/>
    <w:rsid w:val="007F1042"/>
    <w:rsid w:val="007F11E4"/>
    <w:rsid w:val="007F144B"/>
    <w:rsid w:val="007F14F6"/>
    <w:rsid w:val="007F1A19"/>
    <w:rsid w:val="007F22BD"/>
    <w:rsid w:val="007F23C3"/>
    <w:rsid w:val="007F274F"/>
    <w:rsid w:val="007F27A9"/>
    <w:rsid w:val="007F2E47"/>
    <w:rsid w:val="007F2EAE"/>
    <w:rsid w:val="007F2FDA"/>
    <w:rsid w:val="007F3353"/>
    <w:rsid w:val="007F3412"/>
    <w:rsid w:val="007F3617"/>
    <w:rsid w:val="007F36F0"/>
    <w:rsid w:val="007F3847"/>
    <w:rsid w:val="007F3DD7"/>
    <w:rsid w:val="007F3E20"/>
    <w:rsid w:val="007F3E7B"/>
    <w:rsid w:val="007F47D9"/>
    <w:rsid w:val="007F4991"/>
    <w:rsid w:val="007F4ABA"/>
    <w:rsid w:val="007F4B43"/>
    <w:rsid w:val="007F4DE8"/>
    <w:rsid w:val="007F4ED5"/>
    <w:rsid w:val="007F5178"/>
    <w:rsid w:val="007F5575"/>
    <w:rsid w:val="007F590E"/>
    <w:rsid w:val="007F59E8"/>
    <w:rsid w:val="007F59E9"/>
    <w:rsid w:val="007F5E12"/>
    <w:rsid w:val="007F607E"/>
    <w:rsid w:val="007F62C7"/>
    <w:rsid w:val="007F630C"/>
    <w:rsid w:val="007F6397"/>
    <w:rsid w:val="007F63CC"/>
    <w:rsid w:val="007F66C0"/>
    <w:rsid w:val="007F685E"/>
    <w:rsid w:val="007F6926"/>
    <w:rsid w:val="007F6A16"/>
    <w:rsid w:val="007F6CAF"/>
    <w:rsid w:val="007F7532"/>
    <w:rsid w:val="007F76D8"/>
    <w:rsid w:val="007F7737"/>
    <w:rsid w:val="007F785F"/>
    <w:rsid w:val="007F7BB0"/>
    <w:rsid w:val="0080058E"/>
    <w:rsid w:val="00800D74"/>
    <w:rsid w:val="00800F88"/>
    <w:rsid w:val="008012B4"/>
    <w:rsid w:val="008014F8"/>
    <w:rsid w:val="00801798"/>
    <w:rsid w:val="0080184A"/>
    <w:rsid w:val="00801A66"/>
    <w:rsid w:val="00801D3E"/>
    <w:rsid w:val="00801DDC"/>
    <w:rsid w:val="00802314"/>
    <w:rsid w:val="008025D6"/>
    <w:rsid w:val="00802705"/>
    <w:rsid w:val="00802832"/>
    <w:rsid w:val="00802A9F"/>
    <w:rsid w:val="00802CA4"/>
    <w:rsid w:val="008030CA"/>
    <w:rsid w:val="008030D8"/>
    <w:rsid w:val="008031BA"/>
    <w:rsid w:val="00803278"/>
    <w:rsid w:val="00803317"/>
    <w:rsid w:val="0080347A"/>
    <w:rsid w:val="0080351E"/>
    <w:rsid w:val="0080370C"/>
    <w:rsid w:val="00803792"/>
    <w:rsid w:val="0080379F"/>
    <w:rsid w:val="00803AA5"/>
    <w:rsid w:val="00803BFA"/>
    <w:rsid w:val="00803C1E"/>
    <w:rsid w:val="00803E4D"/>
    <w:rsid w:val="00803E51"/>
    <w:rsid w:val="00803F66"/>
    <w:rsid w:val="00803FE1"/>
    <w:rsid w:val="00804091"/>
    <w:rsid w:val="00804092"/>
    <w:rsid w:val="00804242"/>
    <w:rsid w:val="00804441"/>
    <w:rsid w:val="0080457B"/>
    <w:rsid w:val="00804696"/>
    <w:rsid w:val="00804758"/>
    <w:rsid w:val="00804A51"/>
    <w:rsid w:val="00804C78"/>
    <w:rsid w:val="00804EC0"/>
    <w:rsid w:val="00804F7C"/>
    <w:rsid w:val="008052FA"/>
    <w:rsid w:val="008057CD"/>
    <w:rsid w:val="00805A3F"/>
    <w:rsid w:val="00805D34"/>
    <w:rsid w:val="00805F9F"/>
    <w:rsid w:val="00805FEE"/>
    <w:rsid w:val="00806438"/>
    <w:rsid w:val="008066CB"/>
    <w:rsid w:val="008069EA"/>
    <w:rsid w:val="00806D82"/>
    <w:rsid w:val="00806F50"/>
    <w:rsid w:val="00807166"/>
    <w:rsid w:val="008072EF"/>
    <w:rsid w:val="0080732E"/>
    <w:rsid w:val="00807414"/>
    <w:rsid w:val="008077F3"/>
    <w:rsid w:val="00807980"/>
    <w:rsid w:val="00810220"/>
    <w:rsid w:val="00810341"/>
    <w:rsid w:val="00810479"/>
    <w:rsid w:val="00810510"/>
    <w:rsid w:val="008105B5"/>
    <w:rsid w:val="0081062E"/>
    <w:rsid w:val="00810ACB"/>
    <w:rsid w:val="00811186"/>
    <w:rsid w:val="00811310"/>
    <w:rsid w:val="00811A5C"/>
    <w:rsid w:val="00811AD2"/>
    <w:rsid w:val="00811C9D"/>
    <w:rsid w:val="00811D74"/>
    <w:rsid w:val="0081209B"/>
    <w:rsid w:val="008121E3"/>
    <w:rsid w:val="008126BB"/>
    <w:rsid w:val="00812D9E"/>
    <w:rsid w:val="00812E80"/>
    <w:rsid w:val="00812E9C"/>
    <w:rsid w:val="00813713"/>
    <w:rsid w:val="0081372B"/>
    <w:rsid w:val="008137A8"/>
    <w:rsid w:val="00814124"/>
    <w:rsid w:val="008146A2"/>
    <w:rsid w:val="00814E53"/>
    <w:rsid w:val="00815058"/>
    <w:rsid w:val="00815271"/>
    <w:rsid w:val="008152E0"/>
    <w:rsid w:val="0081587D"/>
    <w:rsid w:val="00816152"/>
    <w:rsid w:val="00816212"/>
    <w:rsid w:val="008165C3"/>
    <w:rsid w:val="0081675F"/>
    <w:rsid w:val="008167CC"/>
    <w:rsid w:val="00816949"/>
    <w:rsid w:val="00816984"/>
    <w:rsid w:val="00816C8E"/>
    <w:rsid w:val="00816DCB"/>
    <w:rsid w:val="00816ED5"/>
    <w:rsid w:val="008175D0"/>
    <w:rsid w:val="00817787"/>
    <w:rsid w:val="00817BEC"/>
    <w:rsid w:val="00820151"/>
    <w:rsid w:val="008202BA"/>
    <w:rsid w:val="0082055C"/>
    <w:rsid w:val="008206FE"/>
    <w:rsid w:val="00820A03"/>
    <w:rsid w:val="00820A5A"/>
    <w:rsid w:val="008212EB"/>
    <w:rsid w:val="008213DC"/>
    <w:rsid w:val="00821AB8"/>
    <w:rsid w:val="0082287F"/>
    <w:rsid w:val="00822A49"/>
    <w:rsid w:val="00822F1E"/>
    <w:rsid w:val="00822FAF"/>
    <w:rsid w:val="008230F8"/>
    <w:rsid w:val="008237B4"/>
    <w:rsid w:val="00823A7C"/>
    <w:rsid w:val="00823BB5"/>
    <w:rsid w:val="00823BCC"/>
    <w:rsid w:val="00823C1F"/>
    <w:rsid w:val="00824FD2"/>
    <w:rsid w:val="008253A7"/>
    <w:rsid w:val="008254FB"/>
    <w:rsid w:val="00825680"/>
    <w:rsid w:val="008258B0"/>
    <w:rsid w:val="00825CF0"/>
    <w:rsid w:val="00825E8F"/>
    <w:rsid w:val="00825FD4"/>
    <w:rsid w:val="0082675E"/>
    <w:rsid w:val="00826D6A"/>
    <w:rsid w:val="00826D9D"/>
    <w:rsid w:val="00826DBC"/>
    <w:rsid w:val="00827083"/>
    <w:rsid w:val="008270DA"/>
    <w:rsid w:val="00827136"/>
    <w:rsid w:val="00827484"/>
    <w:rsid w:val="008275D5"/>
    <w:rsid w:val="008275F9"/>
    <w:rsid w:val="00827751"/>
    <w:rsid w:val="0082799F"/>
    <w:rsid w:val="00827A84"/>
    <w:rsid w:val="008302B3"/>
    <w:rsid w:val="008303C3"/>
    <w:rsid w:val="008304F7"/>
    <w:rsid w:val="00830963"/>
    <w:rsid w:val="00830D84"/>
    <w:rsid w:val="008311D4"/>
    <w:rsid w:val="0083144D"/>
    <w:rsid w:val="008314E2"/>
    <w:rsid w:val="008315E2"/>
    <w:rsid w:val="008316F8"/>
    <w:rsid w:val="0083198D"/>
    <w:rsid w:val="00831BC2"/>
    <w:rsid w:val="008321D8"/>
    <w:rsid w:val="008324A4"/>
    <w:rsid w:val="0083280D"/>
    <w:rsid w:val="00832C15"/>
    <w:rsid w:val="00832C19"/>
    <w:rsid w:val="00832D9B"/>
    <w:rsid w:val="00833020"/>
    <w:rsid w:val="0083328B"/>
    <w:rsid w:val="00833425"/>
    <w:rsid w:val="00833957"/>
    <w:rsid w:val="00833AC6"/>
    <w:rsid w:val="00833DCA"/>
    <w:rsid w:val="00833F4B"/>
    <w:rsid w:val="00833FFF"/>
    <w:rsid w:val="00834200"/>
    <w:rsid w:val="008347EA"/>
    <w:rsid w:val="00834EA9"/>
    <w:rsid w:val="008350E8"/>
    <w:rsid w:val="0083583A"/>
    <w:rsid w:val="00835903"/>
    <w:rsid w:val="00835BD3"/>
    <w:rsid w:val="0083619E"/>
    <w:rsid w:val="008362EF"/>
    <w:rsid w:val="008365BA"/>
    <w:rsid w:val="008366B3"/>
    <w:rsid w:val="0083677A"/>
    <w:rsid w:val="00836799"/>
    <w:rsid w:val="008367CE"/>
    <w:rsid w:val="00836C37"/>
    <w:rsid w:val="00836CCB"/>
    <w:rsid w:val="00836EFA"/>
    <w:rsid w:val="0083748B"/>
    <w:rsid w:val="0083752B"/>
    <w:rsid w:val="008376EB"/>
    <w:rsid w:val="00837791"/>
    <w:rsid w:val="00837AA7"/>
    <w:rsid w:val="008402CC"/>
    <w:rsid w:val="0084076B"/>
    <w:rsid w:val="00840809"/>
    <w:rsid w:val="00840B42"/>
    <w:rsid w:val="0084121E"/>
    <w:rsid w:val="00841923"/>
    <w:rsid w:val="00841B2E"/>
    <w:rsid w:val="00841C96"/>
    <w:rsid w:val="0084237F"/>
    <w:rsid w:val="00842869"/>
    <w:rsid w:val="008428E9"/>
    <w:rsid w:val="00842BE1"/>
    <w:rsid w:val="00842CD6"/>
    <w:rsid w:val="00842F01"/>
    <w:rsid w:val="008434FC"/>
    <w:rsid w:val="00843A46"/>
    <w:rsid w:val="00843F6F"/>
    <w:rsid w:val="00844297"/>
    <w:rsid w:val="00844492"/>
    <w:rsid w:val="0084459A"/>
    <w:rsid w:val="008445B5"/>
    <w:rsid w:val="008446F3"/>
    <w:rsid w:val="008447BB"/>
    <w:rsid w:val="00844A9A"/>
    <w:rsid w:val="00844B79"/>
    <w:rsid w:val="00844E07"/>
    <w:rsid w:val="00844EDC"/>
    <w:rsid w:val="00844F8A"/>
    <w:rsid w:val="008453AD"/>
    <w:rsid w:val="00845508"/>
    <w:rsid w:val="008455CB"/>
    <w:rsid w:val="00845673"/>
    <w:rsid w:val="0084592A"/>
    <w:rsid w:val="00846048"/>
    <w:rsid w:val="00846312"/>
    <w:rsid w:val="008463AC"/>
    <w:rsid w:val="00846654"/>
    <w:rsid w:val="00846B17"/>
    <w:rsid w:val="00846C2D"/>
    <w:rsid w:val="00847093"/>
    <w:rsid w:val="008474C2"/>
    <w:rsid w:val="00847669"/>
    <w:rsid w:val="0084795A"/>
    <w:rsid w:val="00847A90"/>
    <w:rsid w:val="00847B64"/>
    <w:rsid w:val="00847BAD"/>
    <w:rsid w:val="00847C0A"/>
    <w:rsid w:val="00847D58"/>
    <w:rsid w:val="00847DA4"/>
    <w:rsid w:val="00847E0D"/>
    <w:rsid w:val="00847F3D"/>
    <w:rsid w:val="008504C9"/>
    <w:rsid w:val="0085051B"/>
    <w:rsid w:val="00850A95"/>
    <w:rsid w:val="00850EE9"/>
    <w:rsid w:val="00850FC3"/>
    <w:rsid w:val="0085101D"/>
    <w:rsid w:val="00851198"/>
    <w:rsid w:val="0085169D"/>
    <w:rsid w:val="00851A37"/>
    <w:rsid w:val="00851AA5"/>
    <w:rsid w:val="00852369"/>
    <w:rsid w:val="0085254A"/>
    <w:rsid w:val="008526FA"/>
    <w:rsid w:val="00852887"/>
    <w:rsid w:val="00852AE7"/>
    <w:rsid w:val="00852BA9"/>
    <w:rsid w:val="00852C1E"/>
    <w:rsid w:val="00852CC6"/>
    <w:rsid w:val="00852E0D"/>
    <w:rsid w:val="00852E8E"/>
    <w:rsid w:val="00852ECE"/>
    <w:rsid w:val="008539A9"/>
    <w:rsid w:val="00853A5B"/>
    <w:rsid w:val="00853A9F"/>
    <w:rsid w:val="00853D1F"/>
    <w:rsid w:val="00853DE9"/>
    <w:rsid w:val="00853E14"/>
    <w:rsid w:val="00853EED"/>
    <w:rsid w:val="008544DD"/>
    <w:rsid w:val="00854508"/>
    <w:rsid w:val="00854544"/>
    <w:rsid w:val="008547D1"/>
    <w:rsid w:val="008549AF"/>
    <w:rsid w:val="00854E85"/>
    <w:rsid w:val="008551DF"/>
    <w:rsid w:val="00855637"/>
    <w:rsid w:val="008557D6"/>
    <w:rsid w:val="00855A74"/>
    <w:rsid w:val="00855CD7"/>
    <w:rsid w:val="00855E2E"/>
    <w:rsid w:val="00855E33"/>
    <w:rsid w:val="00856459"/>
    <w:rsid w:val="00856476"/>
    <w:rsid w:val="00856B7D"/>
    <w:rsid w:val="00856C46"/>
    <w:rsid w:val="00856D03"/>
    <w:rsid w:val="00857272"/>
    <w:rsid w:val="00857331"/>
    <w:rsid w:val="0085748B"/>
    <w:rsid w:val="00860077"/>
    <w:rsid w:val="00860117"/>
    <w:rsid w:val="00860283"/>
    <w:rsid w:val="0086058E"/>
    <w:rsid w:val="008609F9"/>
    <w:rsid w:val="00860C34"/>
    <w:rsid w:val="00861196"/>
    <w:rsid w:val="0086129E"/>
    <w:rsid w:val="00861513"/>
    <w:rsid w:val="008616A5"/>
    <w:rsid w:val="00861DD3"/>
    <w:rsid w:val="00861DF7"/>
    <w:rsid w:val="00862346"/>
    <w:rsid w:val="00862630"/>
    <w:rsid w:val="00862636"/>
    <w:rsid w:val="0086263A"/>
    <w:rsid w:val="00862817"/>
    <w:rsid w:val="00862AFD"/>
    <w:rsid w:val="00862D54"/>
    <w:rsid w:val="00862F65"/>
    <w:rsid w:val="00862FC7"/>
    <w:rsid w:val="0086342F"/>
    <w:rsid w:val="0086360A"/>
    <w:rsid w:val="008638F0"/>
    <w:rsid w:val="00863A21"/>
    <w:rsid w:val="00863B9C"/>
    <w:rsid w:val="0086408A"/>
    <w:rsid w:val="00864760"/>
    <w:rsid w:val="00864A63"/>
    <w:rsid w:val="00864A7D"/>
    <w:rsid w:val="00864E93"/>
    <w:rsid w:val="00865670"/>
    <w:rsid w:val="00865721"/>
    <w:rsid w:val="008658E1"/>
    <w:rsid w:val="00865C99"/>
    <w:rsid w:val="00865D9B"/>
    <w:rsid w:val="0086614C"/>
    <w:rsid w:val="0086638D"/>
    <w:rsid w:val="00866472"/>
    <w:rsid w:val="0086659C"/>
    <w:rsid w:val="008665C3"/>
    <w:rsid w:val="008666EC"/>
    <w:rsid w:val="00866F64"/>
    <w:rsid w:val="00867060"/>
    <w:rsid w:val="00867136"/>
    <w:rsid w:val="00867137"/>
    <w:rsid w:val="0086785E"/>
    <w:rsid w:val="00867997"/>
    <w:rsid w:val="00867FBB"/>
    <w:rsid w:val="00870106"/>
    <w:rsid w:val="00870332"/>
    <w:rsid w:val="008703B4"/>
    <w:rsid w:val="008705E1"/>
    <w:rsid w:val="0087073A"/>
    <w:rsid w:val="00870A96"/>
    <w:rsid w:val="00870B96"/>
    <w:rsid w:val="0087115D"/>
    <w:rsid w:val="008711EA"/>
    <w:rsid w:val="00871235"/>
    <w:rsid w:val="00871396"/>
    <w:rsid w:val="00871669"/>
    <w:rsid w:val="00871B1E"/>
    <w:rsid w:val="00871C5A"/>
    <w:rsid w:val="00871C73"/>
    <w:rsid w:val="00871CB1"/>
    <w:rsid w:val="00871CED"/>
    <w:rsid w:val="00871DC9"/>
    <w:rsid w:val="00871E30"/>
    <w:rsid w:val="00871E74"/>
    <w:rsid w:val="00872119"/>
    <w:rsid w:val="008721DC"/>
    <w:rsid w:val="0087221C"/>
    <w:rsid w:val="008722CF"/>
    <w:rsid w:val="0087262F"/>
    <w:rsid w:val="008726DF"/>
    <w:rsid w:val="00872A68"/>
    <w:rsid w:val="00872BAD"/>
    <w:rsid w:val="00872E07"/>
    <w:rsid w:val="00872F22"/>
    <w:rsid w:val="00872F59"/>
    <w:rsid w:val="00873133"/>
    <w:rsid w:val="00873403"/>
    <w:rsid w:val="00873909"/>
    <w:rsid w:val="0087404B"/>
    <w:rsid w:val="00874260"/>
    <w:rsid w:val="00874583"/>
    <w:rsid w:val="00874A5E"/>
    <w:rsid w:val="00874B4C"/>
    <w:rsid w:val="00874F29"/>
    <w:rsid w:val="00874F7C"/>
    <w:rsid w:val="008752D5"/>
    <w:rsid w:val="00875351"/>
    <w:rsid w:val="0087541F"/>
    <w:rsid w:val="00875876"/>
    <w:rsid w:val="00875D4D"/>
    <w:rsid w:val="00875F28"/>
    <w:rsid w:val="008764A6"/>
    <w:rsid w:val="008765FD"/>
    <w:rsid w:val="00876903"/>
    <w:rsid w:val="008769B4"/>
    <w:rsid w:val="00876AEB"/>
    <w:rsid w:val="00876E27"/>
    <w:rsid w:val="008770BD"/>
    <w:rsid w:val="00877488"/>
    <w:rsid w:val="008779C5"/>
    <w:rsid w:val="00877A65"/>
    <w:rsid w:val="00877C13"/>
    <w:rsid w:val="00880016"/>
    <w:rsid w:val="00880C51"/>
    <w:rsid w:val="00880FA5"/>
    <w:rsid w:val="008811CC"/>
    <w:rsid w:val="008812D9"/>
    <w:rsid w:val="008813D4"/>
    <w:rsid w:val="0088175C"/>
    <w:rsid w:val="008818EB"/>
    <w:rsid w:val="008818EF"/>
    <w:rsid w:val="00881C71"/>
    <w:rsid w:val="00881E57"/>
    <w:rsid w:val="00882736"/>
    <w:rsid w:val="00882A3B"/>
    <w:rsid w:val="008839A8"/>
    <w:rsid w:val="00883CF6"/>
    <w:rsid w:val="00883F3D"/>
    <w:rsid w:val="00884096"/>
    <w:rsid w:val="00884539"/>
    <w:rsid w:val="008845B3"/>
    <w:rsid w:val="00884630"/>
    <w:rsid w:val="00884FAA"/>
    <w:rsid w:val="008851D2"/>
    <w:rsid w:val="00885467"/>
    <w:rsid w:val="00885BA7"/>
    <w:rsid w:val="00885DFA"/>
    <w:rsid w:val="00885FBC"/>
    <w:rsid w:val="008861A9"/>
    <w:rsid w:val="00886561"/>
    <w:rsid w:val="008867F8"/>
    <w:rsid w:val="00886964"/>
    <w:rsid w:val="00886DC6"/>
    <w:rsid w:val="00886F07"/>
    <w:rsid w:val="00886F21"/>
    <w:rsid w:val="0088702D"/>
    <w:rsid w:val="0088724D"/>
    <w:rsid w:val="00887985"/>
    <w:rsid w:val="00887B3B"/>
    <w:rsid w:val="00890A55"/>
    <w:rsid w:val="00890E77"/>
    <w:rsid w:val="00890E81"/>
    <w:rsid w:val="00890FE6"/>
    <w:rsid w:val="008910FD"/>
    <w:rsid w:val="00891171"/>
    <w:rsid w:val="00891194"/>
    <w:rsid w:val="008913E0"/>
    <w:rsid w:val="00891454"/>
    <w:rsid w:val="00891595"/>
    <w:rsid w:val="00891EEF"/>
    <w:rsid w:val="008920E9"/>
    <w:rsid w:val="008926DA"/>
    <w:rsid w:val="00892C82"/>
    <w:rsid w:val="00892CB0"/>
    <w:rsid w:val="00892E08"/>
    <w:rsid w:val="00892E89"/>
    <w:rsid w:val="008932D5"/>
    <w:rsid w:val="00893493"/>
    <w:rsid w:val="0089362A"/>
    <w:rsid w:val="00893686"/>
    <w:rsid w:val="008938E3"/>
    <w:rsid w:val="00893B68"/>
    <w:rsid w:val="00893B79"/>
    <w:rsid w:val="00893BAA"/>
    <w:rsid w:val="00894190"/>
    <w:rsid w:val="0089431A"/>
    <w:rsid w:val="0089442D"/>
    <w:rsid w:val="00894931"/>
    <w:rsid w:val="00894E93"/>
    <w:rsid w:val="00895253"/>
    <w:rsid w:val="0089537D"/>
    <w:rsid w:val="00895896"/>
    <w:rsid w:val="0089592C"/>
    <w:rsid w:val="008959BF"/>
    <w:rsid w:val="00895C85"/>
    <w:rsid w:val="00895CF0"/>
    <w:rsid w:val="00895F19"/>
    <w:rsid w:val="0089603D"/>
    <w:rsid w:val="00896084"/>
    <w:rsid w:val="0089630C"/>
    <w:rsid w:val="00896666"/>
    <w:rsid w:val="00896AB5"/>
    <w:rsid w:val="00896B64"/>
    <w:rsid w:val="00897630"/>
    <w:rsid w:val="008977AF"/>
    <w:rsid w:val="00897C08"/>
    <w:rsid w:val="00897E4A"/>
    <w:rsid w:val="008A004D"/>
    <w:rsid w:val="008A0167"/>
    <w:rsid w:val="008A06A1"/>
    <w:rsid w:val="008A087F"/>
    <w:rsid w:val="008A0B6B"/>
    <w:rsid w:val="008A10DB"/>
    <w:rsid w:val="008A11E3"/>
    <w:rsid w:val="008A1319"/>
    <w:rsid w:val="008A1855"/>
    <w:rsid w:val="008A1E33"/>
    <w:rsid w:val="008A1FAD"/>
    <w:rsid w:val="008A23E6"/>
    <w:rsid w:val="008A2715"/>
    <w:rsid w:val="008A29C0"/>
    <w:rsid w:val="008A2B9F"/>
    <w:rsid w:val="008A3048"/>
    <w:rsid w:val="008A31C9"/>
    <w:rsid w:val="008A31DB"/>
    <w:rsid w:val="008A32E5"/>
    <w:rsid w:val="008A3564"/>
    <w:rsid w:val="008A3A25"/>
    <w:rsid w:val="008A3C6A"/>
    <w:rsid w:val="008A3CFB"/>
    <w:rsid w:val="008A3D5E"/>
    <w:rsid w:val="008A3D9C"/>
    <w:rsid w:val="008A409C"/>
    <w:rsid w:val="008A45F4"/>
    <w:rsid w:val="008A48C5"/>
    <w:rsid w:val="008A553C"/>
    <w:rsid w:val="008A5641"/>
    <w:rsid w:val="008A5647"/>
    <w:rsid w:val="008A56E6"/>
    <w:rsid w:val="008A56F1"/>
    <w:rsid w:val="008A58AA"/>
    <w:rsid w:val="008A5DB5"/>
    <w:rsid w:val="008A5DEE"/>
    <w:rsid w:val="008A609B"/>
    <w:rsid w:val="008A6390"/>
    <w:rsid w:val="008A6FE1"/>
    <w:rsid w:val="008A717A"/>
    <w:rsid w:val="008A721A"/>
    <w:rsid w:val="008A7866"/>
    <w:rsid w:val="008A7A9A"/>
    <w:rsid w:val="008A7B14"/>
    <w:rsid w:val="008A7C3D"/>
    <w:rsid w:val="008A7C8D"/>
    <w:rsid w:val="008A7E22"/>
    <w:rsid w:val="008A7E6A"/>
    <w:rsid w:val="008B008A"/>
    <w:rsid w:val="008B0368"/>
    <w:rsid w:val="008B0376"/>
    <w:rsid w:val="008B0414"/>
    <w:rsid w:val="008B0647"/>
    <w:rsid w:val="008B07F3"/>
    <w:rsid w:val="008B0C41"/>
    <w:rsid w:val="008B0CDC"/>
    <w:rsid w:val="008B0F2C"/>
    <w:rsid w:val="008B1299"/>
    <w:rsid w:val="008B13D9"/>
    <w:rsid w:val="008B13ED"/>
    <w:rsid w:val="008B158E"/>
    <w:rsid w:val="008B16ED"/>
    <w:rsid w:val="008B171F"/>
    <w:rsid w:val="008B219F"/>
    <w:rsid w:val="008B2431"/>
    <w:rsid w:val="008B2A5D"/>
    <w:rsid w:val="008B2C51"/>
    <w:rsid w:val="008B2ECE"/>
    <w:rsid w:val="008B3041"/>
    <w:rsid w:val="008B32EB"/>
    <w:rsid w:val="008B3407"/>
    <w:rsid w:val="008B42B9"/>
    <w:rsid w:val="008B4312"/>
    <w:rsid w:val="008B47F0"/>
    <w:rsid w:val="008B48DB"/>
    <w:rsid w:val="008B4BF0"/>
    <w:rsid w:val="008B4BF8"/>
    <w:rsid w:val="008B4FDC"/>
    <w:rsid w:val="008B5078"/>
    <w:rsid w:val="008B51FF"/>
    <w:rsid w:val="008B521F"/>
    <w:rsid w:val="008B5235"/>
    <w:rsid w:val="008B598F"/>
    <w:rsid w:val="008B5B97"/>
    <w:rsid w:val="008B5C19"/>
    <w:rsid w:val="008B5CBC"/>
    <w:rsid w:val="008B5E5C"/>
    <w:rsid w:val="008B5EA8"/>
    <w:rsid w:val="008B6130"/>
    <w:rsid w:val="008B621E"/>
    <w:rsid w:val="008B6536"/>
    <w:rsid w:val="008B6735"/>
    <w:rsid w:val="008B6977"/>
    <w:rsid w:val="008B6B7F"/>
    <w:rsid w:val="008B6E10"/>
    <w:rsid w:val="008B710F"/>
    <w:rsid w:val="008B7129"/>
    <w:rsid w:val="008B72F8"/>
    <w:rsid w:val="008B748A"/>
    <w:rsid w:val="008B7683"/>
    <w:rsid w:val="008B799B"/>
    <w:rsid w:val="008C0A19"/>
    <w:rsid w:val="008C0C29"/>
    <w:rsid w:val="008C0F4C"/>
    <w:rsid w:val="008C1510"/>
    <w:rsid w:val="008C1A4B"/>
    <w:rsid w:val="008C26B2"/>
    <w:rsid w:val="008C2955"/>
    <w:rsid w:val="008C29DD"/>
    <w:rsid w:val="008C2A3F"/>
    <w:rsid w:val="008C322F"/>
    <w:rsid w:val="008C3287"/>
    <w:rsid w:val="008C34B6"/>
    <w:rsid w:val="008C3773"/>
    <w:rsid w:val="008C3806"/>
    <w:rsid w:val="008C3AE0"/>
    <w:rsid w:val="008C3C72"/>
    <w:rsid w:val="008C3DBA"/>
    <w:rsid w:val="008C3F0B"/>
    <w:rsid w:val="008C3F7C"/>
    <w:rsid w:val="008C432A"/>
    <w:rsid w:val="008C4527"/>
    <w:rsid w:val="008C4844"/>
    <w:rsid w:val="008C561F"/>
    <w:rsid w:val="008C576C"/>
    <w:rsid w:val="008C5B54"/>
    <w:rsid w:val="008C5C83"/>
    <w:rsid w:val="008C603E"/>
    <w:rsid w:val="008C64AD"/>
    <w:rsid w:val="008C6762"/>
    <w:rsid w:val="008C70E4"/>
    <w:rsid w:val="008C7443"/>
    <w:rsid w:val="008C7537"/>
    <w:rsid w:val="008C7892"/>
    <w:rsid w:val="008C79B0"/>
    <w:rsid w:val="008C7C99"/>
    <w:rsid w:val="008C7CBE"/>
    <w:rsid w:val="008D0139"/>
    <w:rsid w:val="008D09E4"/>
    <w:rsid w:val="008D0EEA"/>
    <w:rsid w:val="008D126E"/>
    <w:rsid w:val="008D129B"/>
    <w:rsid w:val="008D141C"/>
    <w:rsid w:val="008D195A"/>
    <w:rsid w:val="008D19FC"/>
    <w:rsid w:val="008D1AD3"/>
    <w:rsid w:val="008D1F57"/>
    <w:rsid w:val="008D208A"/>
    <w:rsid w:val="008D258E"/>
    <w:rsid w:val="008D2725"/>
    <w:rsid w:val="008D2732"/>
    <w:rsid w:val="008D2767"/>
    <w:rsid w:val="008D2C43"/>
    <w:rsid w:val="008D3242"/>
    <w:rsid w:val="008D3C38"/>
    <w:rsid w:val="008D3F63"/>
    <w:rsid w:val="008D4597"/>
    <w:rsid w:val="008D4656"/>
    <w:rsid w:val="008D49DA"/>
    <w:rsid w:val="008D4A75"/>
    <w:rsid w:val="008D4AE9"/>
    <w:rsid w:val="008D4C32"/>
    <w:rsid w:val="008D4CA7"/>
    <w:rsid w:val="008D4F97"/>
    <w:rsid w:val="008D514B"/>
    <w:rsid w:val="008D53A0"/>
    <w:rsid w:val="008D5DEB"/>
    <w:rsid w:val="008D6553"/>
    <w:rsid w:val="008D663D"/>
    <w:rsid w:val="008D6731"/>
    <w:rsid w:val="008D6B90"/>
    <w:rsid w:val="008D6B9B"/>
    <w:rsid w:val="008D75D3"/>
    <w:rsid w:val="008D77DD"/>
    <w:rsid w:val="008D77E3"/>
    <w:rsid w:val="008D795B"/>
    <w:rsid w:val="008D7B53"/>
    <w:rsid w:val="008D7C52"/>
    <w:rsid w:val="008D7E24"/>
    <w:rsid w:val="008D7EF0"/>
    <w:rsid w:val="008D7F03"/>
    <w:rsid w:val="008E018E"/>
    <w:rsid w:val="008E05DB"/>
    <w:rsid w:val="008E06E8"/>
    <w:rsid w:val="008E0789"/>
    <w:rsid w:val="008E0A8C"/>
    <w:rsid w:val="008E0B9E"/>
    <w:rsid w:val="008E0F74"/>
    <w:rsid w:val="008E1600"/>
    <w:rsid w:val="008E1C2A"/>
    <w:rsid w:val="008E1E30"/>
    <w:rsid w:val="008E1EBD"/>
    <w:rsid w:val="008E20E2"/>
    <w:rsid w:val="008E2493"/>
    <w:rsid w:val="008E2576"/>
    <w:rsid w:val="008E2649"/>
    <w:rsid w:val="008E30B6"/>
    <w:rsid w:val="008E3533"/>
    <w:rsid w:val="008E3594"/>
    <w:rsid w:val="008E3968"/>
    <w:rsid w:val="008E3AF1"/>
    <w:rsid w:val="008E4091"/>
    <w:rsid w:val="008E43CA"/>
    <w:rsid w:val="008E44D2"/>
    <w:rsid w:val="008E4761"/>
    <w:rsid w:val="008E4A8A"/>
    <w:rsid w:val="008E4B64"/>
    <w:rsid w:val="008E4D07"/>
    <w:rsid w:val="008E58B9"/>
    <w:rsid w:val="008E591B"/>
    <w:rsid w:val="008E5A5A"/>
    <w:rsid w:val="008E5B41"/>
    <w:rsid w:val="008E5F5E"/>
    <w:rsid w:val="008E6483"/>
    <w:rsid w:val="008E66C1"/>
    <w:rsid w:val="008E6B02"/>
    <w:rsid w:val="008E6B76"/>
    <w:rsid w:val="008E6CF5"/>
    <w:rsid w:val="008E6D93"/>
    <w:rsid w:val="008E6FA3"/>
    <w:rsid w:val="008E7019"/>
    <w:rsid w:val="008E732D"/>
    <w:rsid w:val="008E74EE"/>
    <w:rsid w:val="008E78F4"/>
    <w:rsid w:val="008E7ABD"/>
    <w:rsid w:val="008E7C30"/>
    <w:rsid w:val="008E7CDF"/>
    <w:rsid w:val="008E7D53"/>
    <w:rsid w:val="008E7D81"/>
    <w:rsid w:val="008E7D88"/>
    <w:rsid w:val="008E7E32"/>
    <w:rsid w:val="008E7F92"/>
    <w:rsid w:val="008F00CC"/>
    <w:rsid w:val="008F02A3"/>
    <w:rsid w:val="008F0487"/>
    <w:rsid w:val="008F054E"/>
    <w:rsid w:val="008F05C8"/>
    <w:rsid w:val="008F0AA6"/>
    <w:rsid w:val="008F0AF9"/>
    <w:rsid w:val="008F0C8B"/>
    <w:rsid w:val="008F0FAE"/>
    <w:rsid w:val="008F1006"/>
    <w:rsid w:val="008F1761"/>
    <w:rsid w:val="008F1887"/>
    <w:rsid w:val="008F1942"/>
    <w:rsid w:val="008F1CD3"/>
    <w:rsid w:val="008F26A5"/>
    <w:rsid w:val="008F27DA"/>
    <w:rsid w:val="008F28BB"/>
    <w:rsid w:val="008F2B79"/>
    <w:rsid w:val="008F2DA1"/>
    <w:rsid w:val="008F35D8"/>
    <w:rsid w:val="008F3B8B"/>
    <w:rsid w:val="008F3DA3"/>
    <w:rsid w:val="008F3FAC"/>
    <w:rsid w:val="008F4A07"/>
    <w:rsid w:val="008F4B52"/>
    <w:rsid w:val="008F4D96"/>
    <w:rsid w:val="008F4E09"/>
    <w:rsid w:val="008F511C"/>
    <w:rsid w:val="008F53BA"/>
    <w:rsid w:val="008F546B"/>
    <w:rsid w:val="008F55B0"/>
    <w:rsid w:val="008F6272"/>
    <w:rsid w:val="008F65DE"/>
    <w:rsid w:val="008F6729"/>
    <w:rsid w:val="008F67F4"/>
    <w:rsid w:val="008F686A"/>
    <w:rsid w:val="008F6893"/>
    <w:rsid w:val="008F6A1A"/>
    <w:rsid w:val="008F6C3B"/>
    <w:rsid w:val="008F6DC3"/>
    <w:rsid w:val="008F7043"/>
    <w:rsid w:val="008F7515"/>
    <w:rsid w:val="008F7547"/>
    <w:rsid w:val="008F75CB"/>
    <w:rsid w:val="008F7A2E"/>
    <w:rsid w:val="0090088A"/>
    <w:rsid w:val="009008A3"/>
    <w:rsid w:val="009008E8"/>
    <w:rsid w:val="00900B9A"/>
    <w:rsid w:val="00900DA2"/>
    <w:rsid w:val="00900F2B"/>
    <w:rsid w:val="009011AE"/>
    <w:rsid w:val="009011B7"/>
    <w:rsid w:val="00901970"/>
    <w:rsid w:val="00901A20"/>
    <w:rsid w:val="00901CC7"/>
    <w:rsid w:val="00901D44"/>
    <w:rsid w:val="00902026"/>
    <w:rsid w:val="00902051"/>
    <w:rsid w:val="009021D7"/>
    <w:rsid w:val="0090269C"/>
    <w:rsid w:val="0090278B"/>
    <w:rsid w:val="00902B00"/>
    <w:rsid w:val="00902BCF"/>
    <w:rsid w:val="009031D4"/>
    <w:rsid w:val="00903338"/>
    <w:rsid w:val="0090366E"/>
    <w:rsid w:val="0090376A"/>
    <w:rsid w:val="00903D2A"/>
    <w:rsid w:val="00904B95"/>
    <w:rsid w:val="00905146"/>
    <w:rsid w:val="009051D6"/>
    <w:rsid w:val="0090527B"/>
    <w:rsid w:val="0090532F"/>
    <w:rsid w:val="00905A4C"/>
    <w:rsid w:val="00905B0D"/>
    <w:rsid w:val="00906014"/>
    <w:rsid w:val="00906120"/>
    <w:rsid w:val="00906315"/>
    <w:rsid w:val="00906319"/>
    <w:rsid w:val="00906580"/>
    <w:rsid w:val="0090662E"/>
    <w:rsid w:val="00906775"/>
    <w:rsid w:val="00906952"/>
    <w:rsid w:val="009069CF"/>
    <w:rsid w:val="00906AD9"/>
    <w:rsid w:val="00906CB2"/>
    <w:rsid w:val="00907024"/>
    <w:rsid w:val="009071A3"/>
    <w:rsid w:val="009072ED"/>
    <w:rsid w:val="0090733B"/>
    <w:rsid w:val="00907703"/>
    <w:rsid w:val="00907D1B"/>
    <w:rsid w:val="00907EEB"/>
    <w:rsid w:val="009103F1"/>
    <w:rsid w:val="00910AEB"/>
    <w:rsid w:val="00911195"/>
    <w:rsid w:val="00911340"/>
    <w:rsid w:val="009114DD"/>
    <w:rsid w:val="00911986"/>
    <w:rsid w:val="00911B7D"/>
    <w:rsid w:val="00911C72"/>
    <w:rsid w:val="00911F06"/>
    <w:rsid w:val="009123D2"/>
    <w:rsid w:val="00912B40"/>
    <w:rsid w:val="00912CB1"/>
    <w:rsid w:val="00912D86"/>
    <w:rsid w:val="009131B7"/>
    <w:rsid w:val="009131C5"/>
    <w:rsid w:val="009132AB"/>
    <w:rsid w:val="0091381D"/>
    <w:rsid w:val="009138BF"/>
    <w:rsid w:val="00913A49"/>
    <w:rsid w:val="00913F55"/>
    <w:rsid w:val="00914043"/>
    <w:rsid w:val="00914201"/>
    <w:rsid w:val="0091433A"/>
    <w:rsid w:val="00914494"/>
    <w:rsid w:val="009152EC"/>
    <w:rsid w:val="00915403"/>
    <w:rsid w:val="00915669"/>
    <w:rsid w:val="009157F2"/>
    <w:rsid w:val="009158CD"/>
    <w:rsid w:val="00915AAF"/>
    <w:rsid w:val="00915EE7"/>
    <w:rsid w:val="0091613B"/>
    <w:rsid w:val="00916174"/>
    <w:rsid w:val="009165C1"/>
    <w:rsid w:val="00916814"/>
    <w:rsid w:val="0091691D"/>
    <w:rsid w:val="00917388"/>
    <w:rsid w:val="0091742D"/>
    <w:rsid w:val="00917765"/>
    <w:rsid w:val="00917925"/>
    <w:rsid w:val="00917961"/>
    <w:rsid w:val="00917E1F"/>
    <w:rsid w:val="00920187"/>
    <w:rsid w:val="009202A0"/>
    <w:rsid w:val="00920A39"/>
    <w:rsid w:val="00920F25"/>
    <w:rsid w:val="00920F48"/>
    <w:rsid w:val="00921252"/>
    <w:rsid w:val="009212C4"/>
    <w:rsid w:val="00921528"/>
    <w:rsid w:val="0092179C"/>
    <w:rsid w:val="00921872"/>
    <w:rsid w:val="00921C52"/>
    <w:rsid w:val="00921E5A"/>
    <w:rsid w:val="00921EC9"/>
    <w:rsid w:val="00921F4C"/>
    <w:rsid w:val="00921FF2"/>
    <w:rsid w:val="0092246D"/>
    <w:rsid w:val="0092287A"/>
    <w:rsid w:val="00922919"/>
    <w:rsid w:val="00922A7C"/>
    <w:rsid w:val="00922ACA"/>
    <w:rsid w:val="00922C4B"/>
    <w:rsid w:val="00922D99"/>
    <w:rsid w:val="00922ECB"/>
    <w:rsid w:val="00922EE3"/>
    <w:rsid w:val="00923082"/>
    <w:rsid w:val="00923131"/>
    <w:rsid w:val="00923551"/>
    <w:rsid w:val="00923614"/>
    <w:rsid w:val="0092380B"/>
    <w:rsid w:val="00923832"/>
    <w:rsid w:val="00923C96"/>
    <w:rsid w:val="00924157"/>
    <w:rsid w:val="009241C5"/>
    <w:rsid w:val="00924290"/>
    <w:rsid w:val="0092437C"/>
    <w:rsid w:val="0092479E"/>
    <w:rsid w:val="00924880"/>
    <w:rsid w:val="00924B1A"/>
    <w:rsid w:val="00924B5F"/>
    <w:rsid w:val="00924CF3"/>
    <w:rsid w:val="00924DFB"/>
    <w:rsid w:val="00924E58"/>
    <w:rsid w:val="00925361"/>
    <w:rsid w:val="00925403"/>
    <w:rsid w:val="0092590A"/>
    <w:rsid w:val="00925BDA"/>
    <w:rsid w:val="00925F10"/>
    <w:rsid w:val="0092621F"/>
    <w:rsid w:val="0092626D"/>
    <w:rsid w:val="0092692E"/>
    <w:rsid w:val="00926E06"/>
    <w:rsid w:val="0092704C"/>
    <w:rsid w:val="0092748D"/>
    <w:rsid w:val="00927516"/>
    <w:rsid w:val="00927930"/>
    <w:rsid w:val="0092797D"/>
    <w:rsid w:val="00927A37"/>
    <w:rsid w:val="00927FF9"/>
    <w:rsid w:val="0093008A"/>
    <w:rsid w:val="00930258"/>
    <w:rsid w:val="009302D5"/>
    <w:rsid w:val="00930394"/>
    <w:rsid w:val="00930488"/>
    <w:rsid w:val="00930674"/>
    <w:rsid w:val="00930C24"/>
    <w:rsid w:val="00930CBE"/>
    <w:rsid w:val="0093129E"/>
    <w:rsid w:val="00931519"/>
    <w:rsid w:val="00931583"/>
    <w:rsid w:val="00931889"/>
    <w:rsid w:val="009318E2"/>
    <w:rsid w:val="00931B0C"/>
    <w:rsid w:val="00931BDA"/>
    <w:rsid w:val="00931DB8"/>
    <w:rsid w:val="00931E9A"/>
    <w:rsid w:val="00931EF6"/>
    <w:rsid w:val="00931EF8"/>
    <w:rsid w:val="009320B7"/>
    <w:rsid w:val="00932375"/>
    <w:rsid w:val="009323BE"/>
    <w:rsid w:val="009323D9"/>
    <w:rsid w:val="009325AB"/>
    <w:rsid w:val="009326C0"/>
    <w:rsid w:val="00932ACE"/>
    <w:rsid w:val="00932BFE"/>
    <w:rsid w:val="00932C1A"/>
    <w:rsid w:val="00932CEB"/>
    <w:rsid w:val="00932CEE"/>
    <w:rsid w:val="009330DF"/>
    <w:rsid w:val="00933656"/>
    <w:rsid w:val="009337E3"/>
    <w:rsid w:val="00933B16"/>
    <w:rsid w:val="00933B80"/>
    <w:rsid w:val="00933CB6"/>
    <w:rsid w:val="009340BE"/>
    <w:rsid w:val="0093415B"/>
    <w:rsid w:val="0093416C"/>
    <w:rsid w:val="009341A0"/>
    <w:rsid w:val="009341D8"/>
    <w:rsid w:val="009349A1"/>
    <w:rsid w:val="0093508E"/>
    <w:rsid w:val="0093520C"/>
    <w:rsid w:val="0093552B"/>
    <w:rsid w:val="009358A9"/>
    <w:rsid w:val="00935ED3"/>
    <w:rsid w:val="00936218"/>
    <w:rsid w:val="00936298"/>
    <w:rsid w:val="009363A2"/>
    <w:rsid w:val="009363CB"/>
    <w:rsid w:val="00936B2A"/>
    <w:rsid w:val="00936C01"/>
    <w:rsid w:val="009374B2"/>
    <w:rsid w:val="009378CD"/>
    <w:rsid w:val="00937975"/>
    <w:rsid w:val="00940654"/>
    <w:rsid w:val="0094067B"/>
    <w:rsid w:val="00940746"/>
    <w:rsid w:val="00940C04"/>
    <w:rsid w:val="0094106C"/>
    <w:rsid w:val="00941297"/>
    <w:rsid w:val="0094141A"/>
    <w:rsid w:val="009419D5"/>
    <w:rsid w:val="00941BA3"/>
    <w:rsid w:val="00941DCD"/>
    <w:rsid w:val="009420FC"/>
    <w:rsid w:val="00942798"/>
    <w:rsid w:val="00942BC1"/>
    <w:rsid w:val="00942D75"/>
    <w:rsid w:val="00942DB0"/>
    <w:rsid w:val="009433FC"/>
    <w:rsid w:val="009436EA"/>
    <w:rsid w:val="009438A4"/>
    <w:rsid w:val="009438E3"/>
    <w:rsid w:val="00943B2D"/>
    <w:rsid w:val="00943BCE"/>
    <w:rsid w:val="0094411A"/>
    <w:rsid w:val="009443FE"/>
    <w:rsid w:val="009444C2"/>
    <w:rsid w:val="009445D8"/>
    <w:rsid w:val="00944AE7"/>
    <w:rsid w:val="00944B5A"/>
    <w:rsid w:val="00944B7A"/>
    <w:rsid w:val="00944C2C"/>
    <w:rsid w:val="0094565C"/>
    <w:rsid w:val="00945D11"/>
    <w:rsid w:val="00945D9A"/>
    <w:rsid w:val="009462BB"/>
    <w:rsid w:val="00946360"/>
    <w:rsid w:val="0094665B"/>
    <w:rsid w:val="00946B20"/>
    <w:rsid w:val="009473DA"/>
    <w:rsid w:val="00947464"/>
    <w:rsid w:val="00950077"/>
    <w:rsid w:val="0095015A"/>
    <w:rsid w:val="00950547"/>
    <w:rsid w:val="0095066B"/>
    <w:rsid w:val="00950DC6"/>
    <w:rsid w:val="00950EA7"/>
    <w:rsid w:val="00950EFD"/>
    <w:rsid w:val="00951261"/>
    <w:rsid w:val="009512BA"/>
    <w:rsid w:val="0095149D"/>
    <w:rsid w:val="009514FA"/>
    <w:rsid w:val="00951502"/>
    <w:rsid w:val="009518F2"/>
    <w:rsid w:val="00951A3C"/>
    <w:rsid w:val="00951B60"/>
    <w:rsid w:val="00951CC7"/>
    <w:rsid w:val="00951DE6"/>
    <w:rsid w:val="00951FB0"/>
    <w:rsid w:val="0095202E"/>
    <w:rsid w:val="0095252E"/>
    <w:rsid w:val="009528A1"/>
    <w:rsid w:val="009528C9"/>
    <w:rsid w:val="00952AD1"/>
    <w:rsid w:val="00952CC5"/>
    <w:rsid w:val="00952CCE"/>
    <w:rsid w:val="00953119"/>
    <w:rsid w:val="009531BD"/>
    <w:rsid w:val="009532B7"/>
    <w:rsid w:val="009532E7"/>
    <w:rsid w:val="00953314"/>
    <w:rsid w:val="009536B6"/>
    <w:rsid w:val="009536E6"/>
    <w:rsid w:val="0095387A"/>
    <w:rsid w:val="00953886"/>
    <w:rsid w:val="00953A01"/>
    <w:rsid w:val="00953B99"/>
    <w:rsid w:val="00953F9D"/>
    <w:rsid w:val="00953FBD"/>
    <w:rsid w:val="0095410E"/>
    <w:rsid w:val="0095420E"/>
    <w:rsid w:val="009544CB"/>
    <w:rsid w:val="009548D3"/>
    <w:rsid w:val="00954AE3"/>
    <w:rsid w:val="00954FF9"/>
    <w:rsid w:val="00955113"/>
    <w:rsid w:val="009554C1"/>
    <w:rsid w:val="00955909"/>
    <w:rsid w:val="009559B4"/>
    <w:rsid w:val="00955A63"/>
    <w:rsid w:val="00955A6B"/>
    <w:rsid w:val="00955B9C"/>
    <w:rsid w:val="00955E00"/>
    <w:rsid w:val="00955E61"/>
    <w:rsid w:val="009560B3"/>
    <w:rsid w:val="00956235"/>
    <w:rsid w:val="009566B1"/>
    <w:rsid w:val="00956969"/>
    <w:rsid w:val="00956C16"/>
    <w:rsid w:val="00956ED4"/>
    <w:rsid w:val="0095710B"/>
    <w:rsid w:val="009575C4"/>
    <w:rsid w:val="009578AA"/>
    <w:rsid w:val="00957B07"/>
    <w:rsid w:val="00960177"/>
    <w:rsid w:val="009604BD"/>
    <w:rsid w:val="00960A50"/>
    <w:rsid w:val="00960B83"/>
    <w:rsid w:val="00960DE8"/>
    <w:rsid w:val="009610E5"/>
    <w:rsid w:val="00961291"/>
    <w:rsid w:val="0096133D"/>
    <w:rsid w:val="0096227F"/>
    <w:rsid w:val="009623C9"/>
    <w:rsid w:val="00962651"/>
    <w:rsid w:val="00962EE1"/>
    <w:rsid w:val="00962F06"/>
    <w:rsid w:val="0096351B"/>
    <w:rsid w:val="00963910"/>
    <w:rsid w:val="00963ABD"/>
    <w:rsid w:val="00963ACA"/>
    <w:rsid w:val="00963B30"/>
    <w:rsid w:val="00963BFA"/>
    <w:rsid w:val="00964104"/>
    <w:rsid w:val="009641FD"/>
    <w:rsid w:val="00964391"/>
    <w:rsid w:val="0096447C"/>
    <w:rsid w:val="00964499"/>
    <w:rsid w:val="009644BF"/>
    <w:rsid w:val="00964E2F"/>
    <w:rsid w:val="00965082"/>
    <w:rsid w:val="0096515E"/>
    <w:rsid w:val="0096527C"/>
    <w:rsid w:val="00965312"/>
    <w:rsid w:val="009654AF"/>
    <w:rsid w:val="00965596"/>
    <w:rsid w:val="009659B2"/>
    <w:rsid w:val="00965D4F"/>
    <w:rsid w:val="00965E54"/>
    <w:rsid w:val="009661AB"/>
    <w:rsid w:val="00966487"/>
    <w:rsid w:val="00966511"/>
    <w:rsid w:val="00966618"/>
    <w:rsid w:val="009669B0"/>
    <w:rsid w:val="00966CFF"/>
    <w:rsid w:val="00966E9E"/>
    <w:rsid w:val="00967793"/>
    <w:rsid w:val="00967C5E"/>
    <w:rsid w:val="00967DFA"/>
    <w:rsid w:val="0097038D"/>
    <w:rsid w:val="0097047C"/>
    <w:rsid w:val="00970627"/>
    <w:rsid w:val="0097076A"/>
    <w:rsid w:val="009707CD"/>
    <w:rsid w:val="00970C56"/>
    <w:rsid w:val="00970D04"/>
    <w:rsid w:val="009713FE"/>
    <w:rsid w:val="00971566"/>
    <w:rsid w:val="009719C1"/>
    <w:rsid w:val="00971D63"/>
    <w:rsid w:val="00971E19"/>
    <w:rsid w:val="00971F4E"/>
    <w:rsid w:val="00972166"/>
    <w:rsid w:val="00972484"/>
    <w:rsid w:val="009725CE"/>
    <w:rsid w:val="0097277B"/>
    <w:rsid w:val="00972A31"/>
    <w:rsid w:val="00972B50"/>
    <w:rsid w:val="00972CB7"/>
    <w:rsid w:val="00972DAD"/>
    <w:rsid w:val="00973047"/>
    <w:rsid w:val="0097306B"/>
    <w:rsid w:val="009734E7"/>
    <w:rsid w:val="00973873"/>
    <w:rsid w:val="00973B8D"/>
    <w:rsid w:val="00973D52"/>
    <w:rsid w:val="00973E0C"/>
    <w:rsid w:val="00973E9B"/>
    <w:rsid w:val="009744ED"/>
    <w:rsid w:val="00974A0D"/>
    <w:rsid w:val="00974B34"/>
    <w:rsid w:val="00975374"/>
    <w:rsid w:val="009756A8"/>
    <w:rsid w:val="009756DC"/>
    <w:rsid w:val="00975846"/>
    <w:rsid w:val="009758A9"/>
    <w:rsid w:val="00975A47"/>
    <w:rsid w:val="00975E26"/>
    <w:rsid w:val="00976109"/>
    <w:rsid w:val="0097630B"/>
    <w:rsid w:val="00976320"/>
    <w:rsid w:val="009764EE"/>
    <w:rsid w:val="00976695"/>
    <w:rsid w:val="00976A88"/>
    <w:rsid w:val="00976CF1"/>
    <w:rsid w:val="00976D66"/>
    <w:rsid w:val="009773F8"/>
    <w:rsid w:val="009778C2"/>
    <w:rsid w:val="00977BC7"/>
    <w:rsid w:val="00980088"/>
    <w:rsid w:val="009801CE"/>
    <w:rsid w:val="009802BE"/>
    <w:rsid w:val="00980307"/>
    <w:rsid w:val="00980680"/>
    <w:rsid w:val="00980797"/>
    <w:rsid w:val="00980AE9"/>
    <w:rsid w:val="00981022"/>
    <w:rsid w:val="009811B6"/>
    <w:rsid w:val="009811F2"/>
    <w:rsid w:val="009812A4"/>
    <w:rsid w:val="009815ED"/>
    <w:rsid w:val="009816E9"/>
    <w:rsid w:val="0098187C"/>
    <w:rsid w:val="009819D0"/>
    <w:rsid w:val="00981BDF"/>
    <w:rsid w:val="00981EE5"/>
    <w:rsid w:val="00981EF8"/>
    <w:rsid w:val="0098227B"/>
    <w:rsid w:val="00982366"/>
    <w:rsid w:val="00982413"/>
    <w:rsid w:val="0098252D"/>
    <w:rsid w:val="009826E4"/>
    <w:rsid w:val="00982C74"/>
    <w:rsid w:val="00982F43"/>
    <w:rsid w:val="009830B8"/>
    <w:rsid w:val="00983300"/>
    <w:rsid w:val="0098344B"/>
    <w:rsid w:val="009834C6"/>
    <w:rsid w:val="00983722"/>
    <w:rsid w:val="009837CE"/>
    <w:rsid w:val="009838B0"/>
    <w:rsid w:val="00983BB5"/>
    <w:rsid w:val="00984053"/>
    <w:rsid w:val="00984490"/>
    <w:rsid w:val="009844EB"/>
    <w:rsid w:val="00984BA5"/>
    <w:rsid w:val="00984C89"/>
    <w:rsid w:val="00984D06"/>
    <w:rsid w:val="00984DAA"/>
    <w:rsid w:val="00985131"/>
    <w:rsid w:val="009851C5"/>
    <w:rsid w:val="0098598C"/>
    <w:rsid w:val="0098657E"/>
    <w:rsid w:val="00986664"/>
    <w:rsid w:val="009868B8"/>
    <w:rsid w:val="0098699F"/>
    <w:rsid w:val="009869B5"/>
    <w:rsid w:val="00986C76"/>
    <w:rsid w:val="00986E97"/>
    <w:rsid w:val="00986F4F"/>
    <w:rsid w:val="00987121"/>
    <w:rsid w:val="00987352"/>
    <w:rsid w:val="0098791E"/>
    <w:rsid w:val="00987C10"/>
    <w:rsid w:val="00987F2E"/>
    <w:rsid w:val="009901E7"/>
    <w:rsid w:val="00990290"/>
    <w:rsid w:val="009902F2"/>
    <w:rsid w:val="0099071D"/>
    <w:rsid w:val="00990BC8"/>
    <w:rsid w:val="009912E9"/>
    <w:rsid w:val="00991369"/>
    <w:rsid w:val="00991401"/>
    <w:rsid w:val="009919CD"/>
    <w:rsid w:val="00991A5F"/>
    <w:rsid w:val="00991BD7"/>
    <w:rsid w:val="00991CD6"/>
    <w:rsid w:val="00991F7E"/>
    <w:rsid w:val="00992058"/>
    <w:rsid w:val="0099210B"/>
    <w:rsid w:val="009924E4"/>
    <w:rsid w:val="00992DBC"/>
    <w:rsid w:val="00992F24"/>
    <w:rsid w:val="00992FD5"/>
    <w:rsid w:val="00993345"/>
    <w:rsid w:val="009937D3"/>
    <w:rsid w:val="009939A1"/>
    <w:rsid w:val="00994057"/>
    <w:rsid w:val="0099406B"/>
    <w:rsid w:val="00994286"/>
    <w:rsid w:val="009942CC"/>
    <w:rsid w:val="009945AF"/>
    <w:rsid w:val="0099470F"/>
    <w:rsid w:val="009947BA"/>
    <w:rsid w:val="00994A02"/>
    <w:rsid w:val="00994D65"/>
    <w:rsid w:val="00994E35"/>
    <w:rsid w:val="0099537E"/>
    <w:rsid w:val="00995441"/>
    <w:rsid w:val="0099588A"/>
    <w:rsid w:val="00995A8E"/>
    <w:rsid w:val="00995AAB"/>
    <w:rsid w:val="00995B5D"/>
    <w:rsid w:val="009964EA"/>
    <w:rsid w:val="0099661F"/>
    <w:rsid w:val="00996716"/>
    <w:rsid w:val="009967D6"/>
    <w:rsid w:val="00996AF6"/>
    <w:rsid w:val="00996B27"/>
    <w:rsid w:val="00996D56"/>
    <w:rsid w:val="00996DBB"/>
    <w:rsid w:val="009972C8"/>
    <w:rsid w:val="0099739C"/>
    <w:rsid w:val="009974F4"/>
    <w:rsid w:val="0099766E"/>
    <w:rsid w:val="00997CBE"/>
    <w:rsid w:val="00997FD9"/>
    <w:rsid w:val="009A030B"/>
    <w:rsid w:val="009A033C"/>
    <w:rsid w:val="009A067A"/>
    <w:rsid w:val="009A0794"/>
    <w:rsid w:val="009A07E9"/>
    <w:rsid w:val="009A0C4F"/>
    <w:rsid w:val="009A0C92"/>
    <w:rsid w:val="009A0CB4"/>
    <w:rsid w:val="009A1164"/>
    <w:rsid w:val="009A17FB"/>
    <w:rsid w:val="009A18C3"/>
    <w:rsid w:val="009A191D"/>
    <w:rsid w:val="009A1980"/>
    <w:rsid w:val="009A1E12"/>
    <w:rsid w:val="009A28F2"/>
    <w:rsid w:val="009A30E7"/>
    <w:rsid w:val="009A389E"/>
    <w:rsid w:val="009A39E8"/>
    <w:rsid w:val="009A39FF"/>
    <w:rsid w:val="009A3C7B"/>
    <w:rsid w:val="009A405A"/>
    <w:rsid w:val="009A4150"/>
    <w:rsid w:val="009A43FD"/>
    <w:rsid w:val="009A4A1D"/>
    <w:rsid w:val="009A4E04"/>
    <w:rsid w:val="009A5389"/>
    <w:rsid w:val="009A5678"/>
    <w:rsid w:val="009A5751"/>
    <w:rsid w:val="009A583C"/>
    <w:rsid w:val="009A58B2"/>
    <w:rsid w:val="009A5A4B"/>
    <w:rsid w:val="009A5D84"/>
    <w:rsid w:val="009A60D0"/>
    <w:rsid w:val="009A60D8"/>
    <w:rsid w:val="009A6112"/>
    <w:rsid w:val="009A6271"/>
    <w:rsid w:val="009A6491"/>
    <w:rsid w:val="009A65CC"/>
    <w:rsid w:val="009A65D1"/>
    <w:rsid w:val="009A6671"/>
    <w:rsid w:val="009A6783"/>
    <w:rsid w:val="009A6CE5"/>
    <w:rsid w:val="009A6E7C"/>
    <w:rsid w:val="009A6ED7"/>
    <w:rsid w:val="009A7810"/>
    <w:rsid w:val="009A7968"/>
    <w:rsid w:val="009A7A88"/>
    <w:rsid w:val="009B0249"/>
    <w:rsid w:val="009B03E6"/>
    <w:rsid w:val="009B0478"/>
    <w:rsid w:val="009B076B"/>
    <w:rsid w:val="009B08A9"/>
    <w:rsid w:val="009B1151"/>
    <w:rsid w:val="009B18A7"/>
    <w:rsid w:val="009B1996"/>
    <w:rsid w:val="009B21C1"/>
    <w:rsid w:val="009B28F4"/>
    <w:rsid w:val="009B2949"/>
    <w:rsid w:val="009B2AF4"/>
    <w:rsid w:val="009B34C7"/>
    <w:rsid w:val="009B3592"/>
    <w:rsid w:val="009B386E"/>
    <w:rsid w:val="009B3C18"/>
    <w:rsid w:val="009B3E11"/>
    <w:rsid w:val="009B3FD0"/>
    <w:rsid w:val="009B438C"/>
    <w:rsid w:val="009B43CA"/>
    <w:rsid w:val="009B464A"/>
    <w:rsid w:val="009B4AAC"/>
    <w:rsid w:val="009B4AC0"/>
    <w:rsid w:val="009B4B28"/>
    <w:rsid w:val="009B4B40"/>
    <w:rsid w:val="009B4BB8"/>
    <w:rsid w:val="009B4C32"/>
    <w:rsid w:val="009B4CF4"/>
    <w:rsid w:val="009B4DF4"/>
    <w:rsid w:val="009B4F00"/>
    <w:rsid w:val="009B4FD1"/>
    <w:rsid w:val="009B58B3"/>
    <w:rsid w:val="009B59CC"/>
    <w:rsid w:val="009B5D64"/>
    <w:rsid w:val="009B6901"/>
    <w:rsid w:val="009B69FC"/>
    <w:rsid w:val="009B6FF9"/>
    <w:rsid w:val="009B70CF"/>
    <w:rsid w:val="009B72CE"/>
    <w:rsid w:val="009B770C"/>
    <w:rsid w:val="009B78BB"/>
    <w:rsid w:val="009B7D6E"/>
    <w:rsid w:val="009B7FD4"/>
    <w:rsid w:val="009C0007"/>
    <w:rsid w:val="009C0245"/>
    <w:rsid w:val="009C0308"/>
    <w:rsid w:val="009C05BF"/>
    <w:rsid w:val="009C0810"/>
    <w:rsid w:val="009C0AC2"/>
    <w:rsid w:val="009C0D72"/>
    <w:rsid w:val="009C0E26"/>
    <w:rsid w:val="009C0E59"/>
    <w:rsid w:val="009C13F0"/>
    <w:rsid w:val="009C157C"/>
    <w:rsid w:val="009C1AD3"/>
    <w:rsid w:val="009C21F4"/>
    <w:rsid w:val="009C278B"/>
    <w:rsid w:val="009C2A54"/>
    <w:rsid w:val="009C2A92"/>
    <w:rsid w:val="009C2B18"/>
    <w:rsid w:val="009C2E4C"/>
    <w:rsid w:val="009C332F"/>
    <w:rsid w:val="009C3688"/>
    <w:rsid w:val="009C3750"/>
    <w:rsid w:val="009C38B3"/>
    <w:rsid w:val="009C4005"/>
    <w:rsid w:val="009C4106"/>
    <w:rsid w:val="009C41CC"/>
    <w:rsid w:val="009C4268"/>
    <w:rsid w:val="009C4631"/>
    <w:rsid w:val="009C4C72"/>
    <w:rsid w:val="009C4C78"/>
    <w:rsid w:val="009C4FC1"/>
    <w:rsid w:val="009C5376"/>
    <w:rsid w:val="009C55B3"/>
    <w:rsid w:val="009C574A"/>
    <w:rsid w:val="009C589A"/>
    <w:rsid w:val="009C6578"/>
    <w:rsid w:val="009C6661"/>
    <w:rsid w:val="009C6766"/>
    <w:rsid w:val="009C6966"/>
    <w:rsid w:val="009C6A0E"/>
    <w:rsid w:val="009C6A2C"/>
    <w:rsid w:val="009C6C76"/>
    <w:rsid w:val="009C6D2D"/>
    <w:rsid w:val="009C6D49"/>
    <w:rsid w:val="009C6FF8"/>
    <w:rsid w:val="009C7161"/>
    <w:rsid w:val="009C7177"/>
    <w:rsid w:val="009C726A"/>
    <w:rsid w:val="009C72DF"/>
    <w:rsid w:val="009C758B"/>
    <w:rsid w:val="009C7A5C"/>
    <w:rsid w:val="009C7A61"/>
    <w:rsid w:val="009C7E5E"/>
    <w:rsid w:val="009C7ED1"/>
    <w:rsid w:val="009C7EF3"/>
    <w:rsid w:val="009D035E"/>
    <w:rsid w:val="009D0A5C"/>
    <w:rsid w:val="009D0A99"/>
    <w:rsid w:val="009D0E73"/>
    <w:rsid w:val="009D11DE"/>
    <w:rsid w:val="009D17F5"/>
    <w:rsid w:val="009D19F9"/>
    <w:rsid w:val="009D2282"/>
    <w:rsid w:val="009D2551"/>
    <w:rsid w:val="009D2E2C"/>
    <w:rsid w:val="009D2E6F"/>
    <w:rsid w:val="009D34E7"/>
    <w:rsid w:val="009D355E"/>
    <w:rsid w:val="009D3B21"/>
    <w:rsid w:val="009D3BDB"/>
    <w:rsid w:val="009D3E7F"/>
    <w:rsid w:val="009D3FC3"/>
    <w:rsid w:val="009D457B"/>
    <w:rsid w:val="009D483E"/>
    <w:rsid w:val="009D4BF2"/>
    <w:rsid w:val="009D4CFD"/>
    <w:rsid w:val="009D55A7"/>
    <w:rsid w:val="009D5985"/>
    <w:rsid w:val="009D5BA1"/>
    <w:rsid w:val="009D5E33"/>
    <w:rsid w:val="009D601F"/>
    <w:rsid w:val="009D632B"/>
    <w:rsid w:val="009D6D87"/>
    <w:rsid w:val="009D6EBD"/>
    <w:rsid w:val="009D6EEA"/>
    <w:rsid w:val="009D6FAD"/>
    <w:rsid w:val="009D705F"/>
    <w:rsid w:val="009D749D"/>
    <w:rsid w:val="009D79C4"/>
    <w:rsid w:val="009D7A63"/>
    <w:rsid w:val="009D7DE9"/>
    <w:rsid w:val="009D7FD6"/>
    <w:rsid w:val="009E0411"/>
    <w:rsid w:val="009E077F"/>
    <w:rsid w:val="009E0BDC"/>
    <w:rsid w:val="009E0D89"/>
    <w:rsid w:val="009E134F"/>
    <w:rsid w:val="009E13BC"/>
    <w:rsid w:val="009E14FC"/>
    <w:rsid w:val="009E16A1"/>
    <w:rsid w:val="009E1B14"/>
    <w:rsid w:val="009E1DC4"/>
    <w:rsid w:val="009E203F"/>
    <w:rsid w:val="009E2064"/>
    <w:rsid w:val="009E2088"/>
    <w:rsid w:val="009E21D3"/>
    <w:rsid w:val="009E2401"/>
    <w:rsid w:val="009E3373"/>
    <w:rsid w:val="009E3506"/>
    <w:rsid w:val="009E3570"/>
    <w:rsid w:val="009E36A0"/>
    <w:rsid w:val="009E3CB6"/>
    <w:rsid w:val="009E4884"/>
    <w:rsid w:val="009E4894"/>
    <w:rsid w:val="009E48EB"/>
    <w:rsid w:val="009E4AA8"/>
    <w:rsid w:val="009E4D0E"/>
    <w:rsid w:val="009E5180"/>
    <w:rsid w:val="009E5380"/>
    <w:rsid w:val="009E5490"/>
    <w:rsid w:val="009E555A"/>
    <w:rsid w:val="009E568A"/>
    <w:rsid w:val="009E58BD"/>
    <w:rsid w:val="009E59AE"/>
    <w:rsid w:val="009E5C2A"/>
    <w:rsid w:val="009E6073"/>
    <w:rsid w:val="009E6520"/>
    <w:rsid w:val="009E65B9"/>
    <w:rsid w:val="009E68B7"/>
    <w:rsid w:val="009E69AB"/>
    <w:rsid w:val="009E6AA7"/>
    <w:rsid w:val="009E6ABC"/>
    <w:rsid w:val="009E6C2C"/>
    <w:rsid w:val="009E7191"/>
    <w:rsid w:val="009E736E"/>
    <w:rsid w:val="009E74CF"/>
    <w:rsid w:val="009E7A9E"/>
    <w:rsid w:val="009E7AF4"/>
    <w:rsid w:val="009E7CEE"/>
    <w:rsid w:val="009E7CFF"/>
    <w:rsid w:val="009E7EC6"/>
    <w:rsid w:val="009E7F33"/>
    <w:rsid w:val="009F01C0"/>
    <w:rsid w:val="009F02EC"/>
    <w:rsid w:val="009F0418"/>
    <w:rsid w:val="009F0436"/>
    <w:rsid w:val="009F05EF"/>
    <w:rsid w:val="009F0D0E"/>
    <w:rsid w:val="009F0F35"/>
    <w:rsid w:val="009F111E"/>
    <w:rsid w:val="009F1267"/>
    <w:rsid w:val="009F12CB"/>
    <w:rsid w:val="009F1418"/>
    <w:rsid w:val="009F1924"/>
    <w:rsid w:val="009F1A40"/>
    <w:rsid w:val="009F1F65"/>
    <w:rsid w:val="009F2025"/>
    <w:rsid w:val="009F20A2"/>
    <w:rsid w:val="009F243B"/>
    <w:rsid w:val="009F2A71"/>
    <w:rsid w:val="009F2B8C"/>
    <w:rsid w:val="009F2C54"/>
    <w:rsid w:val="009F2CEC"/>
    <w:rsid w:val="009F2EEF"/>
    <w:rsid w:val="009F2FC4"/>
    <w:rsid w:val="009F31C2"/>
    <w:rsid w:val="009F3292"/>
    <w:rsid w:val="009F37B5"/>
    <w:rsid w:val="009F3CFD"/>
    <w:rsid w:val="009F3F39"/>
    <w:rsid w:val="009F418F"/>
    <w:rsid w:val="009F4407"/>
    <w:rsid w:val="009F4815"/>
    <w:rsid w:val="009F4A6E"/>
    <w:rsid w:val="009F4DC0"/>
    <w:rsid w:val="009F502C"/>
    <w:rsid w:val="009F50A5"/>
    <w:rsid w:val="009F5151"/>
    <w:rsid w:val="009F5413"/>
    <w:rsid w:val="009F5730"/>
    <w:rsid w:val="009F5AC0"/>
    <w:rsid w:val="009F6306"/>
    <w:rsid w:val="009F634F"/>
    <w:rsid w:val="009F63C6"/>
    <w:rsid w:val="009F65B7"/>
    <w:rsid w:val="009F69B9"/>
    <w:rsid w:val="009F6C0F"/>
    <w:rsid w:val="009F73CC"/>
    <w:rsid w:val="009F7442"/>
    <w:rsid w:val="009F768D"/>
    <w:rsid w:val="009F7915"/>
    <w:rsid w:val="009F7F65"/>
    <w:rsid w:val="00A004EE"/>
    <w:rsid w:val="00A008DB"/>
    <w:rsid w:val="00A00D88"/>
    <w:rsid w:val="00A01108"/>
    <w:rsid w:val="00A01304"/>
    <w:rsid w:val="00A01840"/>
    <w:rsid w:val="00A019C7"/>
    <w:rsid w:val="00A01CAF"/>
    <w:rsid w:val="00A01CF8"/>
    <w:rsid w:val="00A02115"/>
    <w:rsid w:val="00A022FA"/>
    <w:rsid w:val="00A02667"/>
    <w:rsid w:val="00A027F5"/>
    <w:rsid w:val="00A02CAF"/>
    <w:rsid w:val="00A02EF1"/>
    <w:rsid w:val="00A03205"/>
    <w:rsid w:val="00A034B4"/>
    <w:rsid w:val="00A036F4"/>
    <w:rsid w:val="00A036F8"/>
    <w:rsid w:val="00A037CA"/>
    <w:rsid w:val="00A037EC"/>
    <w:rsid w:val="00A038F1"/>
    <w:rsid w:val="00A03BCA"/>
    <w:rsid w:val="00A03C4E"/>
    <w:rsid w:val="00A03E8F"/>
    <w:rsid w:val="00A03EC1"/>
    <w:rsid w:val="00A03F79"/>
    <w:rsid w:val="00A0429A"/>
    <w:rsid w:val="00A046A3"/>
    <w:rsid w:val="00A04B36"/>
    <w:rsid w:val="00A04D4D"/>
    <w:rsid w:val="00A051A6"/>
    <w:rsid w:val="00A0544B"/>
    <w:rsid w:val="00A05CC0"/>
    <w:rsid w:val="00A05FB8"/>
    <w:rsid w:val="00A066C9"/>
    <w:rsid w:val="00A06775"/>
    <w:rsid w:val="00A06BED"/>
    <w:rsid w:val="00A06ED9"/>
    <w:rsid w:val="00A06FBE"/>
    <w:rsid w:val="00A07B83"/>
    <w:rsid w:val="00A10779"/>
    <w:rsid w:val="00A10B4F"/>
    <w:rsid w:val="00A110AF"/>
    <w:rsid w:val="00A11674"/>
    <w:rsid w:val="00A11A80"/>
    <w:rsid w:val="00A11AC5"/>
    <w:rsid w:val="00A11BC6"/>
    <w:rsid w:val="00A11D5F"/>
    <w:rsid w:val="00A11E9A"/>
    <w:rsid w:val="00A121B0"/>
    <w:rsid w:val="00A12367"/>
    <w:rsid w:val="00A124EF"/>
    <w:rsid w:val="00A12BF2"/>
    <w:rsid w:val="00A12C60"/>
    <w:rsid w:val="00A13154"/>
    <w:rsid w:val="00A13448"/>
    <w:rsid w:val="00A1351B"/>
    <w:rsid w:val="00A137D6"/>
    <w:rsid w:val="00A14030"/>
    <w:rsid w:val="00A146EA"/>
    <w:rsid w:val="00A1478E"/>
    <w:rsid w:val="00A148AB"/>
    <w:rsid w:val="00A1495C"/>
    <w:rsid w:val="00A149E6"/>
    <w:rsid w:val="00A14A67"/>
    <w:rsid w:val="00A14C95"/>
    <w:rsid w:val="00A14D80"/>
    <w:rsid w:val="00A14EB7"/>
    <w:rsid w:val="00A14EE6"/>
    <w:rsid w:val="00A14F77"/>
    <w:rsid w:val="00A14F88"/>
    <w:rsid w:val="00A14F8D"/>
    <w:rsid w:val="00A15058"/>
    <w:rsid w:val="00A15090"/>
    <w:rsid w:val="00A1513E"/>
    <w:rsid w:val="00A155BB"/>
    <w:rsid w:val="00A15919"/>
    <w:rsid w:val="00A15F91"/>
    <w:rsid w:val="00A15FD9"/>
    <w:rsid w:val="00A1604A"/>
    <w:rsid w:val="00A16145"/>
    <w:rsid w:val="00A1642B"/>
    <w:rsid w:val="00A1667B"/>
    <w:rsid w:val="00A16729"/>
    <w:rsid w:val="00A167F5"/>
    <w:rsid w:val="00A16DDD"/>
    <w:rsid w:val="00A1743B"/>
    <w:rsid w:val="00A17500"/>
    <w:rsid w:val="00A175FA"/>
    <w:rsid w:val="00A17642"/>
    <w:rsid w:val="00A17C21"/>
    <w:rsid w:val="00A202ED"/>
    <w:rsid w:val="00A2077F"/>
    <w:rsid w:val="00A209FA"/>
    <w:rsid w:val="00A20AEA"/>
    <w:rsid w:val="00A20B3E"/>
    <w:rsid w:val="00A20B90"/>
    <w:rsid w:val="00A20BB9"/>
    <w:rsid w:val="00A2105D"/>
    <w:rsid w:val="00A210D8"/>
    <w:rsid w:val="00A21535"/>
    <w:rsid w:val="00A21BA3"/>
    <w:rsid w:val="00A21D1C"/>
    <w:rsid w:val="00A21DEA"/>
    <w:rsid w:val="00A21EC1"/>
    <w:rsid w:val="00A22320"/>
    <w:rsid w:val="00A22495"/>
    <w:rsid w:val="00A224AE"/>
    <w:rsid w:val="00A224D9"/>
    <w:rsid w:val="00A22501"/>
    <w:rsid w:val="00A2255C"/>
    <w:rsid w:val="00A2257B"/>
    <w:rsid w:val="00A228DC"/>
    <w:rsid w:val="00A22A45"/>
    <w:rsid w:val="00A22B95"/>
    <w:rsid w:val="00A22C40"/>
    <w:rsid w:val="00A230E4"/>
    <w:rsid w:val="00A231C3"/>
    <w:rsid w:val="00A23268"/>
    <w:rsid w:val="00A237D9"/>
    <w:rsid w:val="00A2383E"/>
    <w:rsid w:val="00A23A2A"/>
    <w:rsid w:val="00A23C65"/>
    <w:rsid w:val="00A23DDA"/>
    <w:rsid w:val="00A246FD"/>
    <w:rsid w:val="00A24828"/>
    <w:rsid w:val="00A249E3"/>
    <w:rsid w:val="00A24D10"/>
    <w:rsid w:val="00A24E3B"/>
    <w:rsid w:val="00A24E85"/>
    <w:rsid w:val="00A250A2"/>
    <w:rsid w:val="00A25793"/>
    <w:rsid w:val="00A2583C"/>
    <w:rsid w:val="00A258BA"/>
    <w:rsid w:val="00A25D37"/>
    <w:rsid w:val="00A25E0F"/>
    <w:rsid w:val="00A25EED"/>
    <w:rsid w:val="00A25FA6"/>
    <w:rsid w:val="00A2609C"/>
    <w:rsid w:val="00A262B1"/>
    <w:rsid w:val="00A2630F"/>
    <w:rsid w:val="00A265DF"/>
    <w:rsid w:val="00A26770"/>
    <w:rsid w:val="00A2682C"/>
    <w:rsid w:val="00A268B0"/>
    <w:rsid w:val="00A26B76"/>
    <w:rsid w:val="00A26D69"/>
    <w:rsid w:val="00A26D6D"/>
    <w:rsid w:val="00A2742C"/>
    <w:rsid w:val="00A27501"/>
    <w:rsid w:val="00A27F17"/>
    <w:rsid w:val="00A27F6E"/>
    <w:rsid w:val="00A30449"/>
    <w:rsid w:val="00A3052B"/>
    <w:rsid w:val="00A305C7"/>
    <w:rsid w:val="00A309C0"/>
    <w:rsid w:val="00A30C20"/>
    <w:rsid w:val="00A30C46"/>
    <w:rsid w:val="00A30CE6"/>
    <w:rsid w:val="00A30F5E"/>
    <w:rsid w:val="00A30F89"/>
    <w:rsid w:val="00A30FCE"/>
    <w:rsid w:val="00A31030"/>
    <w:rsid w:val="00A31196"/>
    <w:rsid w:val="00A317E2"/>
    <w:rsid w:val="00A318CA"/>
    <w:rsid w:val="00A319BC"/>
    <w:rsid w:val="00A31A4A"/>
    <w:rsid w:val="00A31B9A"/>
    <w:rsid w:val="00A31C4C"/>
    <w:rsid w:val="00A31EBD"/>
    <w:rsid w:val="00A31F25"/>
    <w:rsid w:val="00A32332"/>
    <w:rsid w:val="00A32C2C"/>
    <w:rsid w:val="00A32D11"/>
    <w:rsid w:val="00A32EF3"/>
    <w:rsid w:val="00A338DA"/>
    <w:rsid w:val="00A33D39"/>
    <w:rsid w:val="00A33E06"/>
    <w:rsid w:val="00A3404D"/>
    <w:rsid w:val="00A3436B"/>
    <w:rsid w:val="00A343BC"/>
    <w:rsid w:val="00A348CD"/>
    <w:rsid w:val="00A34BF7"/>
    <w:rsid w:val="00A34DE4"/>
    <w:rsid w:val="00A3507F"/>
    <w:rsid w:val="00A354C9"/>
    <w:rsid w:val="00A356FA"/>
    <w:rsid w:val="00A357E2"/>
    <w:rsid w:val="00A35807"/>
    <w:rsid w:val="00A35BC3"/>
    <w:rsid w:val="00A35CE4"/>
    <w:rsid w:val="00A35EE4"/>
    <w:rsid w:val="00A36253"/>
    <w:rsid w:val="00A3678C"/>
    <w:rsid w:val="00A36A91"/>
    <w:rsid w:val="00A374E1"/>
    <w:rsid w:val="00A376E6"/>
    <w:rsid w:val="00A3791D"/>
    <w:rsid w:val="00A37984"/>
    <w:rsid w:val="00A37AC9"/>
    <w:rsid w:val="00A37D52"/>
    <w:rsid w:val="00A40045"/>
    <w:rsid w:val="00A40216"/>
    <w:rsid w:val="00A4022B"/>
    <w:rsid w:val="00A405BA"/>
    <w:rsid w:val="00A4067F"/>
    <w:rsid w:val="00A407D9"/>
    <w:rsid w:val="00A4084F"/>
    <w:rsid w:val="00A40A25"/>
    <w:rsid w:val="00A40C39"/>
    <w:rsid w:val="00A40C69"/>
    <w:rsid w:val="00A40F0D"/>
    <w:rsid w:val="00A41056"/>
    <w:rsid w:val="00A4149C"/>
    <w:rsid w:val="00A41857"/>
    <w:rsid w:val="00A41D88"/>
    <w:rsid w:val="00A41F8C"/>
    <w:rsid w:val="00A42132"/>
    <w:rsid w:val="00A42351"/>
    <w:rsid w:val="00A42691"/>
    <w:rsid w:val="00A42BF8"/>
    <w:rsid w:val="00A42CD1"/>
    <w:rsid w:val="00A42F5F"/>
    <w:rsid w:val="00A43091"/>
    <w:rsid w:val="00A4347A"/>
    <w:rsid w:val="00A43945"/>
    <w:rsid w:val="00A439D0"/>
    <w:rsid w:val="00A43B87"/>
    <w:rsid w:val="00A43CE7"/>
    <w:rsid w:val="00A441EA"/>
    <w:rsid w:val="00A443BC"/>
    <w:rsid w:val="00A4466A"/>
    <w:rsid w:val="00A44ACC"/>
    <w:rsid w:val="00A44B08"/>
    <w:rsid w:val="00A44B23"/>
    <w:rsid w:val="00A44ED5"/>
    <w:rsid w:val="00A44F69"/>
    <w:rsid w:val="00A450F1"/>
    <w:rsid w:val="00A453F3"/>
    <w:rsid w:val="00A457E4"/>
    <w:rsid w:val="00A45BDD"/>
    <w:rsid w:val="00A45CE8"/>
    <w:rsid w:val="00A46091"/>
    <w:rsid w:val="00A46391"/>
    <w:rsid w:val="00A470D1"/>
    <w:rsid w:val="00A470FB"/>
    <w:rsid w:val="00A47135"/>
    <w:rsid w:val="00A4768D"/>
    <w:rsid w:val="00A4781D"/>
    <w:rsid w:val="00A47A32"/>
    <w:rsid w:val="00A47DA0"/>
    <w:rsid w:val="00A50494"/>
    <w:rsid w:val="00A504D7"/>
    <w:rsid w:val="00A50A98"/>
    <w:rsid w:val="00A50DA3"/>
    <w:rsid w:val="00A50FA0"/>
    <w:rsid w:val="00A5124B"/>
    <w:rsid w:val="00A512D8"/>
    <w:rsid w:val="00A51441"/>
    <w:rsid w:val="00A51CB7"/>
    <w:rsid w:val="00A52893"/>
    <w:rsid w:val="00A52DCC"/>
    <w:rsid w:val="00A52EC8"/>
    <w:rsid w:val="00A530CB"/>
    <w:rsid w:val="00A53144"/>
    <w:rsid w:val="00A532E7"/>
    <w:rsid w:val="00A537E6"/>
    <w:rsid w:val="00A53819"/>
    <w:rsid w:val="00A539E6"/>
    <w:rsid w:val="00A53C63"/>
    <w:rsid w:val="00A53DAD"/>
    <w:rsid w:val="00A53E58"/>
    <w:rsid w:val="00A53EEC"/>
    <w:rsid w:val="00A53FB3"/>
    <w:rsid w:val="00A544FE"/>
    <w:rsid w:val="00A545A7"/>
    <w:rsid w:val="00A545C1"/>
    <w:rsid w:val="00A54B42"/>
    <w:rsid w:val="00A54C49"/>
    <w:rsid w:val="00A5596D"/>
    <w:rsid w:val="00A55981"/>
    <w:rsid w:val="00A55D6D"/>
    <w:rsid w:val="00A55FD3"/>
    <w:rsid w:val="00A56266"/>
    <w:rsid w:val="00A564E8"/>
    <w:rsid w:val="00A5655B"/>
    <w:rsid w:val="00A56EBD"/>
    <w:rsid w:val="00A5756B"/>
    <w:rsid w:val="00A5765C"/>
    <w:rsid w:val="00A57A37"/>
    <w:rsid w:val="00A57A89"/>
    <w:rsid w:val="00A57D38"/>
    <w:rsid w:val="00A60A1E"/>
    <w:rsid w:val="00A60C96"/>
    <w:rsid w:val="00A60D11"/>
    <w:rsid w:val="00A60F2C"/>
    <w:rsid w:val="00A613B1"/>
    <w:rsid w:val="00A61773"/>
    <w:rsid w:val="00A61ACB"/>
    <w:rsid w:val="00A62188"/>
    <w:rsid w:val="00A62699"/>
    <w:rsid w:val="00A62731"/>
    <w:rsid w:val="00A62AB7"/>
    <w:rsid w:val="00A62B17"/>
    <w:rsid w:val="00A62C5D"/>
    <w:rsid w:val="00A636FC"/>
    <w:rsid w:val="00A6386C"/>
    <w:rsid w:val="00A638B5"/>
    <w:rsid w:val="00A63DF9"/>
    <w:rsid w:val="00A6450C"/>
    <w:rsid w:val="00A64552"/>
    <w:rsid w:val="00A6486F"/>
    <w:rsid w:val="00A64FFD"/>
    <w:rsid w:val="00A650E9"/>
    <w:rsid w:val="00A6520F"/>
    <w:rsid w:val="00A65255"/>
    <w:rsid w:val="00A652B3"/>
    <w:rsid w:val="00A6545D"/>
    <w:rsid w:val="00A6553F"/>
    <w:rsid w:val="00A65566"/>
    <w:rsid w:val="00A65C52"/>
    <w:rsid w:val="00A66663"/>
    <w:rsid w:val="00A6706E"/>
    <w:rsid w:val="00A671B2"/>
    <w:rsid w:val="00A671F3"/>
    <w:rsid w:val="00A6733E"/>
    <w:rsid w:val="00A679D7"/>
    <w:rsid w:val="00A67D09"/>
    <w:rsid w:val="00A70077"/>
    <w:rsid w:val="00A70641"/>
    <w:rsid w:val="00A70B34"/>
    <w:rsid w:val="00A70BF9"/>
    <w:rsid w:val="00A70FC6"/>
    <w:rsid w:val="00A714DA"/>
    <w:rsid w:val="00A71583"/>
    <w:rsid w:val="00A71D4E"/>
    <w:rsid w:val="00A71E06"/>
    <w:rsid w:val="00A71E6A"/>
    <w:rsid w:val="00A71ED3"/>
    <w:rsid w:val="00A71FEF"/>
    <w:rsid w:val="00A7237F"/>
    <w:rsid w:val="00A724D9"/>
    <w:rsid w:val="00A7260D"/>
    <w:rsid w:val="00A73042"/>
    <w:rsid w:val="00A733D7"/>
    <w:rsid w:val="00A73492"/>
    <w:rsid w:val="00A73689"/>
    <w:rsid w:val="00A739C7"/>
    <w:rsid w:val="00A73B3F"/>
    <w:rsid w:val="00A73ECE"/>
    <w:rsid w:val="00A740B0"/>
    <w:rsid w:val="00A74B08"/>
    <w:rsid w:val="00A74BA7"/>
    <w:rsid w:val="00A74C31"/>
    <w:rsid w:val="00A74F0A"/>
    <w:rsid w:val="00A74F2B"/>
    <w:rsid w:val="00A7520A"/>
    <w:rsid w:val="00A752CF"/>
    <w:rsid w:val="00A7544B"/>
    <w:rsid w:val="00A764FD"/>
    <w:rsid w:val="00A76542"/>
    <w:rsid w:val="00A76A57"/>
    <w:rsid w:val="00A76AF3"/>
    <w:rsid w:val="00A76CA6"/>
    <w:rsid w:val="00A76D6A"/>
    <w:rsid w:val="00A771D4"/>
    <w:rsid w:val="00A771E7"/>
    <w:rsid w:val="00A77286"/>
    <w:rsid w:val="00A77391"/>
    <w:rsid w:val="00A77435"/>
    <w:rsid w:val="00A7744B"/>
    <w:rsid w:val="00A77522"/>
    <w:rsid w:val="00A775DE"/>
    <w:rsid w:val="00A77643"/>
    <w:rsid w:val="00A77B76"/>
    <w:rsid w:val="00A77CCE"/>
    <w:rsid w:val="00A77D13"/>
    <w:rsid w:val="00A77F41"/>
    <w:rsid w:val="00A8030D"/>
    <w:rsid w:val="00A80357"/>
    <w:rsid w:val="00A8036C"/>
    <w:rsid w:val="00A80650"/>
    <w:rsid w:val="00A80679"/>
    <w:rsid w:val="00A80739"/>
    <w:rsid w:val="00A80819"/>
    <w:rsid w:val="00A80B2F"/>
    <w:rsid w:val="00A80CEA"/>
    <w:rsid w:val="00A810B2"/>
    <w:rsid w:val="00A8136E"/>
    <w:rsid w:val="00A815A3"/>
    <w:rsid w:val="00A81848"/>
    <w:rsid w:val="00A81CFA"/>
    <w:rsid w:val="00A8204E"/>
    <w:rsid w:val="00A82127"/>
    <w:rsid w:val="00A823C1"/>
    <w:rsid w:val="00A8247C"/>
    <w:rsid w:val="00A8254C"/>
    <w:rsid w:val="00A825D1"/>
    <w:rsid w:val="00A826A7"/>
    <w:rsid w:val="00A827C4"/>
    <w:rsid w:val="00A829FA"/>
    <w:rsid w:val="00A82FF1"/>
    <w:rsid w:val="00A831AB"/>
    <w:rsid w:val="00A836ED"/>
    <w:rsid w:val="00A841E0"/>
    <w:rsid w:val="00A846F4"/>
    <w:rsid w:val="00A8485C"/>
    <w:rsid w:val="00A84C4F"/>
    <w:rsid w:val="00A84D67"/>
    <w:rsid w:val="00A84DFE"/>
    <w:rsid w:val="00A85036"/>
    <w:rsid w:val="00A85343"/>
    <w:rsid w:val="00A853A3"/>
    <w:rsid w:val="00A85766"/>
    <w:rsid w:val="00A85817"/>
    <w:rsid w:val="00A85BC4"/>
    <w:rsid w:val="00A860E1"/>
    <w:rsid w:val="00A861AD"/>
    <w:rsid w:val="00A862BF"/>
    <w:rsid w:val="00A862F6"/>
    <w:rsid w:val="00A863B6"/>
    <w:rsid w:val="00A863E0"/>
    <w:rsid w:val="00A86682"/>
    <w:rsid w:val="00A86D8F"/>
    <w:rsid w:val="00A86F30"/>
    <w:rsid w:val="00A86FBA"/>
    <w:rsid w:val="00A8701C"/>
    <w:rsid w:val="00A87910"/>
    <w:rsid w:val="00A87B77"/>
    <w:rsid w:val="00A87E6A"/>
    <w:rsid w:val="00A87FD4"/>
    <w:rsid w:val="00A90045"/>
    <w:rsid w:val="00A9046F"/>
    <w:rsid w:val="00A904FC"/>
    <w:rsid w:val="00A90783"/>
    <w:rsid w:val="00A9079A"/>
    <w:rsid w:val="00A90A42"/>
    <w:rsid w:val="00A90AC3"/>
    <w:rsid w:val="00A90D80"/>
    <w:rsid w:val="00A912F1"/>
    <w:rsid w:val="00A9146B"/>
    <w:rsid w:val="00A9196A"/>
    <w:rsid w:val="00A91BA0"/>
    <w:rsid w:val="00A91CDF"/>
    <w:rsid w:val="00A9210C"/>
    <w:rsid w:val="00A92358"/>
    <w:rsid w:val="00A92827"/>
    <w:rsid w:val="00A92D39"/>
    <w:rsid w:val="00A92D71"/>
    <w:rsid w:val="00A9316B"/>
    <w:rsid w:val="00A932BA"/>
    <w:rsid w:val="00A933D9"/>
    <w:rsid w:val="00A93A32"/>
    <w:rsid w:val="00A93C7D"/>
    <w:rsid w:val="00A93DB7"/>
    <w:rsid w:val="00A93E91"/>
    <w:rsid w:val="00A93ED0"/>
    <w:rsid w:val="00A94252"/>
    <w:rsid w:val="00A943ED"/>
    <w:rsid w:val="00A94623"/>
    <w:rsid w:val="00A94761"/>
    <w:rsid w:val="00A9478B"/>
    <w:rsid w:val="00A949DB"/>
    <w:rsid w:val="00A94B3F"/>
    <w:rsid w:val="00A94F79"/>
    <w:rsid w:val="00A95004"/>
    <w:rsid w:val="00A953A4"/>
    <w:rsid w:val="00A958D5"/>
    <w:rsid w:val="00A95AA0"/>
    <w:rsid w:val="00A95B32"/>
    <w:rsid w:val="00A95BC5"/>
    <w:rsid w:val="00A95BDA"/>
    <w:rsid w:val="00A95CE6"/>
    <w:rsid w:val="00A95D1E"/>
    <w:rsid w:val="00A95E55"/>
    <w:rsid w:val="00A961F2"/>
    <w:rsid w:val="00A962A4"/>
    <w:rsid w:val="00A962E6"/>
    <w:rsid w:val="00A96385"/>
    <w:rsid w:val="00A969BF"/>
    <w:rsid w:val="00A974BB"/>
    <w:rsid w:val="00A97A57"/>
    <w:rsid w:val="00AA0121"/>
    <w:rsid w:val="00AA017C"/>
    <w:rsid w:val="00AA0268"/>
    <w:rsid w:val="00AA0811"/>
    <w:rsid w:val="00AA0DE7"/>
    <w:rsid w:val="00AA0EB9"/>
    <w:rsid w:val="00AA1075"/>
    <w:rsid w:val="00AA1809"/>
    <w:rsid w:val="00AA194B"/>
    <w:rsid w:val="00AA1B50"/>
    <w:rsid w:val="00AA204F"/>
    <w:rsid w:val="00AA225E"/>
    <w:rsid w:val="00AA2272"/>
    <w:rsid w:val="00AA2382"/>
    <w:rsid w:val="00AA26AE"/>
    <w:rsid w:val="00AA2B18"/>
    <w:rsid w:val="00AA3280"/>
    <w:rsid w:val="00AA3848"/>
    <w:rsid w:val="00AA3866"/>
    <w:rsid w:val="00AA390E"/>
    <w:rsid w:val="00AA3AE0"/>
    <w:rsid w:val="00AA3B09"/>
    <w:rsid w:val="00AA413A"/>
    <w:rsid w:val="00AA4242"/>
    <w:rsid w:val="00AA4344"/>
    <w:rsid w:val="00AA4641"/>
    <w:rsid w:val="00AA4702"/>
    <w:rsid w:val="00AA472B"/>
    <w:rsid w:val="00AA4851"/>
    <w:rsid w:val="00AA4887"/>
    <w:rsid w:val="00AA4899"/>
    <w:rsid w:val="00AA4A55"/>
    <w:rsid w:val="00AA4D13"/>
    <w:rsid w:val="00AA4F2E"/>
    <w:rsid w:val="00AA4FC6"/>
    <w:rsid w:val="00AA51AC"/>
    <w:rsid w:val="00AA530F"/>
    <w:rsid w:val="00AA5911"/>
    <w:rsid w:val="00AA59BF"/>
    <w:rsid w:val="00AA5C21"/>
    <w:rsid w:val="00AA5C4A"/>
    <w:rsid w:val="00AA5F38"/>
    <w:rsid w:val="00AA6065"/>
    <w:rsid w:val="00AA60C2"/>
    <w:rsid w:val="00AA6367"/>
    <w:rsid w:val="00AA63D2"/>
    <w:rsid w:val="00AA67B3"/>
    <w:rsid w:val="00AA67B7"/>
    <w:rsid w:val="00AA6893"/>
    <w:rsid w:val="00AA6A96"/>
    <w:rsid w:val="00AA6C18"/>
    <w:rsid w:val="00AA722C"/>
    <w:rsid w:val="00AA72CF"/>
    <w:rsid w:val="00AA7A05"/>
    <w:rsid w:val="00AA7D67"/>
    <w:rsid w:val="00AB015C"/>
    <w:rsid w:val="00AB0386"/>
    <w:rsid w:val="00AB0569"/>
    <w:rsid w:val="00AB0A26"/>
    <w:rsid w:val="00AB0AF9"/>
    <w:rsid w:val="00AB0D23"/>
    <w:rsid w:val="00AB0D93"/>
    <w:rsid w:val="00AB0FF4"/>
    <w:rsid w:val="00AB103B"/>
    <w:rsid w:val="00AB132C"/>
    <w:rsid w:val="00AB152A"/>
    <w:rsid w:val="00AB18C2"/>
    <w:rsid w:val="00AB1FFB"/>
    <w:rsid w:val="00AB2175"/>
    <w:rsid w:val="00AB22C3"/>
    <w:rsid w:val="00AB2716"/>
    <w:rsid w:val="00AB2A29"/>
    <w:rsid w:val="00AB2B14"/>
    <w:rsid w:val="00AB2E38"/>
    <w:rsid w:val="00AB302E"/>
    <w:rsid w:val="00AB31A7"/>
    <w:rsid w:val="00AB31FA"/>
    <w:rsid w:val="00AB33B6"/>
    <w:rsid w:val="00AB3422"/>
    <w:rsid w:val="00AB37BB"/>
    <w:rsid w:val="00AB395A"/>
    <w:rsid w:val="00AB3E57"/>
    <w:rsid w:val="00AB403C"/>
    <w:rsid w:val="00AB40DD"/>
    <w:rsid w:val="00AB4B3A"/>
    <w:rsid w:val="00AB4BE9"/>
    <w:rsid w:val="00AB4C00"/>
    <w:rsid w:val="00AB4DB4"/>
    <w:rsid w:val="00AB4DF7"/>
    <w:rsid w:val="00AB4F84"/>
    <w:rsid w:val="00AB4FD6"/>
    <w:rsid w:val="00AB5357"/>
    <w:rsid w:val="00AB55D6"/>
    <w:rsid w:val="00AB5A06"/>
    <w:rsid w:val="00AB5FC2"/>
    <w:rsid w:val="00AB63A9"/>
    <w:rsid w:val="00AB641A"/>
    <w:rsid w:val="00AB647D"/>
    <w:rsid w:val="00AB65D4"/>
    <w:rsid w:val="00AB687A"/>
    <w:rsid w:val="00AB68C4"/>
    <w:rsid w:val="00AB71F6"/>
    <w:rsid w:val="00AB7378"/>
    <w:rsid w:val="00AB743B"/>
    <w:rsid w:val="00AB78CD"/>
    <w:rsid w:val="00AB792A"/>
    <w:rsid w:val="00AB7FBE"/>
    <w:rsid w:val="00AC01DB"/>
    <w:rsid w:val="00AC0202"/>
    <w:rsid w:val="00AC0218"/>
    <w:rsid w:val="00AC02C3"/>
    <w:rsid w:val="00AC041F"/>
    <w:rsid w:val="00AC064B"/>
    <w:rsid w:val="00AC0B7C"/>
    <w:rsid w:val="00AC0DF3"/>
    <w:rsid w:val="00AC1105"/>
    <w:rsid w:val="00AC1929"/>
    <w:rsid w:val="00AC1AF7"/>
    <w:rsid w:val="00AC1F50"/>
    <w:rsid w:val="00AC2139"/>
    <w:rsid w:val="00AC2226"/>
    <w:rsid w:val="00AC27EA"/>
    <w:rsid w:val="00AC29F8"/>
    <w:rsid w:val="00AC2ECD"/>
    <w:rsid w:val="00AC2F8D"/>
    <w:rsid w:val="00AC34BD"/>
    <w:rsid w:val="00AC3976"/>
    <w:rsid w:val="00AC3E8A"/>
    <w:rsid w:val="00AC41B4"/>
    <w:rsid w:val="00AC445F"/>
    <w:rsid w:val="00AC460D"/>
    <w:rsid w:val="00AC469E"/>
    <w:rsid w:val="00AC4921"/>
    <w:rsid w:val="00AC4E36"/>
    <w:rsid w:val="00AC50BE"/>
    <w:rsid w:val="00AC50F7"/>
    <w:rsid w:val="00AC5299"/>
    <w:rsid w:val="00AC5749"/>
    <w:rsid w:val="00AC58B2"/>
    <w:rsid w:val="00AC59C2"/>
    <w:rsid w:val="00AC5E58"/>
    <w:rsid w:val="00AC5F49"/>
    <w:rsid w:val="00AC5FF4"/>
    <w:rsid w:val="00AC60E9"/>
    <w:rsid w:val="00AC677A"/>
    <w:rsid w:val="00AC698A"/>
    <w:rsid w:val="00AC756F"/>
    <w:rsid w:val="00AC75A7"/>
    <w:rsid w:val="00AC7EFD"/>
    <w:rsid w:val="00AC7FB9"/>
    <w:rsid w:val="00AD00C6"/>
    <w:rsid w:val="00AD00E6"/>
    <w:rsid w:val="00AD02AF"/>
    <w:rsid w:val="00AD02D3"/>
    <w:rsid w:val="00AD03CF"/>
    <w:rsid w:val="00AD0470"/>
    <w:rsid w:val="00AD0493"/>
    <w:rsid w:val="00AD0530"/>
    <w:rsid w:val="00AD055C"/>
    <w:rsid w:val="00AD05DE"/>
    <w:rsid w:val="00AD06C3"/>
    <w:rsid w:val="00AD0911"/>
    <w:rsid w:val="00AD0B88"/>
    <w:rsid w:val="00AD0C3D"/>
    <w:rsid w:val="00AD0E01"/>
    <w:rsid w:val="00AD11D4"/>
    <w:rsid w:val="00AD11FA"/>
    <w:rsid w:val="00AD1204"/>
    <w:rsid w:val="00AD139A"/>
    <w:rsid w:val="00AD15EE"/>
    <w:rsid w:val="00AD173A"/>
    <w:rsid w:val="00AD1802"/>
    <w:rsid w:val="00AD1973"/>
    <w:rsid w:val="00AD1E90"/>
    <w:rsid w:val="00AD1F8F"/>
    <w:rsid w:val="00AD20C5"/>
    <w:rsid w:val="00AD27C2"/>
    <w:rsid w:val="00AD2AFB"/>
    <w:rsid w:val="00AD2C41"/>
    <w:rsid w:val="00AD2D97"/>
    <w:rsid w:val="00AD2EEA"/>
    <w:rsid w:val="00AD2FF3"/>
    <w:rsid w:val="00AD3371"/>
    <w:rsid w:val="00AD34EC"/>
    <w:rsid w:val="00AD37DB"/>
    <w:rsid w:val="00AD388C"/>
    <w:rsid w:val="00AD3A33"/>
    <w:rsid w:val="00AD3C2B"/>
    <w:rsid w:val="00AD4150"/>
    <w:rsid w:val="00AD43D6"/>
    <w:rsid w:val="00AD4457"/>
    <w:rsid w:val="00AD44BD"/>
    <w:rsid w:val="00AD44EE"/>
    <w:rsid w:val="00AD4572"/>
    <w:rsid w:val="00AD4655"/>
    <w:rsid w:val="00AD4B95"/>
    <w:rsid w:val="00AD4FFB"/>
    <w:rsid w:val="00AD550E"/>
    <w:rsid w:val="00AD5630"/>
    <w:rsid w:val="00AD5714"/>
    <w:rsid w:val="00AD59B0"/>
    <w:rsid w:val="00AD5B3C"/>
    <w:rsid w:val="00AD5BE7"/>
    <w:rsid w:val="00AD5F2F"/>
    <w:rsid w:val="00AD60A6"/>
    <w:rsid w:val="00AD658E"/>
    <w:rsid w:val="00AD6914"/>
    <w:rsid w:val="00AD6DC0"/>
    <w:rsid w:val="00AD6E7C"/>
    <w:rsid w:val="00AD7273"/>
    <w:rsid w:val="00AD74AB"/>
    <w:rsid w:val="00AD752B"/>
    <w:rsid w:val="00AD7569"/>
    <w:rsid w:val="00AD78AF"/>
    <w:rsid w:val="00AD7A3A"/>
    <w:rsid w:val="00AD7A72"/>
    <w:rsid w:val="00AD7D86"/>
    <w:rsid w:val="00AD7DC2"/>
    <w:rsid w:val="00AE00F1"/>
    <w:rsid w:val="00AE05E2"/>
    <w:rsid w:val="00AE05EF"/>
    <w:rsid w:val="00AE0868"/>
    <w:rsid w:val="00AE0A60"/>
    <w:rsid w:val="00AE0CB0"/>
    <w:rsid w:val="00AE0ECB"/>
    <w:rsid w:val="00AE0FC2"/>
    <w:rsid w:val="00AE0FF1"/>
    <w:rsid w:val="00AE132E"/>
    <w:rsid w:val="00AE1710"/>
    <w:rsid w:val="00AE1A9F"/>
    <w:rsid w:val="00AE1B44"/>
    <w:rsid w:val="00AE1D35"/>
    <w:rsid w:val="00AE1FB1"/>
    <w:rsid w:val="00AE20D0"/>
    <w:rsid w:val="00AE2386"/>
    <w:rsid w:val="00AE2760"/>
    <w:rsid w:val="00AE27DE"/>
    <w:rsid w:val="00AE297C"/>
    <w:rsid w:val="00AE2AEE"/>
    <w:rsid w:val="00AE2E35"/>
    <w:rsid w:val="00AE30C8"/>
    <w:rsid w:val="00AE33CB"/>
    <w:rsid w:val="00AE3A95"/>
    <w:rsid w:val="00AE3D09"/>
    <w:rsid w:val="00AE4696"/>
    <w:rsid w:val="00AE4ECE"/>
    <w:rsid w:val="00AE4F58"/>
    <w:rsid w:val="00AE4FD2"/>
    <w:rsid w:val="00AE50F8"/>
    <w:rsid w:val="00AE54CE"/>
    <w:rsid w:val="00AE596B"/>
    <w:rsid w:val="00AE5C10"/>
    <w:rsid w:val="00AE5CFD"/>
    <w:rsid w:val="00AE5D9C"/>
    <w:rsid w:val="00AE5EBB"/>
    <w:rsid w:val="00AE6012"/>
    <w:rsid w:val="00AE627C"/>
    <w:rsid w:val="00AE640B"/>
    <w:rsid w:val="00AE68E2"/>
    <w:rsid w:val="00AE6ADF"/>
    <w:rsid w:val="00AE703D"/>
    <w:rsid w:val="00AE7052"/>
    <w:rsid w:val="00AE7480"/>
    <w:rsid w:val="00AE7A77"/>
    <w:rsid w:val="00AE7DF1"/>
    <w:rsid w:val="00AE7EF6"/>
    <w:rsid w:val="00AF005D"/>
    <w:rsid w:val="00AF0384"/>
    <w:rsid w:val="00AF040A"/>
    <w:rsid w:val="00AF041E"/>
    <w:rsid w:val="00AF04ED"/>
    <w:rsid w:val="00AF0690"/>
    <w:rsid w:val="00AF082C"/>
    <w:rsid w:val="00AF08BB"/>
    <w:rsid w:val="00AF0A1D"/>
    <w:rsid w:val="00AF0CC6"/>
    <w:rsid w:val="00AF16D7"/>
    <w:rsid w:val="00AF1BC5"/>
    <w:rsid w:val="00AF1C0E"/>
    <w:rsid w:val="00AF1C33"/>
    <w:rsid w:val="00AF1D77"/>
    <w:rsid w:val="00AF1D9F"/>
    <w:rsid w:val="00AF1F2C"/>
    <w:rsid w:val="00AF1F98"/>
    <w:rsid w:val="00AF21EC"/>
    <w:rsid w:val="00AF2397"/>
    <w:rsid w:val="00AF2468"/>
    <w:rsid w:val="00AF2D3C"/>
    <w:rsid w:val="00AF3145"/>
    <w:rsid w:val="00AF3309"/>
    <w:rsid w:val="00AF364F"/>
    <w:rsid w:val="00AF3699"/>
    <w:rsid w:val="00AF36FD"/>
    <w:rsid w:val="00AF3761"/>
    <w:rsid w:val="00AF37E8"/>
    <w:rsid w:val="00AF39CE"/>
    <w:rsid w:val="00AF3E81"/>
    <w:rsid w:val="00AF43D5"/>
    <w:rsid w:val="00AF4654"/>
    <w:rsid w:val="00AF4661"/>
    <w:rsid w:val="00AF47E7"/>
    <w:rsid w:val="00AF489D"/>
    <w:rsid w:val="00AF4A5F"/>
    <w:rsid w:val="00AF4E7A"/>
    <w:rsid w:val="00AF4F56"/>
    <w:rsid w:val="00AF50DA"/>
    <w:rsid w:val="00AF5522"/>
    <w:rsid w:val="00AF554E"/>
    <w:rsid w:val="00AF5813"/>
    <w:rsid w:val="00AF5A12"/>
    <w:rsid w:val="00AF5DB7"/>
    <w:rsid w:val="00AF5F42"/>
    <w:rsid w:val="00AF5F65"/>
    <w:rsid w:val="00AF5FA5"/>
    <w:rsid w:val="00AF6092"/>
    <w:rsid w:val="00AF630B"/>
    <w:rsid w:val="00AF6632"/>
    <w:rsid w:val="00AF6CA2"/>
    <w:rsid w:val="00AF6D72"/>
    <w:rsid w:val="00AF6F55"/>
    <w:rsid w:val="00AF6F57"/>
    <w:rsid w:val="00AF7221"/>
    <w:rsid w:val="00AF766A"/>
    <w:rsid w:val="00AF7912"/>
    <w:rsid w:val="00AF7A9D"/>
    <w:rsid w:val="00AF7E0D"/>
    <w:rsid w:val="00B00125"/>
    <w:rsid w:val="00B0047D"/>
    <w:rsid w:val="00B00AB9"/>
    <w:rsid w:val="00B00F85"/>
    <w:rsid w:val="00B00FBC"/>
    <w:rsid w:val="00B0122F"/>
    <w:rsid w:val="00B012F4"/>
    <w:rsid w:val="00B014A4"/>
    <w:rsid w:val="00B014D4"/>
    <w:rsid w:val="00B01532"/>
    <w:rsid w:val="00B016B8"/>
    <w:rsid w:val="00B01721"/>
    <w:rsid w:val="00B01F39"/>
    <w:rsid w:val="00B020A3"/>
    <w:rsid w:val="00B024F7"/>
    <w:rsid w:val="00B02A6E"/>
    <w:rsid w:val="00B03016"/>
    <w:rsid w:val="00B03A5D"/>
    <w:rsid w:val="00B03F6E"/>
    <w:rsid w:val="00B0409E"/>
    <w:rsid w:val="00B041A2"/>
    <w:rsid w:val="00B0464D"/>
    <w:rsid w:val="00B048B6"/>
    <w:rsid w:val="00B04A24"/>
    <w:rsid w:val="00B04BAD"/>
    <w:rsid w:val="00B04F16"/>
    <w:rsid w:val="00B04F22"/>
    <w:rsid w:val="00B04FF0"/>
    <w:rsid w:val="00B054EA"/>
    <w:rsid w:val="00B05852"/>
    <w:rsid w:val="00B058F9"/>
    <w:rsid w:val="00B0615B"/>
    <w:rsid w:val="00B06161"/>
    <w:rsid w:val="00B0735F"/>
    <w:rsid w:val="00B0746F"/>
    <w:rsid w:val="00B07D7C"/>
    <w:rsid w:val="00B07E63"/>
    <w:rsid w:val="00B07FCE"/>
    <w:rsid w:val="00B1076D"/>
    <w:rsid w:val="00B108C5"/>
    <w:rsid w:val="00B10FEA"/>
    <w:rsid w:val="00B111C7"/>
    <w:rsid w:val="00B1138B"/>
    <w:rsid w:val="00B11596"/>
    <w:rsid w:val="00B11D0C"/>
    <w:rsid w:val="00B12091"/>
    <w:rsid w:val="00B120C1"/>
    <w:rsid w:val="00B12100"/>
    <w:rsid w:val="00B122AC"/>
    <w:rsid w:val="00B12889"/>
    <w:rsid w:val="00B12AAA"/>
    <w:rsid w:val="00B12C58"/>
    <w:rsid w:val="00B12D79"/>
    <w:rsid w:val="00B12F35"/>
    <w:rsid w:val="00B13141"/>
    <w:rsid w:val="00B131F5"/>
    <w:rsid w:val="00B1330C"/>
    <w:rsid w:val="00B13331"/>
    <w:rsid w:val="00B1344D"/>
    <w:rsid w:val="00B13B7E"/>
    <w:rsid w:val="00B13E87"/>
    <w:rsid w:val="00B1424B"/>
    <w:rsid w:val="00B142DE"/>
    <w:rsid w:val="00B14495"/>
    <w:rsid w:val="00B145E6"/>
    <w:rsid w:val="00B15202"/>
    <w:rsid w:val="00B15321"/>
    <w:rsid w:val="00B155AA"/>
    <w:rsid w:val="00B15684"/>
    <w:rsid w:val="00B1579F"/>
    <w:rsid w:val="00B157C5"/>
    <w:rsid w:val="00B1593E"/>
    <w:rsid w:val="00B15ABC"/>
    <w:rsid w:val="00B15E87"/>
    <w:rsid w:val="00B15EA1"/>
    <w:rsid w:val="00B15F51"/>
    <w:rsid w:val="00B16A40"/>
    <w:rsid w:val="00B16F09"/>
    <w:rsid w:val="00B170D8"/>
    <w:rsid w:val="00B1732E"/>
    <w:rsid w:val="00B17440"/>
    <w:rsid w:val="00B175D5"/>
    <w:rsid w:val="00B17672"/>
    <w:rsid w:val="00B176F5"/>
    <w:rsid w:val="00B17A42"/>
    <w:rsid w:val="00B17D52"/>
    <w:rsid w:val="00B2040C"/>
    <w:rsid w:val="00B2063E"/>
    <w:rsid w:val="00B208C0"/>
    <w:rsid w:val="00B20CF6"/>
    <w:rsid w:val="00B20F73"/>
    <w:rsid w:val="00B215FB"/>
    <w:rsid w:val="00B21AA3"/>
    <w:rsid w:val="00B21E70"/>
    <w:rsid w:val="00B21FA5"/>
    <w:rsid w:val="00B2248F"/>
    <w:rsid w:val="00B22599"/>
    <w:rsid w:val="00B22644"/>
    <w:rsid w:val="00B22860"/>
    <w:rsid w:val="00B22C00"/>
    <w:rsid w:val="00B22D32"/>
    <w:rsid w:val="00B22E0A"/>
    <w:rsid w:val="00B22E59"/>
    <w:rsid w:val="00B23038"/>
    <w:rsid w:val="00B23252"/>
    <w:rsid w:val="00B233E0"/>
    <w:rsid w:val="00B238B6"/>
    <w:rsid w:val="00B23DA8"/>
    <w:rsid w:val="00B23F7F"/>
    <w:rsid w:val="00B24457"/>
    <w:rsid w:val="00B2467D"/>
    <w:rsid w:val="00B2475C"/>
    <w:rsid w:val="00B2483F"/>
    <w:rsid w:val="00B24E89"/>
    <w:rsid w:val="00B24F00"/>
    <w:rsid w:val="00B251AB"/>
    <w:rsid w:val="00B256D1"/>
    <w:rsid w:val="00B2592F"/>
    <w:rsid w:val="00B259EC"/>
    <w:rsid w:val="00B25E48"/>
    <w:rsid w:val="00B25E77"/>
    <w:rsid w:val="00B2634F"/>
    <w:rsid w:val="00B26C38"/>
    <w:rsid w:val="00B26FEF"/>
    <w:rsid w:val="00B274ED"/>
    <w:rsid w:val="00B2771D"/>
    <w:rsid w:val="00B277F9"/>
    <w:rsid w:val="00B279EA"/>
    <w:rsid w:val="00B27A5E"/>
    <w:rsid w:val="00B27CC1"/>
    <w:rsid w:val="00B301F3"/>
    <w:rsid w:val="00B30668"/>
    <w:rsid w:val="00B307F6"/>
    <w:rsid w:val="00B30AAD"/>
    <w:rsid w:val="00B30B7E"/>
    <w:rsid w:val="00B30C5F"/>
    <w:rsid w:val="00B30DC6"/>
    <w:rsid w:val="00B30E80"/>
    <w:rsid w:val="00B3105D"/>
    <w:rsid w:val="00B31069"/>
    <w:rsid w:val="00B3149A"/>
    <w:rsid w:val="00B316D7"/>
    <w:rsid w:val="00B31901"/>
    <w:rsid w:val="00B31C55"/>
    <w:rsid w:val="00B31EBC"/>
    <w:rsid w:val="00B3228F"/>
    <w:rsid w:val="00B324D0"/>
    <w:rsid w:val="00B32772"/>
    <w:rsid w:val="00B32AE9"/>
    <w:rsid w:val="00B32BF3"/>
    <w:rsid w:val="00B330FB"/>
    <w:rsid w:val="00B3344B"/>
    <w:rsid w:val="00B338FB"/>
    <w:rsid w:val="00B339AB"/>
    <w:rsid w:val="00B33D3B"/>
    <w:rsid w:val="00B33EFA"/>
    <w:rsid w:val="00B3443B"/>
    <w:rsid w:val="00B34BC8"/>
    <w:rsid w:val="00B34CF7"/>
    <w:rsid w:val="00B34F55"/>
    <w:rsid w:val="00B35136"/>
    <w:rsid w:val="00B35677"/>
    <w:rsid w:val="00B358D9"/>
    <w:rsid w:val="00B35A2B"/>
    <w:rsid w:val="00B35C88"/>
    <w:rsid w:val="00B3642C"/>
    <w:rsid w:val="00B3655A"/>
    <w:rsid w:val="00B36703"/>
    <w:rsid w:val="00B3677B"/>
    <w:rsid w:val="00B368FE"/>
    <w:rsid w:val="00B36960"/>
    <w:rsid w:val="00B36A6F"/>
    <w:rsid w:val="00B36AE3"/>
    <w:rsid w:val="00B36B74"/>
    <w:rsid w:val="00B3745E"/>
    <w:rsid w:val="00B375CF"/>
    <w:rsid w:val="00B37741"/>
    <w:rsid w:val="00B37873"/>
    <w:rsid w:val="00B37A4F"/>
    <w:rsid w:val="00B37B8D"/>
    <w:rsid w:val="00B40176"/>
    <w:rsid w:val="00B407AB"/>
    <w:rsid w:val="00B40CA8"/>
    <w:rsid w:val="00B411AC"/>
    <w:rsid w:val="00B416C6"/>
    <w:rsid w:val="00B42299"/>
    <w:rsid w:val="00B42586"/>
    <w:rsid w:val="00B42765"/>
    <w:rsid w:val="00B42BC5"/>
    <w:rsid w:val="00B42D26"/>
    <w:rsid w:val="00B42F45"/>
    <w:rsid w:val="00B42F6B"/>
    <w:rsid w:val="00B431BD"/>
    <w:rsid w:val="00B4325E"/>
    <w:rsid w:val="00B43810"/>
    <w:rsid w:val="00B43B7D"/>
    <w:rsid w:val="00B43D36"/>
    <w:rsid w:val="00B43FEC"/>
    <w:rsid w:val="00B441F3"/>
    <w:rsid w:val="00B44716"/>
    <w:rsid w:val="00B4554E"/>
    <w:rsid w:val="00B45904"/>
    <w:rsid w:val="00B45945"/>
    <w:rsid w:val="00B45A02"/>
    <w:rsid w:val="00B45C67"/>
    <w:rsid w:val="00B45CF8"/>
    <w:rsid w:val="00B45FD1"/>
    <w:rsid w:val="00B46006"/>
    <w:rsid w:val="00B4661A"/>
    <w:rsid w:val="00B4667C"/>
    <w:rsid w:val="00B467CC"/>
    <w:rsid w:val="00B46C25"/>
    <w:rsid w:val="00B46C47"/>
    <w:rsid w:val="00B46F16"/>
    <w:rsid w:val="00B47F00"/>
    <w:rsid w:val="00B5007C"/>
    <w:rsid w:val="00B504DA"/>
    <w:rsid w:val="00B5071A"/>
    <w:rsid w:val="00B50CB6"/>
    <w:rsid w:val="00B50FC4"/>
    <w:rsid w:val="00B51510"/>
    <w:rsid w:val="00B51611"/>
    <w:rsid w:val="00B5173B"/>
    <w:rsid w:val="00B51CED"/>
    <w:rsid w:val="00B5227A"/>
    <w:rsid w:val="00B5228A"/>
    <w:rsid w:val="00B52440"/>
    <w:rsid w:val="00B524F2"/>
    <w:rsid w:val="00B526F1"/>
    <w:rsid w:val="00B5274C"/>
    <w:rsid w:val="00B52B61"/>
    <w:rsid w:val="00B5317B"/>
    <w:rsid w:val="00B531A1"/>
    <w:rsid w:val="00B53884"/>
    <w:rsid w:val="00B53D00"/>
    <w:rsid w:val="00B53D9A"/>
    <w:rsid w:val="00B53E2E"/>
    <w:rsid w:val="00B54496"/>
    <w:rsid w:val="00B54A15"/>
    <w:rsid w:val="00B54A6B"/>
    <w:rsid w:val="00B55059"/>
    <w:rsid w:val="00B55194"/>
    <w:rsid w:val="00B55334"/>
    <w:rsid w:val="00B5588A"/>
    <w:rsid w:val="00B55ACD"/>
    <w:rsid w:val="00B55B94"/>
    <w:rsid w:val="00B55C61"/>
    <w:rsid w:val="00B5602E"/>
    <w:rsid w:val="00B56213"/>
    <w:rsid w:val="00B564F7"/>
    <w:rsid w:val="00B5664F"/>
    <w:rsid w:val="00B5677E"/>
    <w:rsid w:val="00B56F6D"/>
    <w:rsid w:val="00B570EE"/>
    <w:rsid w:val="00B5726B"/>
    <w:rsid w:val="00B572E1"/>
    <w:rsid w:val="00B57391"/>
    <w:rsid w:val="00B57791"/>
    <w:rsid w:val="00B57967"/>
    <w:rsid w:val="00B57E69"/>
    <w:rsid w:val="00B60D31"/>
    <w:rsid w:val="00B61097"/>
    <w:rsid w:val="00B610A2"/>
    <w:rsid w:val="00B611B3"/>
    <w:rsid w:val="00B61319"/>
    <w:rsid w:val="00B6134D"/>
    <w:rsid w:val="00B617B7"/>
    <w:rsid w:val="00B61956"/>
    <w:rsid w:val="00B61DFE"/>
    <w:rsid w:val="00B622BB"/>
    <w:rsid w:val="00B622D7"/>
    <w:rsid w:val="00B6231D"/>
    <w:rsid w:val="00B62607"/>
    <w:rsid w:val="00B62687"/>
    <w:rsid w:val="00B6274E"/>
    <w:rsid w:val="00B627F2"/>
    <w:rsid w:val="00B62B13"/>
    <w:rsid w:val="00B62CAC"/>
    <w:rsid w:val="00B62FA3"/>
    <w:rsid w:val="00B632EE"/>
    <w:rsid w:val="00B635CF"/>
    <w:rsid w:val="00B63751"/>
    <w:rsid w:val="00B637DE"/>
    <w:rsid w:val="00B63A09"/>
    <w:rsid w:val="00B63D0B"/>
    <w:rsid w:val="00B63F83"/>
    <w:rsid w:val="00B64056"/>
    <w:rsid w:val="00B6442A"/>
    <w:rsid w:val="00B645FF"/>
    <w:rsid w:val="00B64646"/>
    <w:rsid w:val="00B646AA"/>
    <w:rsid w:val="00B648EB"/>
    <w:rsid w:val="00B64E6B"/>
    <w:rsid w:val="00B656EA"/>
    <w:rsid w:val="00B65D1F"/>
    <w:rsid w:val="00B66394"/>
    <w:rsid w:val="00B6681A"/>
    <w:rsid w:val="00B66A04"/>
    <w:rsid w:val="00B66ADF"/>
    <w:rsid w:val="00B66D0F"/>
    <w:rsid w:val="00B66D11"/>
    <w:rsid w:val="00B6704E"/>
    <w:rsid w:val="00B6710F"/>
    <w:rsid w:val="00B67146"/>
    <w:rsid w:val="00B6722E"/>
    <w:rsid w:val="00B67607"/>
    <w:rsid w:val="00B67809"/>
    <w:rsid w:val="00B67A75"/>
    <w:rsid w:val="00B708C8"/>
    <w:rsid w:val="00B70C1B"/>
    <w:rsid w:val="00B70F0F"/>
    <w:rsid w:val="00B710B7"/>
    <w:rsid w:val="00B711B7"/>
    <w:rsid w:val="00B712E9"/>
    <w:rsid w:val="00B71730"/>
    <w:rsid w:val="00B71840"/>
    <w:rsid w:val="00B71975"/>
    <w:rsid w:val="00B719D2"/>
    <w:rsid w:val="00B71B2C"/>
    <w:rsid w:val="00B71C28"/>
    <w:rsid w:val="00B71CD0"/>
    <w:rsid w:val="00B72001"/>
    <w:rsid w:val="00B7216E"/>
    <w:rsid w:val="00B721C1"/>
    <w:rsid w:val="00B722E2"/>
    <w:rsid w:val="00B7237B"/>
    <w:rsid w:val="00B7259A"/>
    <w:rsid w:val="00B7295A"/>
    <w:rsid w:val="00B729ED"/>
    <w:rsid w:val="00B72A76"/>
    <w:rsid w:val="00B72C53"/>
    <w:rsid w:val="00B72CB5"/>
    <w:rsid w:val="00B72E78"/>
    <w:rsid w:val="00B73149"/>
    <w:rsid w:val="00B73154"/>
    <w:rsid w:val="00B731FE"/>
    <w:rsid w:val="00B73801"/>
    <w:rsid w:val="00B738B5"/>
    <w:rsid w:val="00B73E3F"/>
    <w:rsid w:val="00B742B7"/>
    <w:rsid w:val="00B74330"/>
    <w:rsid w:val="00B74755"/>
    <w:rsid w:val="00B74A4E"/>
    <w:rsid w:val="00B74B99"/>
    <w:rsid w:val="00B74BE3"/>
    <w:rsid w:val="00B7507A"/>
    <w:rsid w:val="00B75217"/>
    <w:rsid w:val="00B75693"/>
    <w:rsid w:val="00B7598E"/>
    <w:rsid w:val="00B75C40"/>
    <w:rsid w:val="00B75D76"/>
    <w:rsid w:val="00B76069"/>
    <w:rsid w:val="00B76283"/>
    <w:rsid w:val="00B76A77"/>
    <w:rsid w:val="00B775A2"/>
    <w:rsid w:val="00B775D3"/>
    <w:rsid w:val="00B77DD4"/>
    <w:rsid w:val="00B77E22"/>
    <w:rsid w:val="00B80053"/>
    <w:rsid w:val="00B80701"/>
    <w:rsid w:val="00B80B4B"/>
    <w:rsid w:val="00B80CF7"/>
    <w:rsid w:val="00B81017"/>
    <w:rsid w:val="00B8149E"/>
    <w:rsid w:val="00B81606"/>
    <w:rsid w:val="00B81A70"/>
    <w:rsid w:val="00B81C07"/>
    <w:rsid w:val="00B81CB9"/>
    <w:rsid w:val="00B81CD5"/>
    <w:rsid w:val="00B81F2D"/>
    <w:rsid w:val="00B820CA"/>
    <w:rsid w:val="00B820E0"/>
    <w:rsid w:val="00B822C4"/>
    <w:rsid w:val="00B826AE"/>
    <w:rsid w:val="00B82994"/>
    <w:rsid w:val="00B83046"/>
    <w:rsid w:val="00B83520"/>
    <w:rsid w:val="00B83716"/>
    <w:rsid w:val="00B83736"/>
    <w:rsid w:val="00B83C1E"/>
    <w:rsid w:val="00B83FAA"/>
    <w:rsid w:val="00B840D4"/>
    <w:rsid w:val="00B84428"/>
    <w:rsid w:val="00B84A37"/>
    <w:rsid w:val="00B85392"/>
    <w:rsid w:val="00B853CD"/>
    <w:rsid w:val="00B8569B"/>
    <w:rsid w:val="00B85B35"/>
    <w:rsid w:val="00B85CED"/>
    <w:rsid w:val="00B85D54"/>
    <w:rsid w:val="00B86096"/>
    <w:rsid w:val="00B864B6"/>
    <w:rsid w:val="00B864CD"/>
    <w:rsid w:val="00B864F6"/>
    <w:rsid w:val="00B86585"/>
    <w:rsid w:val="00B865F0"/>
    <w:rsid w:val="00B8694B"/>
    <w:rsid w:val="00B86BAC"/>
    <w:rsid w:val="00B86C4D"/>
    <w:rsid w:val="00B86C6E"/>
    <w:rsid w:val="00B873A6"/>
    <w:rsid w:val="00B87494"/>
    <w:rsid w:val="00B876F4"/>
    <w:rsid w:val="00B878FA"/>
    <w:rsid w:val="00B879C3"/>
    <w:rsid w:val="00B87B3C"/>
    <w:rsid w:val="00B87BF9"/>
    <w:rsid w:val="00B87F32"/>
    <w:rsid w:val="00B87F6D"/>
    <w:rsid w:val="00B90146"/>
    <w:rsid w:val="00B9086F"/>
    <w:rsid w:val="00B908BC"/>
    <w:rsid w:val="00B909E2"/>
    <w:rsid w:val="00B90A53"/>
    <w:rsid w:val="00B90A7E"/>
    <w:rsid w:val="00B90B28"/>
    <w:rsid w:val="00B90E8B"/>
    <w:rsid w:val="00B91045"/>
    <w:rsid w:val="00B915C3"/>
    <w:rsid w:val="00B921E4"/>
    <w:rsid w:val="00B92206"/>
    <w:rsid w:val="00B9230F"/>
    <w:rsid w:val="00B92320"/>
    <w:rsid w:val="00B92444"/>
    <w:rsid w:val="00B92750"/>
    <w:rsid w:val="00B927C1"/>
    <w:rsid w:val="00B92AD7"/>
    <w:rsid w:val="00B92BB2"/>
    <w:rsid w:val="00B92BC8"/>
    <w:rsid w:val="00B92CDE"/>
    <w:rsid w:val="00B93521"/>
    <w:rsid w:val="00B937EC"/>
    <w:rsid w:val="00B93B98"/>
    <w:rsid w:val="00B93D6C"/>
    <w:rsid w:val="00B93E16"/>
    <w:rsid w:val="00B93FE7"/>
    <w:rsid w:val="00B944CE"/>
    <w:rsid w:val="00B946D9"/>
    <w:rsid w:val="00B94752"/>
    <w:rsid w:val="00B947BB"/>
    <w:rsid w:val="00B9485D"/>
    <w:rsid w:val="00B94A00"/>
    <w:rsid w:val="00B94F30"/>
    <w:rsid w:val="00B94FA7"/>
    <w:rsid w:val="00B9507A"/>
    <w:rsid w:val="00B950A8"/>
    <w:rsid w:val="00B9510F"/>
    <w:rsid w:val="00B9522D"/>
    <w:rsid w:val="00B95244"/>
    <w:rsid w:val="00B9568D"/>
    <w:rsid w:val="00B95A41"/>
    <w:rsid w:val="00B95BD2"/>
    <w:rsid w:val="00B96269"/>
    <w:rsid w:val="00B96407"/>
    <w:rsid w:val="00B96468"/>
    <w:rsid w:val="00B964C1"/>
    <w:rsid w:val="00B96A3E"/>
    <w:rsid w:val="00B96C1F"/>
    <w:rsid w:val="00B96FAE"/>
    <w:rsid w:val="00B96FB0"/>
    <w:rsid w:val="00B970FC"/>
    <w:rsid w:val="00B971F0"/>
    <w:rsid w:val="00B9749A"/>
    <w:rsid w:val="00B977D0"/>
    <w:rsid w:val="00B97810"/>
    <w:rsid w:val="00B97825"/>
    <w:rsid w:val="00B9787F"/>
    <w:rsid w:val="00B97BC3"/>
    <w:rsid w:val="00B97D79"/>
    <w:rsid w:val="00BA001D"/>
    <w:rsid w:val="00BA01F2"/>
    <w:rsid w:val="00BA0360"/>
    <w:rsid w:val="00BA07DA"/>
    <w:rsid w:val="00BA12DD"/>
    <w:rsid w:val="00BA14D8"/>
    <w:rsid w:val="00BA155C"/>
    <w:rsid w:val="00BA16DC"/>
    <w:rsid w:val="00BA1C8A"/>
    <w:rsid w:val="00BA1CFA"/>
    <w:rsid w:val="00BA1D1A"/>
    <w:rsid w:val="00BA1EB8"/>
    <w:rsid w:val="00BA26D9"/>
    <w:rsid w:val="00BA2773"/>
    <w:rsid w:val="00BA38E9"/>
    <w:rsid w:val="00BA3917"/>
    <w:rsid w:val="00BA3981"/>
    <w:rsid w:val="00BA3AC2"/>
    <w:rsid w:val="00BA3CD9"/>
    <w:rsid w:val="00BA3FAE"/>
    <w:rsid w:val="00BA416B"/>
    <w:rsid w:val="00BA44E6"/>
    <w:rsid w:val="00BA4A97"/>
    <w:rsid w:val="00BA4B2D"/>
    <w:rsid w:val="00BA4EB6"/>
    <w:rsid w:val="00BA4F09"/>
    <w:rsid w:val="00BA5077"/>
    <w:rsid w:val="00BA5453"/>
    <w:rsid w:val="00BA5607"/>
    <w:rsid w:val="00BA5B05"/>
    <w:rsid w:val="00BA5C56"/>
    <w:rsid w:val="00BA5D57"/>
    <w:rsid w:val="00BA5FAF"/>
    <w:rsid w:val="00BA6408"/>
    <w:rsid w:val="00BA6738"/>
    <w:rsid w:val="00BA7766"/>
    <w:rsid w:val="00BA77E9"/>
    <w:rsid w:val="00BA79B5"/>
    <w:rsid w:val="00BA7A2B"/>
    <w:rsid w:val="00BA7F17"/>
    <w:rsid w:val="00BA7F66"/>
    <w:rsid w:val="00BB00D2"/>
    <w:rsid w:val="00BB01A4"/>
    <w:rsid w:val="00BB0388"/>
    <w:rsid w:val="00BB03A5"/>
    <w:rsid w:val="00BB03BF"/>
    <w:rsid w:val="00BB07BE"/>
    <w:rsid w:val="00BB09C9"/>
    <w:rsid w:val="00BB0C99"/>
    <w:rsid w:val="00BB0D3F"/>
    <w:rsid w:val="00BB0EE7"/>
    <w:rsid w:val="00BB1066"/>
    <w:rsid w:val="00BB119F"/>
    <w:rsid w:val="00BB124E"/>
    <w:rsid w:val="00BB1341"/>
    <w:rsid w:val="00BB141D"/>
    <w:rsid w:val="00BB1806"/>
    <w:rsid w:val="00BB1B01"/>
    <w:rsid w:val="00BB1B0E"/>
    <w:rsid w:val="00BB1EB6"/>
    <w:rsid w:val="00BB1F22"/>
    <w:rsid w:val="00BB1FE1"/>
    <w:rsid w:val="00BB2479"/>
    <w:rsid w:val="00BB26A0"/>
    <w:rsid w:val="00BB2A0F"/>
    <w:rsid w:val="00BB2DF7"/>
    <w:rsid w:val="00BB3087"/>
    <w:rsid w:val="00BB30FB"/>
    <w:rsid w:val="00BB355C"/>
    <w:rsid w:val="00BB3B82"/>
    <w:rsid w:val="00BB3CDD"/>
    <w:rsid w:val="00BB40EB"/>
    <w:rsid w:val="00BB41C9"/>
    <w:rsid w:val="00BB4350"/>
    <w:rsid w:val="00BB4553"/>
    <w:rsid w:val="00BB463E"/>
    <w:rsid w:val="00BB46A2"/>
    <w:rsid w:val="00BB4C94"/>
    <w:rsid w:val="00BB4F2C"/>
    <w:rsid w:val="00BB5054"/>
    <w:rsid w:val="00BB521F"/>
    <w:rsid w:val="00BB5481"/>
    <w:rsid w:val="00BB58F3"/>
    <w:rsid w:val="00BB5CE6"/>
    <w:rsid w:val="00BB62AF"/>
    <w:rsid w:val="00BB6393"/>
    <w:rsid w:val="00BB6883"/>
    <w:rsid w:val="00BB6BA2"/>
    <w:rsid w:val="00BB73FD"/>
    <w:rsid w:val="00BB75E8"/>
    <w:rsid w:val="00BB7629"/>
    <w:rsid w:val="00BB77D5"/>
    <w:rsid w:val="00BB7CDE"/>
    <w:rsid w:val="00BC004C"/>
    <w:rsid w:val="00BC02BB"/>
    <w:rsid w:val="00BC0432"/>
    <w:rsid w:val="00BC05BD"/>
    <w:rsid w:val="00BC083A"/>
    <w:rsid w:val="00BC0A43"/>
    <w:rsid w:val="00BC0AE8"/>
    <w:rsid w:val="00BC0D99"/>
    <w:rsid w:val="00BC13BD"/>
    <w:rsid w:val="00BC1B87"/>
    <w:rsid w:val="00BC1CB9"/>
    <w:rsid w:val="00BC1DEC"/>
    <w:rsid w:val="00BC20B0"/>
    <w:rsid w:val="00BC2233"/>
    <w:rsid w:val="00BC24D9"/>
    <w:rsid w:val="00BC2665"/>
    <w:rsid w:val="00BC266B"/>
    <w:rsid w:val="00BC279E"/>
    <w:rsid w:val="00BC2A03"/>
    <w:rsid w:val="00BC30C7"/>
    <w:rsid w:val="00BC3572"/>
    <w:rsid w:val="00BC3CF6"/>
    <w:rsid w:val="00BC3D7B"/>
    <w:rsid w:val="00BC40CA"/>
    <w:rsid w:val="00BC4273"/>
    <w:rsid w:val="00BC45DB"/>
    <w:rsid w:val="00BC46CB"/>
    <w:rsid w:val="00BC4888"/>
    <w:rsid w:val="00BC49B6"/>
    <w:rsid w:val="00BC4CC3"/>
    <w:rsid w:val="00BC4E65"/>
    <w:rsid w:val="00BC4EAB"/>
    <w:rsid w:val="00BC4ECE"/>
    <w:rsid w:val="00BC5110"/>
    <w:rsid w:val="00BC5120"/>
    <w:rsid w:val="00BC5228"/>
    <w:rsid w:val="00BC54CF"/>
    <w:rsid w:val="00BC55CC"/>
    <w:rsid w:val="00BC5661"/>
    <w:rsid w:val="00BC586C"/>
    <w:rsid w:val="00BC5CD5"/>
    <w:rsid w:val="00BC628A"/>
    <w:rsid w:val="00BC629F"/>
    <w:rsid w:val="00BC650D"/>
    <w:rsid w:val="00BC6709"/>
    <w:rsid w:val="00BC6776"/>
    <w:rsid w:val="00BC69EA"/>
    <w:rsid w:val="00BC7050"/>
    <w:rsid w:val="00BC706C"/>
    <w:rsid w:val="00BC707F"/>
    <w:rsid w:val="00BC70C7"/>
    <w:rsid w:val="00BC71B2"/>
    <w:rsid w:val="00BC71D2"/>
    <w:rsid w:val="00BC720F"/>
    <w:rsid w:val="00BC726F"/>
    <w:rsid w:val="00BC72CE"/>
    <w:rsid w:val="00BC743D"/>
    <w:rsid w:val="00BC7B34"/>
    <w:rsid w:val="00BC7C97"/>
    <w:rsid w:val="00BC7EED"/>
    <w:rsid w:val="00BD006A"/>
    <w:rsid w:val="00BD012A"/>
    <w:rsid w:val="00BD07FE"/>
    <w:rsid w:val="00BD09A1"/>
    <w:rsid w:val="00BD0CA7"/>
    <w:rsid w:val="00BD0DC9"/>
    <w:rsid w:val="00BD0E3E"/>
    <w:rsid w:val="00BD1560"/>
    <w:rsid w:val="00BD1B09"/>
    <w:rsid w:val="00BD1BB7"/>
    <w:rsid w:val="00BD1BD2"/>
    <w:rsid w:val="00BD1F8B"/>
    <w:rsid w:val="00BD202B"/>
    <w:rsid w:val="00BD20E7"/>
    <w:rsid w:val="00BD22FE"/>
    <w:rsid w:val="00BD2373"/>
    <w:rsid w:val="00BD2467"/>
    <w:rsid w:val="00BD26ED"/>
    <w:rsid w:val="00BD2A49"/>
    <w:rsid w:val="00BD2ED8"/>
    <w:rsid w:val="00BD3338"/>
    <w:rsid w:val="00BD3563"/>
    <w:rsid w:val="00BD3954"/>
    <w:rsid w:val="00BD3A50"/>
    <w:rsid w:val="00BD3DF5"/>
    <w:rsid w:val="00BD3FAF"/>
    <w:rsid w:val="00BD416A"/>
    <w:rsid w:val="00BD43E9"/>
    <w:rsid w:val="00BD4615"/>
    <w:rsid w:val="00BD46F3"/>
    <w:rsid w:val="00BD4BCC"/>
    <w:rsid w:val="00BD4DD9"/>
    <w:rsid w:val="00BD4E3B"/>
    <w:rsid w:val="00BD5A6A"/>
    <w:rsid w:val="00BD5CD3"/>
    <w:rsid w:val="00BD604B"/>
    <w:rsid w:val="00BD60A0"/>
    <w:rsid w:val="00BD6183"/>
    <w:rsid w:val="00BD62BD"/>
    <w:rsid w:val="00BD64A0"/>
    <w:rsid w:val="00BD6591"/>
    <w:rsid w:val="00BD659D"/>
    <w:rsid w:val="00BD6C1A"/>
    <w:rsid w:val="00BD6D2D"/>
    <w:rsid w:val="00BD74B7"/>
    <w:rsid w:val="00BD74D3"/>
    <w:rsid w:val="00BD7999"/>
    <w:rsid w:val="00BD7AB6"/>
    <w:rsid w:val="00BD7D14"/>
    <w:rsid w:val="00BD7DE3"/>
    <w:rsid w:val="00BE00CB"/>
    <w:rsid w:val="00BE010F"/>
    <w:rsid w:val="00BE0906"/>
    <w:rsid w:val="00BE0B40"/>
    <w:rsid w:val="00BE180F"/>
    <w:rsid w:val="00BE1B91"/>
    <w:rsid w:val="00BE1EBC"/>
    <w:rsid w:val="00BE1ED3"/>
    <w:rsid w:val="00BE223F"/>
    <w:rsid w:val="00BE23EF"/>
    <w:rsid w:val="00BE250D"/>
    <w:rsid w:val="00BE2565"/>
    <w:rsid w:val="00BE25A0"/>
    <w:rsid w:val="00BE25F2"/>
    <w:rsid w:val="00BE2733"/>
    <w:rsid w:val="00BE2EEF"/>
    <w:rsid w:val="00BE3041"/>
    <w:rsid w:val="00BE3974"/>
    <w:rsid w:val="00BE3B9C"/>
    <w:rsid w:val="00BE3E56"/>
    <w:rsid w:val="00BE3F5E"/>
    <w:rsid w:val="00BE4173"/>
    <w:rsid w:val="00BE429D"/>
    <w:rsid w:val="00BE4504"/>
    <w:rsid w:val="00BE45EE"/>
    <w:rsid w:val="00BE4764"/>
    <w:rsid w:val="00BE4A4B"/>
    <w:rsid w:val="00BE4DD6"/>
    <w:rsid w:val="00BE4EB9"/>
    <w:rsid w:val="00BE502D"/>
    <w:rsid w:val="00BE53FF"/>
    <w:rsid w:val="00BE5483"/>
    <w:rsid w:val="00BE5571"/>
    <w:rsid w:val="00BE57DB"/>
    <w:rsid w:val="00BE5854"/>
    <w:rsid w:val="00BE5E6D"/>
    <w:rsid w:val="00BE67D3"/>
    <w:rsid w:val="00BE6A63"/>
    <w:rsid w:val="00BE6C76"/>
    <w:rsid w:val="00BE6E8C"/>
    <w:rsid w:val="00BE7596"/>
    <w:rsid w:val="00BE7681"/>
    <w:rsid w:val="00BE78B9"/>
    <w:rsid w:val="00BE79BC"/>
    <w:rsid w:val="00BE79E8"/>
    <w:rsid w:val="00BE7C19"/>
    <w:rsid w:val="00BE7E9E"/>
    <w:rsid w:val="00BF02F3"/>
    <w:rsid w:val="00BF0518"/>
    <w:rsid w:val="00BF0665"/>
    <w:rsid w:val="00BF0C79"/>
    <w:rsid w:val="00BF0E98"/>
    <w:rsid w:val="00BF1115"/>
    <w:rsid w:val="00BF1466"/>
    <w:rsid w:val="00BF178F"/>
    <w:rsid w:val="00BF1A35"/>
    <w:rsid w:val="00BF1CCE"/>
    <w:rsid w:val="00BF1E65"/>
    <w:rsid w:val="00BF1E82"/>
    <w:rsid w:val="00BF1FA5"/>
    <w:rsid w:val="00BF2E71"/>
    <w:rsid w:val="00BF3335"/>
    <w:rsid w:val="00BF3340"/>
    <w:rsid w:val="00BF33FD"/>
    <w:rsid w:val="00BF386B"/>
    <w:rsid w:val="00BF3AF4"/>
    <w:rsid w:val="00BF3B2C"/>
    <w:rsid w:val="00BF3D55"/>
    <w:rsid w:val="00BF3E55"/>
    <w:rsid w:val="00BF3FF7"/>
    <w:rsid w:val="00BF42B9"/>
    <w:rsid w:val="00BF4500"/>
    <w:rsid w:val="00BF4654"/>
    <w:rsid w:val="00BF47D6"/>
    <w:rsid w:val="00BF4816"/>
    <w:rsid w:val="00BF49C5"/>
    <w:rsid w:val="00BF4A9D"/>
    <w:rsid w:val="00BF4E96"/>
    <w:rsid w:val="00BF4FF6"/>
    <w:rsid w:val="00BF5528"/>
    <w:rsid w:val="00BF5569"/>
    <w:rsid w:val="00BF5A88"/>
    <w:rsid w:val="00BF6052"/>
    <w:rsid w:val="00BF6098"/>
    <w:rsid w:val="00BF60C7"/>
    <w:rsid w:val="00BF63FF"/>
    <w:rsid w:val="00BF643B"/>
    <w:rsid w:val="00BF64C6"/>
    <w:rsid w:val="00BF653F"/>
    <w:rsid w:val="00BF6873"/>
    <w:rsid w:val="00BF69A5"/>
    <w:rsid w:val="00BF6CBD"/>
    <w:rsid w:val="00BF6E5C"/>
    <w:rsid w:val="00BF6FF1"/>
    <w:rsid w:val="00BF701C"/>
    <w:rsid w:val="00BF72AB"/>
    <w:rsid w:val="00BF72B5"/>
    <w:rsid w:val="00BF7497"/>
    <w:rsid w:val="00BF770E"/>
    <w:rsid w:val="00BF7BC9"/>
    <w:rsid w:val="00BF7F78"/>
    <w:rsid w:val="00C003A5"/>
    <w:rsid w:val="00C00552"/>
    <w:rsid w:val="00C00650"/>
    <w:rsid w:val="00C00816"/>
    <w:rsid w:val="00C00891"/>
    <w:rsid w:val="00C00AF5"/>
    <w:rsid w:val="00C00BA8"/>
    <w:rsid w:val="00C00D48"/>
    <w:rsid w:val="00C0100F"/>
    <w:rsid w:val="00C01F38"/>
    <w:rsid w:val="00C02147"/>
    <w:rsid w:val="00C0216B"/>
    <w:rsid w:val="00C02193"/>
    <w:rsid w:val="00C021AE"/>
    <w:rsid w:val="00C0225C"/>
    <w:rsid w:val="00C0255B"/>
    <w:rsid w:val="00C028E8"/>
    <w:rsid w:val="00C02B5D"/>
    <w:rsid w:val="00C02B8C"/>
    <w:rsid w:val="00C02C00"/>
    <w:rsid w:val="00C02E9B"/>
    <w:rsid w:val="00C02F33"/>
    <w:rsid w:val="00C031F9"/>
    <w:rsid w:val="00C0326B"/>
    <w:rsid w:val="00C03503"/>
    <w:rsid w:val="00C0351A"/>
    <w:rsid w:val="00C03684"/>
    <w:rsid w:val="00C03B71"/>
    <w:rsid w:val="00C03BBF"/>
    <w:rsid w:val="00C03C44"/>
    <w:rsid w:val="00C03FC1"/>
    <w:rsid w:val="00C041CC"/>
    <w:rsid w:val="00C04231"/>
    <w:rsid w:val="00C043C9"/>
    <w:rsid w:val="00C046A0"/>
    <w:rsid w:val="00C04927"/>
    <w:rsid w:val="00C04A07"/>
    <w:rsid w:val="00C04AB3"/>
    <w:rsid w:val="00C04FB6"/>
    <w:rsid w:val="00C050C0"/>
    <w:rsid w:val="00C052FF"/>
    <w:rsid w:val="00C0535A"/>
    <w:rsid w:val="00C055F4"/>
    <w:rsid w:val="00C05818"/>
    <w:rsid w:val="00C06951"/>
    <w:rsid w:val="00C07342"/>
    <w:rsid w:val="00C07553"/>
    <w:rsid w:val="00C07559"/>
    <w:rsid w:val="00C077A9"/>
    <w:rsid w:val="00C079C3"/>
    <w:rsid w:val="00C07DCB"/>
    <w:rsid w:val="00C10831"/>
    <w:rsid w:val="00C10BFE"/>
    <w:rsid w:val="00C10C5C"/>
    <w:rsid w:val="00C10F01"/>
    <w:rsid w:val="00C10FEA"/>
    <w:rsid w:val="00C11047"/>
    <w:rsid w:val="00C111A1"/>
    <w:rsid w:val="00C11A09"/>
    <w:rsid w:val="00C11BDF"/>
    <w:rsid w:val="00C12105"/>
    <w:rsid w:val="00C1211B"/>
    <w:rsid w:val="00C125F5"/>
    <w:rsid w:val="00C126A0"/>
    <w:rsid w:val="00C126B6"/>
    <w:rsid w:val="00C126CB"/>
    <w:rsid w:val="00C12714"/>
    <w:rsid w:val="00C12942"/>
    <w:rsid w:val="00C129DE"/>
    <w:rsid w:val="00C12ACC"/>
    <w:rsid w:val="00C12DCE"/>
    <w:rsid w:val="00C12F7F"/>
    <w:rsid w:val="00C13031"/>
    <w:rsid w:val="00C13734"/>
    <w:rsid w:val="00C13859"/>
    <w:rsid w:val="00C13D56"/>
    <w:rsid w:val="00C13E50"/>
    <w:rsid w:val="00C14076"/>
    <w:rsid w:val="00C140E0"/>
    <w:rsid w:val="00C14185"/>
    <w:rsid w:val="00C1434A"/>
    <w:rsid w:val="00C147AC"/>
    <w:rsid w:val="00C14A55"/>
    <w:rsid w:val="00C14E44"/>
    <w:rsid w:val="00C1537A"/>
    <w:rsid w:val="00C1548A"/>
    <w:rsid w:val="00C15677"/>
    <w:rsid w:val="00C15BA3"/>
    <w:rsid w:val="00C15C70"/>
    <w:rsid w:val="00C15D82"/>
    <w:rsid w:val="00C15FB8"/>
    <w:rsid w:val="00C15FBE"/>
    <w:rsid w:val="00C16672"/>
    <w:rsid w:val="00C1668A"/>
    <w:rsid w:val="00C168B2"/>
    <w:rsid w:val="00C16B84"/>
    <w:rsid w:val="00C16CF1"/>
    <w:rsid w:val="00C16E40"/>
    <w:rsid w:val="00C17233"/>
    <w:rsid w:val="00C17453"/>
    <w:rsid w:val="00C175F2"/>
    <w:rsid w:val="00C17942"/>
    <w:rsid w:val="00C1795B"/>
    <w:rsid w:val="00C179C4"/>
    <w:rsid w:val="00C179E6"/>
    <w:rsid w:val="00C17C40"/>
    <w:rsid w:val="00C17C5C"/>
    <w:rsid w:val="00C17CE1"/>
    <w:rsid w:val="00C17FD0"/>
    <w:rsid w:val="00C20097"/>
    <w:rsid w:val="00C20158"/>
    <w:rsid w:val="00C20369"/>
    <w:rsid w:val="00C207EB"/>
    <w:rsid w:val="00C20CBA"/>
    <w:rsid w:val="00C20CEC"/>
    <w:rsid w:val="00C20DAE"/>
    <w:rsid w:val="00C20DC8"/>
    <w:rsid w:val="00C20E20"/>
    <w:rsid w:val="00C21022"/>
    <w:rsid w:val="00C210C2"/>
    <w:rsid w:val="00C21146"/>
    <w:rsid w:val="00C212DD"/>
    <w:rsid w:val="00C215AA"/>
    <w:rsid w:val="00C21775"/>
    <w:rsid w:val="00C21784"/>
    <w:rsid w:val="00C21E30"/>
    <w:rsid w:val="00C22278"/>
    <w:rsid w:val="00C22325"/>
    <w:rsid w:val="00C2245D"/>
    <w:rsid w:val="00C22701"/>
    <w:rsid w:val="00C22D8A"/>
    <w:rsid w:val="00C22EEC"/>
    <w:rsid w:val="00C22F6C"/>
    <w:rsid w:val="00C23006"/>
    <w:rsid w:val="00C23073"/>
    <w:rsid w:val="00C23090"/>
    <w:rsid w:val="00C2333D"/>
    <w:rsid w:val="00C23713"/>
    <w:rsid w:val="00C237EE"/>
    <w:rsid w:val="00C23B06"/>
    <w:rsid w:val="00C23CF6"/>
    <w:rsid w:val="00C23E99"/>
    <w:rsid w:val="00C2404A"/>
    <w:rsid w:val="00C24160"/>
    <w:rsid w:val="00C244D8"/>
    <w:rsid w:val="00C246D6"/>
    <w:rsid w:val="00C24DAE"/>
    <w:rsid w:val="00C25316"/>
    <w:rsid w:val="00C2545A"/>
    <w:rsid w:val="00C25F3D"/>
    <w:rsid w:val="00C25F7F"/>
    <w:rsid w:val="00C26185"/>
    <w:rsid w:val="00C26493"/>
    <w:rsid w:val="00C266A0"/>
    <w:rsid w:val="00C26728"/>
    <w:rsid w:val="00C269F2"/>
    <w:rsid w:val="00C26BB6"/>
    <w:rsid w:val="00C26C2B"/>
    <w:rsid w:val="00C27466"/>
    <w:rsid w:val="00C27697"/>
    <w:rsid w:val="00C27C9F"/>
    <w:rsid w:val="00C27D7E"/>
    <w:rsid w:val="00C30A93"/>
    <w:rsid w:val="00C30ABC"/>
    <w:rsid w:val="00C30B7F"/>
    <w:rsid w:val="00C30BD1"/>
    <w:rsid w:val="00C30FED"/>
    <w:rsid w:val="00C310CD"/>
    <w:rsid w:val="00C31EE5"/>
    <w:rsid w:val="00C320F2"/>
    <w:rsid w:val="00C322C9"/>
    <w:rsid w:val="00C322E5"/>
    <w:rsid w:val="00C3248F"/>
    <w:rsid w:val="00C32BC5"/>
    <w:rsid w:val="00C32D7D"/>
    <w:rsid w:val="00C32E68"/>
    <w:rsid w:val="00C3312E"/>
    <w:rsid w:val="00C3348B"/>
    <w:rsid w:val="00C33749"/>
    <w:rsid w:val="00C33759"/>
    <w:rsid w:val="00C33797"/>
    <w:rsid w:val="00C33B9A"/>
    <w:rsid w:val="00C33BCD"/>
    <w:rsid w:val="00C34010"/>
    <w:rsid w:val="00C345B5"/>
    <w:rsid w:val="00C34634"/>
    <w:rsid w:val="00C3474B"/>
    <w:rsid w:val="00C34A6C"/>
    <w:rsid w:val="00C34AAE"/>
    <w:rsid w:val="00C34B7B"/>
    <w:rsid w:val="00C3500A"/>
    <w:rsid w:val="00C35054"/>
    <w:rsid w:val="00C35086"/>
    <w:rsid w:val="00C3510E"/>
    <w:rsid w:val="00C353D3"/>
    <w:rsid w:val="00C358B7"/>
    <w:rsid w:val="00C35AC4"/>
    <w:rsid w:val="00C35B58"/>
    <w:rsid w:val="00C35E80"/>
    <w:rsid w:val="00C35FA6"/>
    <w:rsid w:val="00C3635F"/>
    <w:rsid w:val="00C364C5"/>
    <w:rsid w:val="00C366E0"/>
    <w:rsid w:val="00C36739"/>
    <w:rsid w:val="00C368B9"/>
    <w:rsid w:val="00C36F1C"/>
    <w:rsid w:val="00C37A99"/>
    <w:rsid w:val="00C37F12"/>
    <w:rsid w:val="00C37F2D"/>
    <w:rsid w:val="00C400D0"/>
    <w:rsid w:val="00C40489"/>
    <w:rsid w:val="00C40560"/>
    <w:rsid w:val="00C40676"/>
    <w:rsid w:val="00C409F6"/>
    <w:rsid w:val="00C40D00"/>
    <w:rsid w:val="00C41190"/>
    <w:rsid w:val="00C414A0"/>
    <w:rsid w:val="00C41B23"/>
    <w:rsid w:val="00C41B5C"/>
    <w:rsid w:val="00C41C47"/>
    <w:rsid w:val="00C41DFF"/>
    <w:rsid w:val="00C42284"/>
    <w:rsid w:val="00C427B5"/>
    <w:rsid w:val="00C42994"/>
    <w:rsid w:val="00C42A1F"/>
    <w:rsid w:val="00C42B0F"/>
    <w:rsid w:val="00C42B2F"/>
    <w:rsid w:val="00C42DB0"/>
    <w:rsid w:val="00C43051"/>
    <w:rsid w:val="00C43156"/>
    <w:rsid w:val="00C43293"/>
    <w:rsid w:val="00C43A0A"/>
    <w:rsid w:val="00C43B58"/>
    <w:rsid w:val="00C43B99"/>
    <w:rsid w:val="00C43BFE"/>
    <w:rsid w:val="00C43DE6"/>
    <w:rsid w:val="00C43E0F"/>
    <w:rsid w:val="00C44018"/>
    <w:rsid w:val="00C442B6"/>
    <w:rsid w:val="00C449DE"/>
    <w:rsid w:val="00C44ABB"/>
    <w:rsid w:val="00C45077"/>
    <w:rsid w:val="00C4509C"/>
    <w:rsid w:val="00C45421"/>
    <w:rsid w:val="00C454D4"/>
    <w:rsid w:val="00C45545"/>
    <w:rsid w:val="00C45920"/>
    <w:rsid w:val="00C45B73"/>
    <w:rsid w:val="00C45C2F"/>
    <w:rsid w:val="00C45F38"/>
    <w:rsid w:val="00C4608B"/>
    <w:rsid w:val="00C4624E"/>
    <w:rsid w:val="00C46606"/>
    <w:rsid w:val="00C4671E"/>
    <w:rsid w:val="00C4686C"/>
    <w:rsid w:val="00C468D5"/>
    <w:rsid w:val="00C46AF2"/>
    <w:rsid w:val="00C46C1A"/>
    <w:rsid w:val="00C46CDF"/>
    <w:rsid w:val="00C46DCA"/>
    <w:rsid w:val="00C46EB8"/>
    <w:rsid w:val="00C47193"/>
    <w:rsid w:val="00C471B9"/>
    <w:rsid w:val="00C47993"/>
    <w:rsid w:val="00C47C63"/>
    <w:rsid w:val="00C50262"/>
    <w:rsid w:val="00C50551"/>
    <w:rsid w:val="00C50694"/>
    <w:rsid w:val="00C508C5"/>
    <w:rsid w:val="00C50AB2"/>
    <w:rsid w:val="00C50C30"/>
    <w:rsid w:val="00C50E2D"/>
    <w:rsid w:val="00C510E8"/>
    <w:rsid w:val="00C513A8"/>
    <w:rsid w:val="00C513AD"/>
    <w:rsid w:val="00C513F3"/>
    <w:rsid w:val="00C5172F"/>
    <w:rsid w:val="00C51B4B"/>
    <w:rsid w:val="00C51B4F"/>
    <w:rsid w:val="00C51DB6"/>
    <w:rsid w:val="00C51FDE"/>
    <w:rsid w:val="00C52079"/>
    <w:rsid w:val="00C527E5"/>
    <w:rsid w:val="00C53460"/>
    <w:rsid w:val="00C53477"/>
    <w:rsid w:val="00C5355A"/>
    <w:rsid w:val="00C5391F"/>
    <w:rsid w:val="00C5393E"/>
    <w:rsid w:val="00C53977"/>
    <w:rsid w:val="00C53DCD"/>
    <w:rsid w:val="00C54070"/>
    <w:rsid w:val="00C5438D"/>
    <w:rsid w:val="00C545D9"/>
    <w:rsid w:val="00C54BEA"/>
    <w:rsid w:val="00C54D15"/>
    <w:rsid w:val="00C55112"/>
    <w:rsid w:val="00C5556E"/>
    <w:rsid w:val="00C55629"/>
    <w:rsid w:val="00C55A24"/>
    <w:rsid w:val="00C55BEB"/>
    <w:rsid w:val="00C564CB"/>
    <w:rsid w:val="00C5698E"/>
    <w:rsid w:val="00C56C9D"/>
    <w:rsid w:val="00C56CE0"/>
    <w:rsid w:val="00C5710C"/>
    <w:rsid w:val="00C572DE"/>
    <w:rsid w:val="00C57377"/>
    <w:rsid w:val="00C574BF"/>
    <w:rsid w:val="00C5758D"/>
    <w:rsid w:val="00C575D8"/>
    <w:rsid w:val="00C5763C"/>
    <w:rsid w:val="00C60206"/>
    <w:rsid w:val="00C602B9"/>
    <w:rsid w:val="00C604D4"/>
    <w:rsid w:val="00C604DC"/>
    <w:rsid w:val="00C609ED"/>
    <w:rsid w:val="00C60B8C"/>
    <w:rsid w:val="00C60BCA"/>
    <w:rsid w:val="00C60CD5"/>
    <w:rsid w:val="00C60FEC"/>
    <w:rsid w:val="00C610A7"/>
    <w:rsid w:val="00C6163F"/>
    <w:rsid w:val="00C61D17"/>
    <w:rsid w:val="00C61F65"/>
    <w:rsid w:val="00C6231D"/>
    <w:rsid w:val="00C62D57"/>
    <w:rsid w:val="00C63094"/>
    <w:rsid w:val="00C63482"/>
    <w:rsid w:val="00C635F3"/>
    <w:rsid w:val="00C6374A"/>
    <w:rsid w:val="00C63762"/>
    <w:rsid w:val="00C637EF"/>
    <w:rsid w:val="00C638DD"/>
    <w:rsid w:val="00C63F92"/>
    <w:rsid w:val="00C6443A"/>
    <w:rsid w:val="00C646DB"/>
    <w:rsid w:val="00C64B7B"/>
    <w:rsid w:val="00C64DDF"/>
    <w:rsid w:val="00C64FA6"/>
    <w:rsid w:val="00C64FBF"/>
    <w:rsid w:val="00C652AC"/>
    <w:rsid w:val="00C6530D"/>
    <w:rsid w:val="00C6531B"/>
    <w:rsid w:val="00C6544D"/>
    <w:rsid w:val="00C6546D"/>
    <w:rsid w:val="00C65505"/>
    <w:rsid w:val="00C656B5"/>
    <w:rsid w:val="00C6573B"/>
    <w:rsid w:val="00C65930"/>
    <w:rsid w:val="00C65A63"/>
    <w:rsid w:val="00C65A82"/>
    <w:rsid w:val="00C65A98"/>
    <w:rsid w:val="00C65BC6"/>
    <w:rsid w:val="00C65C21"/>
    <w:rsid w:val="00C65FBD"/>
    <w:rsid w:val="00C6634B"/>
    <w:rsid w:val="00C66A09"/>
    <w:rsid w:val="00C66FC1"/>
    <w:rsid w:val="00C67146"/>
    <w:rsid w:val="00C67318"/>
    <w:rsid w:val="00C67501"/>
    <w:rsid w:val="00C67758"/>
    <w:rsid w:val="00C679A5"/>
    <w:rsid w:val="00C67AAB"/>
    <w:rsid w:val="00C67FE1"/>
    <w:rsid w:val="00C70082"/>
    <w:rsid w:val="00C701F4"/>
    <w:rsid w:val="00C70250"/>
    <w:rsid w:val="00C70342"/>
    <w:rsid w:val="00C704A4"/>
    <w:rsid w:val="00C707EA"/>
    <w:rsid w:val="00C707FA"/>
    <w:rsid w:val="00C70A5C"/>
    <w:rsid w:val="00C70BC8"/>
    <w:rsid w:val="00C70BFA"/>
    <w:rsid w:val="00C70C0D"/>
    <w:rsid w:val="00C7176F"/>
    <w:rsid w:val="00C7192B"/>
    <w:rsid w:val="00C71CC7"/>
    <w:rsid w:val="00C72141"/>
    <w:rsid w:val="00C7218E"/>
    <w:rsid w:val="00C72284"/>
    <w:rsid w:val="00C7241B"/>
    <w:rsid w:val="00C72554"/>
    <w:rsid w:val="00C727F7"/>
    <w:rsid w:val="00C729ED"/>
    <w:rsid w:val="00C72B92"/>
    <w:rsid w:val="00C72C59"/>
    <w:rsid w:val="00C7305F"/>
    <w:rsid w:val="00C7325E"/>
    <w:rsid w:val="00C733C2"/>
    <w:rsid w:val="00C735B9"/>
    <w:rsid w:val="00C73C46"/>
    <w:rsid w:val="00C7452A"/>
    <w:rsid w:val="00C7473F"/>
    <w:rsid w:val="00C749C9"/>
    <w:rsid w:val="00C74A3C"/>
    <w:rsid w:val="00C74A9D"/>
    <w:rsid w:val="00C74C29"/>
    <w:rsid w:val="00C751D1"/>
    <w:rsid w:val="00C75518"/>
    <w:rsid w:val="00C75896"/>
    <w:rsid w:val="00C75D25"/>
    <w:rsid w:val="00C75E5F"/>
    <w:rsid w:val="00C75F7E"/>
    <w:rsid w:val="00C76114"/>
    <w:rsid w:val="00C766CB"/>
    <w:rsid w:val="00C768B8"/>
    <w:rsid w:val="00C76901"/>
    <w:rsid w:val="00C76E25"/>
    <w:rsid w:val="00C76EAE"/>
    <w:rsid w:val="00C7714F"/>
    <w:rsid w:val="00C77152"/>
    <w:rsid w:val="00C77366"/>
    <w:rsid w:val="00C77627"/>
    <w:rsid w:val="00C777AF"/>
    <w:rsid w:val="00C778C1"/>
    <w:rsid w:val="00C77A33"/>
    <w:rsid w:val="00C77A55"/>
    <w:rsid w:val="00C77AC0"/>
    <w:rsid w:val="00C77B1D"/>
    <w:rsid w:val="00C77C06"/>
    <w:rsid w:val="00C77FA9"/>
    <w:rsid w:val="00C8041C"/>
    <w:rsid w:val="00C80509"/>
    <w:rsid w:val="00C80588"/>
    <w:rsid w:val="00C8067D"/>
    <w:rsid w:val="00C8078B"/>
    <w:rsid w:val="00C80FD1"/>
    <w:rsid w:val="00C8106E"/>
    <w:rsid w:val="00C811CD"/>
    <w:rsid w:val="00C8152F"/>
    <w:rsid w:val="00C81A3B"/>
    <w:rsid w:val="00C81A4D"/>
    <w:rsid w:val="00C81B9C"/>
    <w:rsid w:val="00C81D76"/>
    <w:rsid w:val="00C8234F"/>
    <w:rsid w:val="00C823F2"/>
    <w:rsid w:val="00C82480"/>
    <w:rsid w:val="00C826BE"/>
    <w:rsid w:val="00C8280A"/>
    <w:rsid w:val="00C82D1F"/>
    <w:rsid w:val="00C833D1"/>
    <w:rsid w:val="00C834F0"/>
    <w:rsid w:val="00C8396A"/>
    <w:rsid w:val="00C83AF2"/>
    <w:rsid w:val="00C83B15"/>
    <w:rsid w:val="00C83B86"/>
    <w:rsid w:val="00C84400"/>
    <w:rsid w:val="00C84B53"/>
    <w:rsid w:val="00C84C56"/>
    <w:rsid w:val="00C8528B"/>
    <w:rsid w:val="00C852A6"/>
    <w:rsid w:val="00C85630"/>
    <w:rsid w:val="00C85774"/>
    <w:rsid w:val="00C859CC"/>
    <w:rsid w:val="00C85A2E"/>
    <w:rsid w:val="00C85A54"/>
    <w:rsid w:val="00C85AF4"/>
    <w:rsid w:val="00C85C4B"/>
    <w:rsid w:val="00C861A6"/>
    <w:rsid w:val="00C862BB"/>
    <w:rsid w:val="00C8656D"/>
    <w:rsid w:val="00C8670F"/>
    <w:rsid w:val="00C86A64"/>
    <w:rsid w:val="00C86CAD"/>
    <w:rsid w:val="00C86CC9"/>
    <w:rsid w:val="00C86FD9"/>
    <w:rsid w:val="00C8717D"/>
    <w:rsid w:val="00C872E1"/>
    <w:rsid w:val="00C876B2"/>
    <w:rsid w:val="00C879EE"/>
    <w:rsid w:val="00C87A3F"/>
    <w:rsid w:val="00C87B97"/>
    <w:rsid w:val="00C90135"/>
    <w:rsid w:val="00C90189"/>
    <w:rsid w:val="00C90337"/>
    <w:rsid w:val="00C90379"/>
    <w:rsid w:val="00C904D6"/>
    <w:rsid w:val="00C905C7"/>
    <w:rsid w:val="00C90B69"/>
    <w:rsid w:val="00C911E1"/>
    <w:rsid w:val="00C91A09"/>
    <w:rsid w:val="00C91A7B"/>
    <w:rsid w:val="00C92451"/>
    <w:rsid w:val="00C92804"/>
    <w:rsid w:val="00C92CCE"/>
    <w:rsid w:val="00C92EBD"/>
    <w:rsid w:val="00C9320F"/>
    <w:rsid w:val="00C93219"/>
    <w:rsid w:val="00C93A92"/>
    <w:rsid w:val="00C93ADA"/>
    <w:rsid w:val="00C93EFA"/>
    <w:rsid w:val="00C940E7"/>
    <w:rsid w:val="00C9412E"/>
    <w:rsid w:val="00C943DB"/>
    <w:rsid w:val="00C94657"/>
    <w:rsid w:val="00C946DB"/>
    <w:rsid w:val="00C94955"/>
    <w:rsid w:val="00C94AE9"/>
    <w:rsid w:val="00C950E1"/>
    <w:rsid w:val="00C9516E"/>
    <w:rsid w:val="00C9550E"/>
    <w:rsid w:val="00C955E8"/>
    <w:rsid w:val="00C95668"/>
    <w:rsid w:val="00C95800"/>
    <w:rsid w:val="00C959DF"/>
    <w:rsid w:val="00C95AE1"/>
    <w:rsid w:val="00C95B42"/>
    <w:rsid w:val="00C95EBC"/>
    <w:rsid w:val="00C96048"/>
    <w:rsid w:val="00C9659D"/>
    <w:rsid w:val="00C965B2"/>
    <w:rsid w:val="00C96C86"/>
    <w:rsid w:val="00C96DF2"/>
    <w:rsid w:val="00C97183"/>
    <w:rsid w:val="00C97427"/>
    <w:rsid w:val="00C97537"/>
    <w:rsid w:val="00C979C5"/>
    <w:rsid w:val="00C97F74"/>
    <w:rsid w:val="00C97F8D"/>
    <w:rsid w:val="00CA00D8"/>
    <w:rsid w:val="00CA0157"/>
    <w:rsid w:val="00CA05B3"/>
    <w:rsid w:val="00CA0DB9"/>
    <w:rsid w:val="00CA10B1"/>
    <w:rsid w:val="00CA148B"/>
    <w:rsid w:val="00CA1947"/>
    <w:rsid w:val="00CA1A4D"/>
    <w:rsid w:val="00CA1DD8"/>
    <w:rsid w:val="00CA202C"/>
    <w:rsid w:val="00CA2264"/>
    <w:rsid w:val="00CA22A2"/>
    <w:rsid w:val="00CA2374"/>
    <w:rsid w:val="00CA2487"/>
    <w:rsid w:val="00CA2717"/>
    <w:rsid w:val="00CA2A90"/>
    <w:rsid w:val="00CA2AFC"/>
    <w:rsid w:val="00CA2C80"/>
    <w:rsid w:val="00CA2E2B"/>
    <w:rsid w:val="00CA2F8A"/>
    <w:rsid w:val="00CA3682"/>
    <w:rsid w:val="00CA36EE"/>
    <w:rsid w:val="00CA383E"/>
    <w:rsid w:val="00CA396D"/>
    <w:rsid w:val="00CA3BE7"/>
    <w:rsid w:val="00CA3F97"/>
    <w:rsid w:val="00CA3FF1"/>
    <w:rsid w:val="00CA467D"/>
    <w:rsid w:val="00CA47C7"/>
    <w:rsid w:val="00CA4CD9"/>
    <w:rsid w:val="00CA4D54"/>
    <w:rsid w:val="00CA4D76"/>
    <w:rsid w:val="00CA4F92"/>
    <w:rsid w:val="00CA4FD1"/>
    <w:rsid w:val="00CA54DE"/>
    <w:rsid w:val="00CA550F"/>
    <w:rsid w:val="00CA563E"/>
    <w:rsid w:val="00CA5666"/>
    <w:rsid w:val="00CA59F2"/>
    <w:rsid w:val="00CA5A85"/>
    <w:rsid w:val="00CA5BB7"/>
    <w:rsid w:val="00CA5DA7"/>
    <w:rsid w:val="00CA6094"/>
    <w:rsid w:val="00CA6FCF"/>
    <w:rsid w:val="00CA71C2"/>
    <w:rsid w:val="00CA7297"/>
    <w:rsid w:val="00CA7301"/>
    <w:rsid w:val="00CA796E"/>
    <w:rsid w:val="00CA7A89"/>
    <w:rsid w:val="00CA7CD5"/>
    <w:rsid w:val="00CA7E99"/>
    <w:rsid w:val="00CA7FD8"/>
    <w:rsid w:val="00CB017E"/>
    <w:rsid w:val="00CB0AAA"/>
    <w:rsid w:val="00CB0C1B"/>
    <w:rsid w:val="00CB0EAA"/>
    <w:rsid w:val="00CB12EE"/>
    <w:rsid w:val="00CB15B4"/>
    <w:rsid w:val="00CB1747"/>
    <w:rsid w:val="00CB187C"/>
    <w:rsid w:val="00CB1935"/>
    <w:rsid w:val="00CB1C79"/>
    <w:rsid w:val="00CB1DC2"/>
    <w:rsid w:val="00CB1EDC"/>
    <w:rsid w:val="00CB217A"/>
    <w:rsid w:val="00CB2680"/>
    <w:rsid w:val="00CB3139"/>
    <w:rsid w:val="00CB3248"/>
    <w:rsid w:val="00CB3284"/>
    <w:rsid w:val="00CB35A0"/>
    <w:rsid w:val="00CB3756"/>
    <w:rsid w:val="00CB3C23"/>
    <w:rsid w:val="00CB3E76"/>
    <w:rsid w:val="00CB406E"/>
    <w:rsid w:val="00CB4273"/>
    <w:rsid w:val="00CB42B3"/>
    <w:rsid w:val="00CB45B3"/>
    <w:rsid w:val="00CB477D"/>
    <w:rsid w:val="00CB479B"/>
    <w:rsid w:val="00CB4A37"/>
    <w:rsid w:val="00CB4DFE"/>
    <w:rsid w:val="00CB4FC8"/>
    <w:rsid w:val="00CB50D4"/>
    <w:rsid w:val="00CB51D2"/>
    <w:rsid w:val="00CB567B"/>
    <w:rsid w:val="00CB5BEE"/>
    <w:rsid w:val="00CB5CE2"/>
    <w:rsid w:val="00CB5EBF"/>
    <w:rsid w:val="00CB5FB2"/>
    <w:rsid w:val="00CB606B"/>
    <w:rsid w:val="00CB60BC"/>
    <w:rsid w:val="00CB63D6"/>
    <w:rsid w:val="00CB6577"/>
    <w:rsid w:val="00CB68F4"/>
    <w:rsid w:val="00CB6A1F"/>
    <w:rsid w:val="00CB6A51"/>
    <w:rsid w:val="00CB6DC2"/>
    <w:rsid w:val="00CB71EB"/>
    <w:rsid w:val="00CB75E1"/>
    <w:rsid w:val="00CB76D1"/>
    <w:rsid w:val="00CB7A67"/>
    <w:rsid w:val="00CB7D73"/>
    <w:rsid w:val="00CB7DA8"/>
    <w:rsid w:val="00CB7E15"/>
    <w:rsid w:val="00CB7EBF"/>
    <w:rsid w:val="00CC028B"/>
    <w:rsid w:val="00CC05C4"/>
    <w:rsid w:val="00CC063C"/>
    <w:rsid w:val="00CC0763"/>
    <w:rsid w:val="00CC0B03"/>
    <w:rsid w:val="00CC0E20"/>
    <w:rsid w:val="00CC1071"/>
    <w:rsid w:val="00CC10F9"/>
    <w:rsid w:val="00CC1155"/>
    <w:rsid w:val="00CC11DD"/>
    <w:rsid w:val="00CC12A1"/>
    <w:rsid w:val="00CC1469"/>
    <w:rsid w:val="00CC1A3B"/>
    <w:rsid w:val="00CC1B65"/>
    <w:rsid w:val="00CC1C1A"/>
    <w:rsid w:val="00CC1D82"/>
    <w:rsid w:val="00CC1D8A"/>
    <w:rsid w:val="00CC2021"/>
    <w:rsid w:val="00CC296B"/>
    <w:rsid w:val="00CC2E51"/>
    <w:rsid w:val="00CC2E9D"/>
    <w:rsid w:val="00CC3117"/>
    <w:rsid w:val="00CC342D"/>
    <w:rsid w:val="00CC369B"/>
    <w:rsid w:val="00CC37A4"/>
    <w:rsid w:val="00CC41DD"/>
    <w:rsid w:val="00CC46AA"/>
    <w:rsid w:val="00CC4B60"/>
    <w:rsid w:val="00CC4D5B"/>
    <w:rsid w:val="00CC4EAF"/>
    <w:rsid w:val="00CC5665"/>
    <w:rsid w:val="00CC5A69"/>
    <w:rsid w:val="00CC6682"/>
    <w:rsid w:val="00CC66E2"/>
    <w:rsid w:val="00CC6977"/>
    <w:rsid w:val="00CC6A6C"/>
    <w:rsid w:val="00CC6C2C"/>
    <w:rsid w:val="00CC6C7B"/>
    <w:rsid w:val="00CC71AB"/>
    <w:rsid w:val="00CC7681"/>
    <w:rsid w:val="00CC7C47"/>
    <w:rsid w:val="00CC7C7F"/>
    <w:rsid w:val="00CD00E4"/>
    <w:rsid w:val="00CD0625"/>
    <w:rsid w:val="00CD08C6"/>
    <w:rsid w:val="00CD0D77"/>
    <w:rsid w:val="00CD0DBD"/>
    <w:rsid w:val="00CD0E71"/>
    <w:rsid w:val="00CD0FB3"/>
    <w:rsid w:val="00CD1071"/>
    <w:rsid w:val="00CD139C"/>
    <w:rsid w:val="00CD1B95"/>
    <w:rsid w:val="00CD1BDF"/>
    <w:rsid w:val="00CD1E04"/>
    <w:rsid w:val="00CD20CC"/>
    <w:rsid w:val="00CD2313"/>
    <w:rsid w:val="00CD25F6"/>
    <w:rsid w:val="00CD265B"/>
    <w:rsid w:val="00CD2A0D"/>
    <w:rsid w:val="00CD2B5B"/>
    <w:rsid w:val="00CD2F7B"/>
    <w:rsid w:val="00CD306D"/>
    <w:rsid w:val="00CD3336"/>
    <w:rsid w:val="00CD3593"/>
    <w:rsid w:val="00CD3604"/>
    <w:rsid w:val="00CD3909"/>
    <w:rsid w:val="00CD435D"/>
    <w:rsid w:val="00CD498F"/>
    <w:rsid w:val="00CD4B8D"/>
    <w:rsid w:val="00CD4BB1"/>
    <w:rsid w:val="00CD4EB7"/>
    <w:rsid w:val="00CD5175"/>
    <w:rsid w:val="00CD550C"/>
    <w:rsid w:val="00CD5CB0"/>
    <w:rsid w:val="00CD5E5D"/>
    <w:rsid w:val="00CD6220"/>
    <w:rsid w:val="00CD62C6"/>
    <w:rsid w:val="00CD6440"/>
    <w:rsid w:val="00CD65E9"/>
    <w:rsid w:val="00CD685F"/>
    <w:rsid w:val="00CD6939"/>
    <w:rsid w:val="00CD69F0"/>
    <w:rsid w:val="00CD6BD0"/>
    <w:rsid w:val="00CD6F3E"/>
    <w:rsid w:val="00CD756E"/>
    <w:rsid w:val="00CD76FE"/>
    <w:rsid w:val="00CD77EA"/>
    <w:rsid w:val="00CD7D04"/>
    <w:rsid w:val="00CE07C6"/>
    <w:rsid w:val="00CE09BB"/>
    <w:rsid w:val="00CE09C2"/>
    <w:rsid w:val="00CE0A59"/>
    <w:rsid w:val="00CE0A95"/>
    <w:rsid w:val="00CE0CE4"/>
    <w:rsid w:val="00CE0D8E"/>
    <w:rsid w:val="00CE0E56"/>
    <w:rsid w:val="00CE10A4"/>
    <w:rsid w:val="00CE1568"/>
    <w:rsid w:val="00CE17DD"/>
    <w:rsid w:val="00CE1A52"/>
    <w:rsid w:val="00CE1BEC"/>
    <w:rsid w:val="00CE1F85"/>
    <w:rsid w:val="00CE1FF3"/>
    <w:rsid w:val="00CE219F"/>
    <w:rsid w:val="00CE22BE"/>
    <w:rsid w:val="00CE2448"/>
    <w:rsid w:val="00CE2597"/>
    <w:rsid w:val="00CE2FF0"/>
    <w:rsid w:val="00CE32C6"/>
    <w:rsid w:val="00CE32F6"/>
    <w:rsid w:val="00CE3322"/>
    <w:rsid w:val="00CE3428"/>
    <w:rsid w:val="00CE3773"/>
    <w:rsid w:val="00CE4018"/>
    <w:rsid w:val="00CE420A"/>
    <w:rsid w:val="00CE44A7"/>
    <w:rsid w:val="00CE4780"/>
    <w:rsid w:val="00CE48B7"/>
    <w:rsid w:val="00CE4A94"/>
    <w:rsid w:val="00CE4B3F"/>
    <w:rsid w:val="00CE4D15"/>
    <w:rsid w:val="00CE4D21"/>
    <w:rsid w:val="00CE5087"/>
    <w:rsid w:val="00CE5938"/>
    <w:rsid w:val="00CE5BC9"/>
    <w:rsid w:val="00CE605A"/>
    <w:rsid w:val="00CE60D0"/>
    <w:rsid w:val="00CE60FB"/>
    <w:rsid w:val="00CE6922"/>
    <w:rsid w:val="00CE6D32"/>
    <w:rsid w:val="00CE720B"/>
    <w:rsid w:val="00CE7473"/>
    <w:rsid w:val="00CE7505"/>
    <w:rsid w:val="00CE7642"/>
    <w:rsid w:val="00CE7927"/>
    <w:rsid w:val="00CE7BA1"/>
    <w:rsid w:val="00CE7F23"/>
    <w:rsid w:val="00CE7FCD"/>
    <w:rsid w:val="00CF01CF"/>
    <w:rsid w:val="00CF04B5"/>
    <w:rsid w:val="00CF05D5"/>
    <w:rsid w:val="00CF0834"/>
    <w:rsid w:val="00CF09E0"/>
    <w:rsid w:val="00CF0E55"/>
    <w:rsid w:val="00CF0FBD"/>
    <w:rsid w:val="00CF13CB"/>
    <w:rsid w:val="00CF17A6"/>
    <w:rsid w:val="00CF18D2"/>
    <w:rsid w:val="00CF1941"/>
    <w:rsid w:val="00CF2059"/>
    <w:rsid w:val="00CF22A7"/>
    <w:rsid w:val="00CF263B"/>
    <w:rsid w:val="00CF294E"/>
    <w:rsid w:val="00CF29B6"/>
    <w:rsid w:val="00CF2A1A"/>
    <w:rsid w:val="00CF2ACE"/>
    <w:rsid w:val="00CF2BAE"/>
    <w:rsid w:val="00CF2C34"/>
    <w:rsid w:val="00CF2D87"/>
    <w:rsid w:val="00CF2DC7"/>
    <w:rsid w:val="00CF3446"/>
    <w:rsid w:val="00CF3507"/>
    <w:rsid w:val="00CF3526"/>
    <w:rsid w:val="00CF3A4C"/>
    <w:rsid w:val="00CF3E93"/>
    <w:rsid w:val="00CF465D"/>
    <w:rsid w:val="00CF5012"/>
    <w:rsid w:val="00CF5043"/>
    <w:rsid w:val="00CF5849"/>
    <w:rsid w:val="00CF5AA9"/>
    <w:rsid w:val="00CF5E96"/>
    <w:rsid w:val="00CF6038"/>
    <w:rsid w:val="00CF692D"/>
    <w:rsid w:val="00CF6BD3"/>
    <w:rsid w:val="00CF6C01"/>
    <w:rsid w:val="00CF6E9F"/>
    <w:rsid w:val="00CF6F40"/>
    <w:rsid w:val="00CF6FBD"/>
    <w:rsid w:val="00CF7110"/>
    <w:rsid w:val="00CF7220"/>
    <w:rsid w:val="00CF722A"/>
    <w:rsid w:val="00CF739C"/>
    <w:rsid w:val="00CF7630"/>
    <w:rsid w:val="00CF7788"/>
    <w:rsid w:val="00CF77DA"/>
    <w:rsid w:val="00CF7BBE"/>
    <w:rsid w:val="00CF7C70"/>
    <w:rsid w:val="00D00755"/>
    <w:rsid w:val="00D0097A"/>
    <w:rsid w:val="00D00D39"/>
    <w:rsid w:val="00D00D66"/>
    <w:rsid w:val="00D00D87"/>
    <w:rsid w:val="00D0155A"/>
    <w:rsid w:val="00D018AA"/>
    <w:rsid w:val="00D01907"/>
    <w:rsid w:val="00D01BDD"/>
    <w:rsid w:val="00D01FC0"/>
    <w:rsid w:val="00D020BF"/>
    <w:rsid w:val="00D02619"/>
    <w:rsid w:val="00D027CA"/>
    <w:rsid w:val="00D02945"/>
    <w:rsid w:val="00D02B57"/>
    <w:rsid w:val="00D02CE3"/>
    <w:rsid w:val="00D032E1"/>
    <w:rsid w:val="00D033A4"/>
    <w:rsid w:val="00D034D3"/>
    <w:rsid w:val="00D034F1"/>
    <w:rsid w:val="00D036D7"/>
    <w:rsid w:val="00D03AEC"/>
    <w:rsid w:val="00D04478"/>
    <w:rsid w:val="00D04546"/>
    <w:rsid w:val="00D046B5"/>
    <w:rsid w:val="00D04A4E"/>
    <w:rsid w:val="00D04AE8"/>
    <w:rsid w:val="00D052AB"/>
    <w:rsid w:val="00D0533D"/>
    <w:rsid w:val="00D054A7"/>
    <w:rsid w:val="00D054DD"/>
    <w:rsid w:val="00D05608"/>
    <w:rsid w:val="00D05677"/>
    <w:rsid w:val="00D05800"/>
    <w:rsid w:val="00D05BF2"/>
    <w:rsid w:val="00D05C53"/>
    <w:rsid w:val="00D05C96"/>
    <w:rsid w:val="00D05D11"/>
    <w:rsid w:val="00D061B4"/>
    <w:rsid w:val="00D0637F"/>
    <w:rsid w:val="00D0662D"/>
    <w:rsid w:val="00D06785"/>
    <w:rsid w:val="00D067B0"/>
    <w:rsid w:val="00D06AF1"/>
    <w:rsid w:val="00D06AFE"/>
    <w:rsid w:val="00D07498"/>
    <w:rsid w:val="00D076BB"/>
    <w:rsid w:val="00D0776C"/>
    <w:rsid w:val="00D077AC"/>
    <w:rsid w:val="00D077F3"/>
    <w:rsid w:val="00D079B6"/>
    <w:rsid w:val="00D07C23"/>
    <w:rsid w:val="00D07C57"/>
    <w:rsid w:val="00D10061"/>
    <w:rsid w:val="00D104DD"/>
    <w:rsid w:val="00D104E3"/>
    <w:rsid w:val="00D10891"/>
    <w:rsid w:val="00D1089C"/>
    <w:rsid w:val="00D1096F"/>
    <w:rsid w:val="00D10A4D"/>
    <w:rsid w:val="00D10BE4"/>
    <w:rsid w:val="00D10BF8"/>
    <w:rsid w:val="00D10C04"/>
    <w:rsid w:val="00D11029"/>
    <w:rsid w:val="00D11131"/>
    <w:rsid w:val="00D1124A"/>
    <w:rsid w:val="00D11254"/>
    <w:rsid w:val="00D1130F"/>
    <w:rsid w:val="00D11557"/>
    <w:rsid w:val="00D1161C"/>
    <w:rsid w:val="00D11784"/>
    <w:rsid w:val="00D11924"/>
    <w:rsid w:val="00D11C2D"/>
    <w:rsid w:val="00D11D15"/>
    <w:rsid w:val="00D120DA"/>
    <w:rsid w:val="00D121FA"/>
    <w:rsid w:val="00D1221E"/>
    <w:rsid w:val="00D1266F"/>
    <w:rsid w:val="00D1272F"/>
    <w:rsid w:val="00D12B98"/>
    <w:rsid w:val="00D12CAD"/>
    <w:rsid w:val="00D12F5C"/>
    <w:rsid w:val="00D12FC5"/>
    <w:rsid w:val="00D13021"/>
    <w:rsid w:val="00D13125"/>
    <w:rsid w:val="00D13AD2"/>
    <w:rsid w:val="00D13B7E"/>
    <w:rsid w:val="00D13B91"/>
    <w:rsid w:val="00D13CCB"/>
    <w:rsid w:val="00D13DB0"/>
    <w:rsid w:val="00D13E64"/>
    <w:rsid w:val="00D13FFE"/>
    <w:rsid w:val="00D1409D"/>
    <w:rsid w:val="00D1475F"/>
    <w:rsid w:val="00D14B98"/>
    <w:rsid w:val="00D14F87"/>
    <w:rsid w:val="00D14F8A"/>
    <w:rsid w:val="00D1526E"/>
    <w:rsid w:val="00D158D8"/>
    <w:rsid w:val="00D15D31"/>
    <w:rsid w:val="00D15DD9"/>
    <w:rsid w:val="00D160B8"/>
    <w:rsid w:val="00D1647C"/>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700"/>
    <w:rsid w:val="00D207D8"/>
    <w:rsid w:val="00D20A1E"/>
    <w:rsid w:val="00D20A52"/>
    <w:rsid w:val="00D20FD4"/>
    <w:rsid w:val="00D21086"/>
    <w:rsid w:val="00D21187"/>
    <w:rsid w:val="00D212BF"/>
    <w:rsid w:val="00D2131D"/>
    <w:rsid w:val="00D21377"/>
    <w:rsid w:val="00D214DE"/>
    <w:rsid w:val="00D21523"/>
    <w:rsid w:val="00D219CE"/>
    <w:rsid w:val="00D21A24"/>
    <w:rsid w:val="00D21EBF"/>
    <w:rsid w:val="00D22203"/>
    <w:rsid w:val="00D2248F"/>
    <w:rsid w:val="00D22715"/>
    <w:rsid w:val="00D229A9"/>
    <w:rsid w:val="00D22B65"/>
    <w:rsid w:val="00D23263"/>
    <w:rsid w:val="00D2345B"/>
    <w:rsid w:val="00D237E2"/>
    <w:rsid w:val="00D23A6F"/>
    <w:rsid w:val="00D23BBF"/>
    <w:rsid w:val="00D24145"/>
    <w:rsid w:val="00D2417F"/>
    <w:rsid w:val="00D24191"/>
    <w:rsid w:val="00D24665"/>
    <w:rsid w:val="00D2467B"/>
    <w:rsid w:val="00D2483C"/>
    <w:rsid w:val="00D24968"/>
    <w:rsid w:val="00D2501F"/>
    <w:rsid w:val="00D25307"/>
    <w:rsid w:val="00D2539C"/>
    <w:rsid w:val="00D253F2"/>
    <w:rsid w:val="00D254E9"/>
    <w:rsid w:val="00D255CF"/>
    <w:rsid w:val="00D255ED"/>
    <w:rsid w:val="00D2578B"/>
    <w:rsid w:val="00D25B11"/>
    <w:rsid w:val="00D2678E"/>
    <w:rsid w:val="00D26863"/>
    <w:rsid w:val="00D2694C"/>
    <w:rsid w:val="00D271C9"/>
    <w:rsid w:val="00D276BB"/>
    <w:rsid w:val="00D27853"/>
    <w:rsid w:val="00D279DF"/>
    <w:rsid w:val="00D301A2"/>
    <w:rsid w:val="00D301F6"/>
    <w:rsid w:val="00D30294"/>
    <w:rsid w:val="00D30678"/>
    <w:rsid w:val="00D309B2"/>
    <w:rsid w:val="00D30AE0"/>
    <w:rsid w:val="00D30AE8"/>
    <w:rsid w:val="00D30BB3"/>
    <w:rsid w:val="00D30FAA"/>
    <w:rsid w:val="00D3114C"/>
    <w:rsid w:val="00D3181F"/>
    <w:rsid w:val="00D32155"/>
    <w:rsid w:val="00D3239C"/>
    <w:rsid w:val="00D328CA"/>
    <w:rsid w:val="00D3296E"/>
    <w:rsid w:val="00D32D07"/>
    <w:rsid w:val="00D32D2D"/>
    <w:rsid w:val="00D32FE3"/>
    <w:rsid w:val="00D3307C"/>
    <w:rsid w:val="00D331A9"/>
    <w:rsid w:val="00D331DB"/>
    <w:rsid w:val="00D331F1"/>
    <w:rsid w:val="00D33452"/>
    <w:rsid w:val="00D33581"/>
    <w:rsid w:val="00D337B7"/>
    <w:rsid w:val="00D33AC0"/>
    <w:rsid w:val="00D33D7F"/>
    <w:rsid w:val="00D3414E"/>
    <w:rsid w:val="00D3434A"/>
    <w:rsid w:val="00D34379"/>
    <w:rsid w:val="00D34A85"/>
    <w:rsid w:val="00D34FB1"/>
    <w:rsid w:val="00D350AF"/>
    <w:rsid w:val="00D351F5"/>
    <w:rsid w:val="00D3525E"/>
    <w:rsid w:val="00D35339"/>
    <w:rsid w:val="00D3546A"/>
    <w:rsid w:val="00D358BB"/>
    <w:rsid w:val="00D35EFE"/>
    <w:rsid w:val="00D36107"/>
    <w:rsid w:val="00D36132"/>
    <w:rsid w:val="00D3670D"/>
    <w:rsid w:val="00D36A87"/>
    <w:rsid w:val="00D37058"/>
    <w:rsid w:val="00D376CF"/>
    <w:rsid w:val="00D376F9"/>
    <w:rsid w:val="00D37A3E"/>
    <w:rsid w:val="00D37A52"/>
    <w:rsid w:val="00D37B46"/>
    <w:rsid w:val="00D37BDE"/>
    <w:rsid w:val="00D37F37"/>
    <w:rsid w:val="00D37F89"/>
    <w:rsid w:val="00D403DF"/>
    <w:rsid w:val="00D407AB"/>
    <w:rsid w:val="00D40B8D"/>
    <w:rsid w:val="00D40D1B"/>
    <w:rsid w:val="00D40D2A"/>
    <w:rsid w:val="00D40EF6"/>
    <w:rsid w:val="00D41040"/>
    <w:rsid w:val="00D411B3"/>
    <w:rsid w:val="00D41292"/>
    <w:rsid w:val="00D4131F"/>
    <w:rsid w:val="00D413EC"/>
    <w:rsid w:val="00D41983"/>
    <w:rsid w:val="00D41BDF"/>
    <w:rsid w:val="00D41C99"/>
    <w:rsid w:val="00D41D11"/>
    <w:rsid w:val="00D41E44"/>
    <w:rsid w:val="00D41F1C"/>
    <w:rsid w:val="00D42293"/>
    <w:rsid w:val="00D42591"/>
    <w:rsid w:val="00D42923"/>
    <w:rsid w:val="00D42B22"/>
    <w:rsid w:val="00D4312C"/>
    <w:rsid w:val="00D433C8"/>
    <w:rsid w:val="00D43A8A"/>
    <w:rsid w:val="00D43CD1"/>
    <w:rsid w:val="00D43D4D"/>
    <w:rsid w:val="00D4402D"/>
    <w:rsid w:val="00D440A8"/>
    <w:rsid w:val="00D44136"/>
    <w:rsid w:val="00D4421B"/>
    <w:rsid w:val="00D4462E"/>
    <w:rsid w:val="00D447BF"/>
    <w:rsid w:val="00D4542C"/>
    <w:rsid w:val="00D457B2"/>
    <w:rsid w:val="00D45BCA"/>
    <w:rsid w:val="00D45F34"/>
    <w:rsid w:val="00D4620A"/>
    <w:rsid w:val="00D462B9"/>
    <w:rsid w:val="00D462E4"/>
    <w:rsid w:val="00D4689C"/>
    <w:rsid w:val="00D4692E"/>
    <w:rsid w:val="00D46BBE"/>
    <w:rsid w:val="00D46EF8"/>
    <w:rsid w:val="00D472FC"/>
    <w:rsid w:val="00D473AE"/>
    <w:rsid w:val="00D476CA"/>
    <w:rsid w:val="00D50510"/>
    <w:rsid w:val="00D50DED"/>
    <w:rsid w:val="00D511DD"/>
    <w:rsid w:val="00D516AB"/>
    <w:rsid w:val="00D51E0A"/>
    <w:rsid w:val="00D5266F"/>
    <w:rsid w:val="00D5282D"/>
    <w:rsid w:val="00D52AB0"/>
    <w:rsid w:val="00D52E71"/>
    <w:rsid w:val="00D52F9D"/>
    <w:rsid w:val="00D5302B"/>
    <w:rsid w:val="00D5380F"/>
    <w:rsid w:val="00D53815"/>
    <w:rsid w:val="00D540FA"/>
    <w:rsid w:val="00D54272"/>
    <w:rsid w:val="00D54413"/>
    <w:rsid w:val="00D54599"/>
    <w:rsid w:val="00D54B24"/>
    <w:rsid w:val="00D54D41"/>
    <w:rsid w:val="00D551E5"/>
    <w:rsid w:val="00D551FD"/>
    <w:rsid w:val="00D55498"/>
    <w:rsid w:val="00D55561"/>
    <w:rsid w:val="00D55A0E"/>
    <w:rsid w:val="00D55B36"/>
    <w:rsid w:val="00D55CAA"/>
    <w:rsid w:val="00D55CED"/>
    <w:rsid w:val="00D55D10"/>
    <w:rsid w:val="00D5647F"/>
    <w:rsid w:val="00D5678D"/>
    <w:rsid w:val="00D56A30"/>
    <w:rsid w:val="00D56CA6"/>
    <w:rsid w:val="00D56CA8"/>
    <w:rsid w:val="00D57670"/>
    <w:rsid w:val="00D57701"/>
    <w:rsid w:val="00D5794B"/>
    <w:rsid w:val="00D57A61"/>
    <w:rsid w:val="00D57C03"/>
    <w:rsid w:val="00D57C3A"/>
    <w:rsid w:val="00D57D06"/>
    <w:rsid w:val="00D60077"/>
    <w:rsid w:val="00D601E6"/>
    <w:rsid w:val="00D60296"/>
    <w:rsid w:val="00D603E4"/>
    <w:rsid w:val="00D609A8"/>
    <w:rsid w:val="00D60DE4"/>
    <w:rsid w:val="00D60E3E"/>
    <w:rsid w:val="00D6125B"/>
    <w:rsid w:val="00D613D5"/>
    <w:rsid w:val="00D614D5"/>
    <w:rsid w:val="00D61583"/>
    <w:rsid w:val="00D61F26"/>
    <w:rsid w:val="00D6224C"/>
    <w:rsid w:val="00D622F2"/>
    <w:rsid w:val="00D6239D"/>
    <w:rsid w:val="00D62412"/>
    <w:rsid w:val="00D62613"/>
    <w:rsid w:val="00D6267B"/>
    <w:rsid w:val="00D62990"/>
    <w:rsid w:val="00D62B2A"/>
    <w:rsid w:val="00D62C5E"/>
    <w:rsid w:val="00D62E94"/>
    <w:rsid w:val="00D634B7"/>
    <w:rsid w:val="00D635A7"/>
    <w:rsid w:val="00D63938"/>
    <w:rsid w:val="00D63D8D"/>
    <w:rsid w:val="00D63EEE"/>
    <w:rsid w:val="00D6438E"/>
    <w:rsid w:val="00D6441B"/>
    <w:rsid w:val="00D644A8"/>
    <w:rsid w:val="00D647A5"/>
    <w:rsid w:val="00D647B3"/>
    <w:rsid w:val="00D649DE"/>
    <w:rsid w:val="00D64B69"/>
    <w:rsid w:val="00D64D7A"/>
    <w:rsid w:val="00D64E6F"/>
    <w:rsid w:val="00D65148"/>
    <w:rsid w:val="00D65338"/>
    <w:rsid w:val="00D65430"/>
    <w:rsid w:val="00D65C6F"/>
    <w:rsid w:val="00D66130"/>
    <w:rsid w:val="00D66A2A"/>
    <w:rsid w:val="00D66E79"/>
    <w:rsid w:val="00D6704B"/>
    <w:rsid w:val="00D67439"/>
    <w:rsid w:val="00D67515"/>
    <w:rsid w:val="00D677C7"/>
    <w:rsid w:val="00D67AD0"/>
    <w:rsid w:val="00D67C6B"/>
    <w:rsid w:val="00D67CAC"/>
    <w:rsid w:val="00D70374"/>
    <w:rsid w:val="00D70B67"/>
    <w:rsid w:val="00D70C0A"/>
    <w:rsid w:val="00D70CC8"/>
    <w:rsid w:val="00D70DF1"/>
    <w:rsid w:val="00D70F63"/>
    <w:rsid w:val="00D7177D"/>
    <w:rsid w:val="00D717BB"/>
    <w:rsid w:val="00D718B4"/>
    <w:rsid w:val="00D71AD7"/>
    <w:rsid w:val="00D71D41"/>
    <w:rsid w:val="00D71F23"/>
    <w:rsid w:val="00D72017"/>
    <w:rsid w:val="00D7226F"/>
    <w:rsid w:val="00D722F2"/>
    <w:rsid w:val="00D72391"/>
    <w:rsid w:val="00D7279E"/>
    <w:rsid w:val="00D727F1"/>
    <w:rsid w:val="00D728DA"/>
    <w:rsid w:val="00D72902"/>
    <w:rsid w:val="00D72D42"/>
    <w:rsid w:val="00D72DD3"/>
    <w:rsid w:val="00D72EAB"/>
    <w:rsid w:val="00D7346F"/>
    <w:rsid w:val="00D73626"/>
    <w:rsid w:val="00D73795"/>
    <w:rsid w:val="00D73849"/>
    <w:rsid w:val="00D7389B"/>
    <w:rsid w:val="00D738D4"/>
    <w:rsid w:val="00D73926"/>
    <w:rsid w:val="00D73AE7"/>
    <w:rsid w:val="00D73B6D"/>
    <w:rsid w:val="00D7407E"/>
    <w:rsid w:val="00D74197"/>
    <w:rsid w:val="00D74352"/>
    <w:rsid w:val="00D746A8"/>
    <w:rsid w:val="00D74913"/>
    <w:rsid w:val="00D74EF0"/>
    <w:rsid w:val="00D74F5B"/>
    <w:rsid w:val="00D752C0"/>
    <w:rsid w:val="00D755EE"/>
    <w:rsid w:val="00D75740"/>
    <w:rsid w:val="00D75B73"/>
    <w:rsid w:val="00D75DFA"/>
    <w:rsid w:val="00D76007"/>
    <w:rsid w:val="00D762B1"/>
    <w:rsid w:val="00D76668"/>
    <w:rsid w:val="00D76A39"/>
    <w:rsid w:val="00D76FBD"/>
    <w:rsid w:val="00D77217"/>
    <w:rsid w:val="00D7748B"/>
    <w:rsid w:val="00D774A9"/>
    <w:rsid w:val="00D77582"/>
    <w:rsid w:val="00D801C7"/>
    <w:rsid w:val="00D80208"/>
    <w:rsid w:val="00D8026B"/>
    <w:rsid w:val="00D80359"/>
    <w:rsid w:val="00D807E4"/>
    <w:rsid w:val="00D80A10"/>
    <w:rsid w:val="00D80BB0"/>
    <w:rsid w:val="00D80CC9"/>
    <w:rsid w:val="00D80D3C"/>
    <w:rsid w:val="00D80DDC"/>
    <w:rsid w:val="00D80ECF"/>
    <w:rsid w:val="00D80FF9"/>
    <w:rsid w:val="00D8148B"/>
    <w:rsid w:val="00D8184C"/>
    <w:rsid w:val="00D81866"/>
    <w:rsid w:val="00D82110"/>
    <w:rsid w:val="00D823E4"/>
    <w:rsid w:val="00D82472"/>
    <w:rsid w:val="00D82580"/>
    <w:rsid w:val="00D828E5"/>
    <w:rsid w:val="00D82AAF"/>
    <w:rsid w:val="00D82DFA"/>
    <w:rsid w:val="00D83081"/>
    <w:rsid w:val="00D8317C"/>
    <w:rsid w:val="00D83340"/>
    <w:rsid w:val="00D83A5E"/>
    <w:rsid w:val="00D8423C"/>
    <w:rsid w:val="00D8434E"/>
    <w:rsid w:val="00D84418"/>
    <w:rsid w:val="00D84527"/>
    <w:rsid w:val="00D84B36"/>
    <w:rsid w:val="00D84D13"/>
    <w:rsid w:val="00D84E86"/>
    <w:rsid w:val="00D8514E"/>
    <w:rsid w:val="00D85AE7"/>
    <w:rsid w:val="00D85B27"/>
    <w:rsid w:val="00D85D8D"/>
    <w:rsid w:val="00D85F95"/>
    <w:rsid w:val="00D86127"/>
    <w:rsid w:val="00D862A5"/>
    <w:rsid w:val="00D86677"/>
    <w:rsid w:val="00D8674F"/>
    <w:rsid w:val="00D86DAA"/>
    <w:rsid w:val="00D8705E"/>
    <w:rsid w:val="00D871A8"/>
    <w:rsid w:val="00D877B9"/>
    <w:rsid w:val="00D87B89"/>
    <w:rsid w:val="00D87E20"/>
    <w:rsid w:val="00D900C1"/>
    <w:rsid w:val="00D901B9"/>
    <w:rsid w:val="00D906FE"/>
    <w:rsid w:val="00D90718"/>
    <w:rsid w:val="00D9080C"/>
    <w:rsid w:val="00D90961"/>
    <w:rsid w:val="00D90A7E"/>
    <w:rsid w:val="00D90D3F"/>
    <w:rsid w:val="00D90D6A"/>
    <w:rsid w:val="00D90DAB"/>
    <w:rsid w:val="00D90E19"/>
    <w:rsid w:val="00D90E1B"/>
    <w:rsid w:val="00D90E3F"/>
    <w:rsid w:val="00D911A1"/>
    <w:rsid w:val="00D911C5"/>
    <w:rsid w:val="00D912CC"/>
    <w:rsid w:val="00D915E4"/>
    <w:rsid w:val="00D915EC"/>
    <w:rsid w:val="00D9162B"/>
    <w:rsid w:val="00D917C7"/>
    <w:rsid w:val="00D9182A"/>
    <w:rsid w:val="00D91EAA"/>
    <w:rsid w:val="00D921F8"/>
    <w:rsid w:val="00D9237B"/>
    <w:rsid w:val="00D9240A"/>
    <w:rsid w:val="00D925B0"/>
    <w:rsid w:val="00D9268F"/>
    <w:rsid w:val="00D92AA1"/>
    <w:rsid w:val="00D92D12"/>
    <w:rsid w:val="00D92E04"/>
    <w:rsid w:val="00D92EE5"/>
    <w:rsid w:val="00D93832"/>
    <w:rsid w:val="00D93868"/>
    <w:rsid w:val="00D93C62"/>
    <w:rsid w:val="00D948E4"/>
    <w:rsid w:val="00D94BE4"/>
    <w:rsid w:val="00D94C59"/>
    <w:rsid w:val="00D94DE6"/>
    <w:rsid w:val="00D953CC"/>
    <w:rsid w:val="00D953FD"/>
    <w:rsid w:val="00D95578"/>
    <w:rsid w:val="00D955A4"/>
    <w:rsid w:val="00D9568C"/>
    <w:rsid w:val="00D961B7"/>
    <w:rsid w:val="00D96212"/>
    <w:rsid w:val="00D9623F"/>
    <w:rsid w:val="00D96415"/>
    <w:rsid w:val="00D9648C"/>
    <w:rsid w:val="00D964C0"/>
    <w:rsid w:val="00D9660B"/>
    <w:rsid w:val="00D966FB"/>
    <w:rsid w:val="00D96856"/>
    <w:rsid w:val="00D96946"/>
    <w:rsid w:val="00D96BC1"/>
    <w:rsid w:val="00D96C63"/>
    <w:rsid w:val="00D96CD6"/>
    <w:rsid w:val="00D96DBB"/>
    <w:rsid w:val="00D96EB1"/>
    <w:rsid w:val="00D9718F"/>
    <w:rsid w:val="00D971BC"/>
    <w:rsid w:val="00D972D1"/>
    <w:rsid w:val="00D97347"/>
    <w:rsid w:val="00D973CF"/>
    <w:rsid w:val="00D97D0B"/>
    <w:rsid w:val="00DA0018"/>
    <w:rsid w:val="00DA0497"/>
    <w:rsid w:val="00DA0678"/>
    <w:rsid w:val="00DA0CDD"/>
    <w:rsid w:val="00DA1133"/>
    <w:rsid w:val="00DA15B5"/>
    <w:rsid w:val="00DA1850"/>
    <w:rsid w:val="00DA1A47"/>
    <w:rsid w:val="00DA1C12"/>
    <w:rsid w:val="00DA2519"/>
    <w:rsid w:val="00DA2661"/>
    <w:rsid w:val="00DA2674"/>
    <w:rsid w:val="00DA2686"/>
    <w:rsid w:val="00DA2864"/>
    <w:rsid w:val="00DA2FAF"/>
    <w:rsid w:val="00DA33B9"/>
    <w:rsid w:val="00DA356B"/>
    <w:rsid w:val="00DA3584"/>
    <w:rsid w:val="00DA3719"/>
    <w:rsid w:val="00DA383A"/>
    <w:rsid w:val="00DA39AF"/>
    <w:rsid w:val="00DA3DE7"/>
    <w:rsid w:val="00DA41D7"/>
    <w:rsid w:val="00DA4322"/>
    <w:rsid w:val="00DA4548"/>
    <w:rsid w:val="00DA49C7"/>
    <w:rsid w:val="00DA4BA5"/>
    <w:rsid w:val="00DA5415"/>
    <w:rsid w:val="00DA56EA"/>
    <w:rsid w:val="00DA5848"/>
    <w:rsid w:val="00DA5852"/>
    <w:rsid w:val="00DA58A7"/>
    <w:rsid w:val="00DA5BF2"/>
    <w:rsid w:val="00DA5CEB"/>
    <w:rsid w:val="00DA5E25"/>
    <w:rsid w:val="00DA5F3B"/>
    <w:rsid w:val="00DA5FC3"/>
    <w:rsid w:val="00DA6004"/>
    <w:rsid w:val="00DA6122"/>
    <w:rsid w:val="00DA63E2"/>
    <w:rsid w:val="00DA68C4"/>
    <w:rsid w:val="00DA6DB6"/>
    <w:rsid w:val="00DA7C5D"/>
    <w:rsid w:val="00DA7E90"/>
    <w:rsid w:val="00DB006F"/>
    <w:rsid w:val="00DB04A8"/>
    <w:rsid w:val="00DB0659"/>
    <w:rsid w:val="00DB0851"/>
    <w:rsid w:val="00DB0A25"/>
    <w:rsid w:val="00DB0B74"/>
    <w:rsid w:val="00DB0CDC"/>
    <w:rsid w:val="00DB1212"/>
    <w:rsid w:val="00DB135B"/>
    <w:rsid w:val="00DB1447"/>
    <w:rsid w:val="00DB1460"/>
    <w:rsid w:val="00DB15DF"/>
    <w:rsid w:val="00DB19A5"/>
    <w:rsid w:val="00DB1A40"/>
    <w:rsid w:val="00DB2612"/>
    <w:rsid w:val="00DB2745"/>
    <w:rsid w:val="00DB28C9"/>
    <w:rsid w:val="00DB2B5E"/>
    <w:rsid w:val="00DB3118"/>
    <w:rsid w:val="00DB334F"/>
    <w:rsid w:val="00DB33AC"/>
    <w:rsid w:val="00DB36B3"/>
    <w:rsid w:val="00DB36D3"/>
    <w:rsid w:val="00DB3831"/>
    <w:rsid w:val="00DB390C"/>
    <w:rsid w:val="00DB3A93"/>
    <w:rsid w:val="00DB3E51"/>
    <w:rsid w:val="00DB3EB7"/>
    <w:rsid w:val="00DB410A"/>
    <w:rsid w:val="00DB41E6"/>
    <w:rsid w:val="00DB4395"/>
    <w:rsid w:val="00DB46E1"/>
    <w:rsid w:val="00DB498B"/>
    <w:rsid w:val="00DB4A63"/>
    <w:rsid w:val="00DB4FFB"/>
    <w:rsid w:val="00DB5596"/>
    <w:rsid w:val="00DB55C7"/>
    <w:rsid w:val="00DB593E"/>
    <w:rsid w:val="00DB5C18"/>
    <w:rsid w:val="00DB5C7A"/>
    <w:rsid w:val="00DB5D4E"/>
    <w:rsid w:val="00DB5F08"/>
    <w:rsid w:val="00DB60D5"/>
    <w:rsid w:val="00DB6122"/>
    <w:rsid w:val="00DB623F"/>
    <w:rsid w:val="00DB627F"/>
    <w:rsid w:val="00DB6307"/>
    <w:rsid w:val="00DB6463"/>
    <w:rsid w:val="00DB66D5"/>
    <w:rsid w:val="00DB6965"/>
    <w:rsid w:val="00DB6ADD"/>
    <w:rsid w:val="00DB7236"/>
    <w:rsid w:val="00DB7E87"/>
    <w:rsid w:val="00DC00C5"/>
    <w:rsid w:val="00DC00ED"/>
    <w:rsid w:val="00DC0264"/>
    <w:rsid w:val="00DC0453"/>
    <w:rsid w:val="00DC0C1B"/>
    <w:rsid w:val="00DC0C44"/>
    <w:rsid w:val="00DC1209"/>
    <w:rsid w:val="00DC1550"/>
    <w:rsid w:val="00DC199A"/>
    <w:rsid w:val="00DC19D3"/>
    <w:rsid w:val="00DC1A95"/>
    <w:rsid w:val="00DC1AED"/>
    <w:rsid w:val="00DC1C58"/>
    <w:rsid w:val="00DC2068"/>
    <w:rsid w:val="00DC231A"/>
    <w:rsid w:val="00DC2482"/>
    <w:rsid w:val="00DC2675"/>
    <w:rsid w:val="00DC2757"/>
    <w:rsid w:val="00DC2836"/>
    <w:rsid w:val="00DC28E0"/>
    <w:rsid w:val="00DC2A37"/>
    <w:rsid w:val="00DC2CF9"/>
    <w:rsid w:val="00DC2E05"/>
    <w:rsid w:val="00DC2EF5"/>
    <w:rsid w:val="00DC2F7A"/>
    <w:rsid w:val="00DC2FED"/>
    <w:rsid w:val="00DC30FF"/>
    <w:rsid w:val="00DC3147"/>
    <w:rsid w:val="00DC32B7"/>
    <w:rsid w:val="00DC33A5"/>
    <w:rsid w:val="00DC342A"/>
    <w:rsid w:val="00DC348B"/>
    <w:rsid w:val="00DC3582"/>
    <w:rsid w:val="00DC3B80"/>
    <w:rsid w:val="00DC3F2C"/>
    <w:rsid w:val="00DC4385"/>
    <w:rsid w:val="00DC456C"/>
    <w:rsid w:val="00DC4BA6"/>
    <w:rsid w:val="00DC4CA6"/>
    <w:rsid w:val="00DC4DE8"/>
    <w:rsid w:val="00DC4EBE"/>
    <w:rsid w:val="00DC4ED4"/>
    <w:rsid w:val="00DC5174"/>
    <w:rsid w:val="00DC5295"/>
    <w:rsid w:val="00DC5E34"/>
    <w:rsid w:val="00DC60CC"/>
    <w:rsid w:val="00DC6786"/>
    <w:rsid w:val="00DC685B"/>
    <w:rsid w:val="00DC6E69"/>
    <w:rsid w:val="00DC7040"/>
    <w:rsid w:val="00DC725F"/>
    <w:rsid w:val="00DC727A"/>
    <w:rsid w:val="00DC73DA"/>
    <w:rsid w:val="00DC78E1"/>
    <w:rsid w:val="00DC7B08"/>
    <w:rsid w:val="00DC7B83"/>
    <w:rsid w:val="00DC7D98"/>
    <w:rsid w:val="00DC7E68"/>
    <w:rsid w:val="00DC7F06"/>
    <w:rsid w:val="00DD0182"/>
    <w:rsid w:val="00DD0368"/>
    <w:rsid w:val="00DD0860"/>
    <w:rsid w:val="00DD0889"/>
    <w:rsid w:val="00DD0B5F"/>
    <w:rsid w:val="00DD0FCD"/>
    <w:rsid w:val="00DD10AF"/>
    <w:rsid w:val="00DD14C3"/>
    <w:rsid w:val="00DD17BD"/>
    <w:rsid w:val="00DD193F"/>
    <w:rsid w:val="00DD1C41"/>
    <w:rsid w:val="00DD1D0E"/>
    <w:rsid w:val="00DD1EEF"/>
    <w:rsid w:val="00DD1F49"/>
    <w:rsid w:val="00DD256F"/>
    <w:rsid w:val="00DD257F"/>
    <w:rsid w:val="00DD2A2A"/>
    <w:rsid w:val="00DD2B6C"/>
    <w:rsid w:val="00DD2B77"/>
    <w:rsid w:val="00DD2D0E"/>
    <w:rsid w:val="00DD35C1"/>
    <w:rsid w:val="00DD35F1"/>
    <w:rsid w:val="00DD3786"/>
    <w:rsid w:val="00DD3CAE"/>
    <w:rsid w:val="00DD401E"/>
    <w:rsid w:val="00DD402C"/>
    <w:rsid w:val="00DD47C9"/>
    <w:rsid w:val="00DD4A14"/>
    <w:rsid w:val="00DD4AB7"/>
    <w:rsid w:val="00DD4DBB"/>
    <w:rsid w:val="00DD50C0"/>
    <w:rsid w:val="00DD56DE"/>
    <w:rsid w:val="00DD5B91"/>
    <w:rsid w:val="00DD5E51"/>
    <w:rsid w:val="00DD5FFB"/>
    <w:rsid w:val="00DD63C8"/>
    <w:rsid w:val="00DD6577"/>
    <w:rsid w:val="00DD6BDF"/>
    <w:rsid w:val="00DD6D0E"/>
    <w:rsid w:val="00DD6D71"/>
    <w:rsid w:val="00DD76EF"/>
    <w:rsid w:val="00DE0113"/>
    <w:rsid w:val="00DE02C2"/>
    <w:rsid w:val="00DE0386"/>
    <w:rsid w:val="00DE0635"/>
    <w:rsid w:val="00DE076C"/>
    <w:rsid w:val="00DE0CC9"/>
    <w:rsid w:val="00DE1136"/>
    <w:rsid w:val="00DE1186"/>
    <w:rsid w:val="00DE120C"/>
    <w:rsid w:val="00DE168B"/>
    <w:rsid w:val="00DE1743"/>
    <w:rsid w:val="00DE17F6"/>
    <w:rsid w:val="00DE18DB"/>
    <w:rsid w:val="00DE19FA"/>
    <w:rsid w:val="00DE1DB0"/>
    <w:rsid w:val="00DE1DB4"/>
    <w:rsid w:val="00DE2320"/>
    <w:rsid w:val="00DE2876"/>
    <w:rsid w:val="00DE2958"/>
    <w:rsid w:val="00DE2AD2"/>
    <w:rsid w:val="00DE2D50"/>
    <w:rsid w:val="00DE2D5A"/>
    <w:rsid w:val="00DE2F92"/>
    <w:rsid w:val="00DE31B6"/>
    <w:rsid w:val="00DE340A"/>
    <w:rsid w:val="00DE367F"/>
    <w:rsid w:val="00DE3829"/>
    <w:rsid w:val="00DE38AB"/>
    <w:rsid w:val="00DE3AA0"/>
    <w:rsid w:val="00DE3EE9"/>
    <w:rsid w:val="00DE417C"/>
    <w:rsid w:val="00DE4318"/>
    <w:rsid w:val="00DE476D"/>
    <w:rsid w:val="00DE534F"/>
    <w:rsid w:val="00DE5ABB"/>
    <w:rsid w:val="00DE5E3A"/>
    <w:rsid w:val="00DE5F36"/>
    <w:rsid w:val="00DE64CA"/>
    <w:rsid w:val="00DE6649"/>
    <w:rsid w:val="00DE66D0"/>
    <w:rsid w:val="00DE66DF"/>
    <w:rsid w:val="00DE6908"/>
    <w:rsid w:val="00DE6A0E"/>
    <w:rsid w:val="00DE6B84"/>
    <w:rsid w:val="00DE6F58"/>
    <w:rsid w:val="00DE7190"/>
    <w:rsid w:val="00DE7306"/>
    <w:rsid w:val="00DE788D"/>
    <w:rsid w:val="00DE78CA"/>
    <w:rsid w:val="00DE79BA"/>
    <w:rsid w:val="00DE7A98"/>
    <w:rsid w:val="00DE7CAA"/>
    <w:rsid w:val="00DE7D84"/>
    <w:rsid w:val="00DE7DEE"/>
    <w:rsid w:val="00DE7E8A"/>
    <w:rsid w:val="00DF019D"/>
    <w:rsid w:val="00DF0206"/>
    <w:rsid w:val="00DF0354"/>
    <w:rsid w:val="00DF07D9"/>
    <w:rsid w:val="00DF0D99"/>
    <w:rsid w:val="00DF12C9"/>
    <w:rsid w:val="00DF13E0"/>
    <w:rsid w:val="00DF1677"/>
    <w:rsid w:val="00DF1E3F"/>
    <w:rsid w:val="00DF1EDD"/>
    <w:rsid w:val="00DF2375"/>
    <w:rsid w:val="00DF271C"/>
    <w:rsid w:val="00DF273A"/>
    <w:rsid w:val="00DF2791"/>
    <w:rsid w:val="00DF279B"/>
    <w:rsid w:val="00DF2941"/>
    <w:rsid w:val="00DF2CBB"/>
    <w:rsid w:val="00DF2CD5"/>
    <w:rsid w:val="00DF2E31"/>
    <w:rsid w:val="00DF2FEE"/>
    <w:rsid w:val="00DF35AC"/>
    <w:rsid w:val="00DF35B5"/>
    <w:rsid w:val="00DF3671"/>
    <w:rsid w:val="00DF3CEC"/>
    <w:rsid w:val="00DF3F04"/>
    <w:rsid w:val="00DF3F7E"/>
    <w:rsid w:val="00DF41D0"/>
    <w:rsid w:val="00DF44F1"/>
    <w:rsid w:val="00DF4664"/>
    <w:rsid w:val="00DF4698"/>
    <w:rsid w:val="00DF46D8"/>
    <w:rsid w:val="00DF4808"/>
    <w:rsid w:val="00DF4D9C"/>
    <w:rsid w:val="00DF4E30"/>
    <w:rsid w:val="00DF4E44"/>
    <w:rsid w:val="00DF4F4D"/>
    <w:rsid w:val="00DF54BA"/>
    <w:rsid w:val="00DF56C1"/>
    <w:rsid w:val="00DF5821"/>
    <w:rsid w:val="00DF583C"/>
    <w:rsid w:val="00DF596D"/>
    <w:rsid w:val="00DF5A38"/>
    <w:rsid w:val="00DF5D0E"/>
    <w:rsid w:val="00DF60FF"/>
    <w:rsid w:val="00DF6603"/>
    <w:rsid w:val="00DF6660"/>
    <w:rsid w:val="00DF666E"/>
    <w:rsid w:val="00DF67F6"/>
    <w:rsid w:val="00DF6A01"/>
    <w:rsid w:val="00DF77A3"/>
    <w:rsid w:val="00E00067"/>
    <w:rsid w:val="00E00098"/>
    <w:rsid w:val="00E000A3"/>
    <w:rsid w:val="00E00733"/>
    <w:rsid w:val="00E00749"/>
    <w:rsid w:val="00E00863"/>
    <w:rsid w:val="00E00C2D"/>
    <w:rsid w:val="00E00F61"/>
    <w:rsid w:val="00E01343"/>
    <w:rsid w:val="00E0145F"/>
    <w:rsid w:val="00E01461"/>
    <w:rsid w:val="00E014D4"/>
    <w:rsid w:val="00E01786"/>
    <w:rsid w:val="00E01AD6"/>
    <w:rsid w:val="00E01B30"/>
    <w:rsid w:val="00E01F91"/>
    <w:rsid w:val="00E02134"/>
    <w:rsid w:val="00E021BF"/>
    <w:rsid w:val="00E0272B"/>
    <w:rsid w:val="00E027CF"/>
    <w:rsid w:val="00E02A21"/>
    <w:rsid w:val="00E02A2A"/>
    <w:rsid w:val="00E033E5"/>
    <w:rsid w:val="00E0389D"/>
    <w:rsid w:val="00E03B7B"/>
    <w:rsid w:val="00E03C28"/>
    <w:rsid w:val="00E03CB6"/>
    <w:rsid w:val="00E04537"/>
    <w:rsid w:val="00E045E4"/>
    <w:rsid w:val="00E047AF"/>
    <w:rsid w:val="00E04C46"/>
    <w:rsid w:val="00E04CA6"/>
    <w:rsid w:val="00E04DF0"/>
    <w:rsid w:val="00E05305"/>
    <w:rsid w:val="00E05529"/>
    <w:rsid w:val="00E0558B"/>
    <w:rsid w:val="00E0561E"/>
    <w:rsid w:val="00E0574C"/>
    <w:rsid w:val="00E05880"/>
    <w:rsid w:val="00E05C1B"/>
    <w:rsid w:val="00E06409"/>
    <w:rsid w:val="00E06615"/>
    <w:rsid w:val="00E06940"/>
    <w:rsid w:val="00E06A46"/>
    <w:rsid w:val="00E06A7C"/>
    <w:rsid w:val="00E06D19"/>
    <w:rsid w:val="00E06FCB"/>
    <w:rsid w:val="00E07227"/>
    <w:rsid w:val="00E0781D"/>
    <w:rsid w:val="00E07CCC"/>
    <w:rsid w:val="00E1000D"/>
    <w:rsid w:val="00E1005D"/>
    <w:rsid w:val="00E10595"/>
    <w:rsid w:val="00E105C5"/>
    <w:rsid w:val="00E10711"/>
    <w:rsid w:val="00E10A32"/>
    <w:rsid w:val="00E11264"/>
    <w:rsid w:val="00E116D2"/>
    <w:rsid w:val="00E118A2"/>
    <w:rsid w:val="00E11D49"/>
    <w:rsid w:val="00E11FC1"/>
    <w:rsid w:val="00E121A1"/>
    <w:rsid w:val="00E1246E"/>
    <w:rsid w:val="00E12579"/>
    <w:rsid w:val="00E125D4"/>
    <w:rsid w:val="00E127E2"/>
    <w:rsid w:val="00E128FD"/>
    <w:rsid w:val="00E12A90"/>
    <w:rsid w:val="00E12BA1"/>
    <w:rsid w:val="00E12C60"/>
    <w:rsid w:val="00E12F98"/>
    <w:rsid w:val="00E1301E"/>
    <w:rsid w:val="00E1354A"/>
    <w:rsid w:val="00E1376B"/>
    <w:rsid w:val="00E137F0"/>
    <w:rsid w:val="00E138F6"/>
    <w:rsid w:val="00E141A4"/>
    <w:rsid w:val="00E14302"/>
    <w:rsid w:val="00E14D8B"/>
    <w:rsid w:val="00E150B5"/>
    <w:rsid w:val="00E153DE"/>
    <w:rsid w:val="00E15851"/>
    <w:rsid w:val="00E15D48"/>
    <w:rsid w:val="00E15FB6"/>
    <w:rsid w:val="00E160D6"/>
    <w:rsid w:val="00E16109"/>
    <w:rsid w:val="00E1613F"/>
    <w:rsid w:val="00E16357"/>
    <w:rsid w:val="00E16427"/>
    <w:rsid w:val="00E170BD"/>
    <w:rsid w:val="00E1737B"/>
    <w:rsid w:val="00E17D56"/>
    <w:rsid w:val="00E17DF0"/>
    <w:rsid w:val="00E17ED4"/>
    <w:rsid w:val="00E2002D"/>
    <w:rsid w:val="00E201EA"/>
    <w:rsid w:val="00E20296"/>
    <w:rsid w:val="00E2032D"/>
    <w:rsid w:val="00E2038B"/>
    <w:rsid w:val="00E20A27"/>
    <w:rsid w:val="00E20BBC"/>
    <w:rsid w:val="00E20CB9"/>
    <w:rsid w:val="00E20E9A"/>
    <w:rsid w:val="00E214CF"/>
    <w:rsid w:val="00E2168D"/>
    <w:rsid w:val="00E21B17"/>
    <w:rsid w:val="00E21C98"/>
    <w:rsid w:val="00E21E83"/>
    <w:rsid w:val="00E22433"/>
    <w:rsid w:val="00E226EB"/>
    <w:rsid w:val="00E229E5"/>
    <w:rsid w:val="00E232E9"/>
    <w:rsid w:val="00E23537"/>
    <w:rsid w:val="00E2392C"/>
    <w:rsid w:val="00E23FA5"/>
    <w:rsid w:val="00E2432B"/>
    <w:rsid w:val="00E243D5"/>
    <w:rsid w:val="00E24790"/>
    <w:rsid w:val="00E24C59"/>
    <w:rsid w:val="00E24E26"/>
    <w:rsid w:val="00E24F16"/>
    <w:rsid w:val="00E25371"/>
    <w:rsid w:val="00E254E6"/>
    <w:rsid w:val="00E25819"/>
    <w:rsid w:val="00E258C8"/>
    <w:rsid w:val="00E259D6"/>
    <w:rsid w:val="00E25B68"/>
    <w:rsid w:val="00E2619E"/>
    <w:rsid w:val="00E261B2"/>
    <w:rsid w:val="00E26254"/>
    <w:rsid w:val="00E2651F"/>
    <w:rsid w:val="00E2683A"/>
    <w:rsid w:val="00E269D1"/>
    <w:rsid w:val="00E26C03"/>
    <w:rsid w:val="00E26CDF"/>
    <w:rsid w:val="00E27000"/>
    <w:rsid w:val="00E2741D"/>
    <w:rsid w:val="00E275D2"/>
    <w:rsid w:val="00E277D9"/>
    <w:rsid w:val="00E27BAA"/>
    <w:rsid w:val="00E27D34"/>
    <w:rsid w:val="00E304CA"/>
    <w:rsid w:val="00E306E6"/>
    <w:rsid w:val="00E307B5"/>
    <w:rsid w:val="00E30A6F"/>
    <w:rsid w:val="00E30C61"/>
    <w:rsid w:val="00E30F62"/>
    <w:rsid w:val="00E30F75"/>
    <w:rsid w:val="00E31725"/>
    <w:rsid w:val="00E318E6"/>
    <w:rsid w:val="00E319A3"/>
    <w:rsid w:val="00E31AF9"/>
    <w:rsid w:val="00E31B50"/>
    <w:rsid w:val="00E32294"/>
    <w:rsid w:val="00E32432"/>
    <w:rsid w:val="00E3258F"/>
    <w:rsid w:val="00E32699"/>
    <w:rsid w:val="00E327CC"/>
    <w:rsid w:val="00E32E2C"/>
    <w:rsid w:val="00E33140"/>
    <w:rsid w:val="00E333D8"/>
    <w:rsid w:val="00E336F1"/>
    <w:rsid w:val="00E3378B"/>
    <w:rsid w:val="00E33BD8"/>
    <w:rsid w:val="00E33C8A"/>
    <w:rsid w:val="00E33E29"/>
    <w:rsid w:val="00E33F61"/>
    <w:rsid w:val="00E34480"/>
    <w:rsid w:val="00E34965"/>
    <w:rsid w:val="00E34BE3"/>
    <w:rsid w:val="00E34E25"/>
    <w:rsid w:val="00E34F95"/>
    <w:rsid w:val="00E353AD"/>
    <w:rsid w:val="00E35446"/>
    <w:rsid w:val="00E35484"/>
    <w:rsid w:val="00E359AD"/>
    <w:rsid w:val="00E36444"/>
    <w:rsid w:val="00E36708"/>
    <w:rsid w:val="00E36723"/>
    <w:rsid w:val="00E36747"/>
    <w:rsid w:val="00E36977"/>
    <w:rsid w:val="00E36B77"/>
    <w:rsid w:val="00E36C4F"/>
    <w:rsid w:val="00E36D9B"/>
    <w:rsid w:val="00E36E2E"/>
    <w:rsid w:val="00E36F20"/>
    <w:rsid w:val="00E37127"/>
    <w:rsid w:val="00E371BB"/>
    <w:rsid w:val="00E37307"/>
    <w:rsid w:val="00E3788C"/>
    <w:rsid w:val="00E37A4F"/>
    <w:rsid w:val="00E37D9F"/>
    <w:rsid w:val="00E37DEB"/>
    <w:rsid w:val="00E400F8"/>
    <w:rsid w:val="00E401BA"/>
    <w:rsid w:val="00E40630"/>
    <w:rsid w:val="00E406A0"/>
    <w:rsid w:val="00E407DE"/>
    <w:rsid w:val="00E40A22"/>
    <w:rsid w:val="00E40B2E"/>
    <w:rsid w:val="00E40CEE"/>
    <w:rsid w:val="00E40DAD"/>
    <w:rsid w:val="00E415EA"/>
    <w:rsid w:val="00E4167D"/>
    <w:rsid w:val="00E41760"/>
    <w:rsid w:val="00E41780"/>
    <w:rsid w:val="00E41853"/>
    <w:rsid w:val="00E418FF"/>
    <w:rsid w:val="00E41923"/>
    <w:rsid w:val="00E41C5B"/>
    <w:rsid w:val="00E41D3D"/>
    <w:rsid w:val="00E42026"/>
    <w:rsid w:val="00E42757"/>
    <w:rsid w:val="00E4278A"/>
    <w:rsid w:val="00E42AC8"/>
    <w:rsid w:val="00E42B53"/>
    <w:rsid w:val="00E42BB6"/>
    <w:rsid w:val="00E42CB4"/>
    <w:rsid w:val="00E42FD6"/>
    <w:rsid w:val="00E43074"/>
    <w:rsid w:val="00E43FB3"/>
    <w:rsid w:val="00E44091"/>
    <w:rsid w:val="00E4426F"/>
    <w:rsid w:val="00E445FC"/>
    <w:rsid w:val="00E449DF"/>
    <w:rsid w:val="00E44A7C"/>
    <w:rsid w:val="00E44EE9"/>
    <w:rsid w:val="00E44F95"/>
    <w:rsid w:val="00E45721"/>
    <w:rsid w:val="00E45ADB"/>
    <w:rsid w:val="00E45B61"/>
    <w:rsid w:val="00E45BBC"/>
    <w:rsid w:val="00E45CBD"/>
    <w:rsid w:val="00E45DA8"/>
    <w:rsid w:val="00E45E04"/>
    <w:rsid w:val="00E4638C"/>
    <w:rsid w:val="00E46574"/>
    <w:rsid w:val="00E465AD"/>
    <w:rsid w:val="00E46741"/>
    <w:rsid w:val="00E46AC9"/>
    <w:rsid w:val="00E46E6E"/>
    <w:rsid w:val="00E46F8D"/>
    <w:rsid w:val="00E47079"/>
    <w:rsid w:val="00E4751B"/>
    <w:rsid w:val="00E476A8"/>
    <w:rsid w:val="00E47CE8"/>
    <w:rsid w:val="00E47F27"/>
    <w:rsid w:val="00E50065"/>
    <w:rsid w:val="00E50071"/>
    <w:rsid w:val="00E500BC"/>
    <w:rsid w:val="00E50651"/>
    <w:rsid w:val="00E5092D"/>
    <w:rsid w:val="00E50A0E"/>
    <w:rsid w:val="00E50B5D"/>
    <w:rsid w:val="00E50DB2"/>
    <w:rsid w:val="00E510F8"/>
    <w:rsid w:val="00E512FB"/>
    <w:rsid w:val="00E513D4"/>
    <w:rsid w:val="00E514C6"/>
    <w:rsid w:val="00E51A83"/>
    <w:rsid w:val="00E521D8"/>
    <w:rsid w:val="00E522B2"/>
    <w:rsid w:val="00E5242B"/>
    <w:rsid w:val="00E52993"/>
    <w:rsid w:val="00E529C3"/>
    <w:rsid w:val="00E52B2E"/>
    <w:rsid w:val="00E52B61"/>
    <w:rsid w:val="00E52B68"/>
    <w:rsid w:val="00E5340D"/>
    <w:rsid w:val="00E5363B"/>
    <w:rsid w:val="00E539DD"/>
    <w:rsid w:val="00E53DDA"/>
    <w:rsid w:val="00E54169"/>
    <w:rsid w:val="00E543E0"/>
    <w:rsid w:val="00E545C6"/>
    <w:rsid w:val="00E545EE"/>
    <w:rsid w:val="00E54AAC"/>
    <w:rsid w:val="00E54DE6"/>
    <w:rsid w:val="00E550B2"/>
    <w:rsid w:val="00E55421"/>
    <w:rsid w:val="00E5576B"/>
    <w:rsid w:val="00E5595E"/>
    <w:rsid w:val="00E55AF7"/>
    <w:rsid w:val="00E55E9A"/>
    <w:rsid w:val="00E55F17"/>
    <w:rsid w:val="00E56565"/>
    <w:rsid w:val="00E56A12"/>
    <w:rsid w:val="00E56F6A"/>
    <w:rsid w:val="00E57056"/>
    <w:rsid w:val="00E571A3"/>
    <w:rsid w:val="00E5764A"/>
    <w:rsid w:val="00E57777"/>
    <w:rsid w:val="00E5793B"/>
    <w:rsid w:val="00E579A6"/>
    <w:rsid w:val="00E57B75"/>
    <w:rsid w:val="00E57D64"/>
    <w:rsid w:val="00E57E87"/>
    <w:rsid w:val="00E6020E"/>
    <w:rsid w:val="00E60220"/>
    <w:rsid w:val="00E60544"/>
    <w:rsid w:val="00E60B26"/>
    <w:rsid w:val="00E60CDD"/>
    <w:rsid w:val="00E60CF7"/>
    <w:rsid w:val="00E60DDF"/>
    <w:rsid w:val="00E61003"/>
    <w:rsid w:val="00E61BEC"/>
    <w:rsid w:val="00E62270"/>
    <w:rsid w:val="00E622C3"/>
    <w:rsid w:val="00E62408"/>
    <w:rsid w:val="00E6250E"/>
    <w:rsid w:val="00E625CD"/>
    <w:rsid w:val="00E62705"/>
    <w:rsid w:val="00E6278D"/>
    <w:rsid w:val="00E62BE9"/>
    <w:rsid w:val="00E62EC6"/>
    <w:rsid w:val="00E630FE"/>
    <w:rsid w:val="00E632BF"/>
    <w:rsid w:val="00E63863"/>
    <w:rsid w:val="00E63B1A"/>
    <w:rsid w:val="00E640D4"/>
    <w:rsid w:val="00E6414E"/>
    <w:rsid w:val="00E6439E"/>
    <w:rsid w:val="00E6453A"/>
    <w:rsid w:val="00E646BE"/>
    <w:rsid w:val="00E648C7"/>
    <w:rsid w:val="00E649E0"/>
    <w:rsid w:val="00E64D22"/>
    <w:rsid w:val="00E64DDF"/>
    <w:rsid w:val="00E6503E"/>
    <w:rsid w:val="00E650AC"/>
    <w:rsid w:val="00E65BB4"/>
    <w:rsid w:val="00E65C6C"/>
    <w:rsid w:val="00E66931"/>
    <w:rsid w:val="00E66D0F"/>
    <w:rsid w:val="00E66F88"/>
    <w:rsid w:val="00E67342"/>
    <w:rsid w:val="00E67616"/>
    <w:rsid w:val="00E67853"/>
    <w:rsid w:val="00E67ADA"/>
    <w:rsid w:val="00E67B81"/>
    <w:rsid w:val="00E67D2A"/>
    <w:rsid w:val="00E70275"/>
    <w:rsid w:val="00E70378"/>
    <w:rsid w:val="00E705CC"/>
    <w:rsid w:val="00E70604"/>
    <w:rsid w:val="00E7079F"/>
    <w:rsid w:val="00E70803"/>
    <w:rsid w:val="00E7099A"/>
    <w:rsid w:val="00E70B71"/>
    <w:rsid w:val="00E70DED"/>
    <w:rsid w:val="00E71220"/>
    <w:rsid w:val="00E71602"/>
    <w:rsid w:val="00E71711"/>
    <w:rsid w:val="00E718C9"/>
    <w:rsid w:val="00E71B05"/>
    <w:rsid w:val="00E7244E"/>
    <w:rsid w:val="00E7260C"/>
    <w:rsid w:val="00E727D2"/>
    <w:rsid w:val="00E73193"/>
    <w:rsid w:val="00E73258"/>
    <w:rsid w:val="00E733A0"/>
    <w:rsid w:val="00E735D0"/>
    <w:rsid w:val="00E73627"/>
    <w:rsid w:val="00E73768"/>
    <w:rsid w:val="00E73A5D"/>
    <w:rsid w:val="00E73C7E"/>
    <w:rsid w:val="00E73E59"/>
    <w:rsid w:val="00E7461D"/>
    <w:rsid w:val="00E747AC"/>
    <w:rsid w:val="00E74B50"/>
    <w:rsid w:val="00E74CC6"/>
    <w:rsid w:val="00E74E94"/>
    <w:rsid w:val="00E754E4"/>
    <w:rsid w:val="00E7583A"/>
    <w:rsid w:val="00E75D52"/>
    <w:rsid w:val="00E7621B"/>
    <w:rsid w:val="00E76F41"/>
    <w:rsid w:val="00E77038"/>
    <w:rsid w:val="00E773FE"/>
    <w:rsid w:val="00E778F6"/>
    <w:rsid w:val="00E77C00"/>
    <w:rsid w:val="00E77EB8"/>
    <w:rsid w:val="00E77F0A"/>
    <w:rsid w:val="00E800ED"/>
    <w:rsid w:val="00E80293"/>
    <w:rsid w:val="00E80590"/>
    <w:rsid w:val="00E8072F"/>
    <w:rsid w:val="00E80A6E"/>
    <w:rsid w:val="00E80D20"/>
    <w:rsid w:val="00E811DB"/>
    <w:rsid w:val="00E8171D"/>
    <w:rsid w:val="00E81877"/>
    <w:rsid w:val="00E81AF9"/>
    <w:rsid w:val="00E81BA8"/>
    <w:rsid w:val="00E8212C"/>
    <w:rsid w:val="00E822D9"/>
    <w:rsid w:val="00E823AB"/>
    <w:rsid w:val="00E824D2"/>
    <w:rsid w:val="00E824D7"/>
    <w:rsid w:val="00E8272C"/>
    <w:rsid w:val="00E82CAE"/>
    <w:rsid w:val="00E82E5B"/>
    <w:rsid w:val="00E83208"/>
    <w:rsid w:val="00E83209"/>
    <w:rsid w:val="00E835B4"/>
    <w:rsid w:val="00E836B2"/>
    <w:rsid w:val="00E83949"/>
    <w:rsid w:val="00E83BD9"/>
    <w:rsid w:val="00E83BFB"/>
    <w:rsid w:val="00E83CFD"/>
    <w:rsid w:val="00E83E67"/>
    <w:rsid w:val="00E84176"/>
    <w:rsid w:val="00E842EE"/>
    <w:rsid w:val="00E84598"/>
    <w:rsid w:val="00E848C5"/>
    <w:rsid w:val="00E8490B"/>
    <w:rsid w:val="00E84C59"/>
    <w:rsid w:val="00E84EF4"/>
    <w:rsid w:val="00E84FAC"/>
    <w:rsid w:val="00E852CF"/>
    <w:rsid w:val="00E853AD"/>
    <w:rsid w:val="00E8565A"/>
    <w:rsid w:val="00E85675"/>
    <w:rsid w:val="00E85EE6"/>
    <w:rsid w:val="00E86222"/>
    <w:rsid w:val="00E8687F"/>
    <w:rsid w:val="00E86939"/>
    <w:rsid w:val="00E86A1D"/>
    <w:rsid w:val="00E86C3F"/>
    <w:rsid w:val="00E86CA8"/>
    <w:rsid w:val="00E86E75"/>
    <w:rsid w:val="00E87651"/>
    <w:rsid w:val="00E8766F"/>
    <w:rsid w:val="00E90156"/>
    <w:rsid w:val="00E9042B"/>
    <w:rsid w:val="00E906D8"/>
    <w:rsid w:val="00E9075F"/>
    <w:rsid w:val="00E909D4"/>
    <w:rsid w:val="00E90E1D"/>
    <w:rsid w:val="00E91032"/>
    <w:rsid w:val="00E9112C"/>
    <w:rsid w:val="00E912D3"/>
    <w:rsid w:val="00E9130B"/>
    <w:rsid w:val="00E9136C"/>
    <w:rsid w:val="00E9149B"/>
    <w:rsid w:val="00E916BF"/>
    <w:rsid w:val="00E918B9"/>
    <w:rsid w:val="00E91DEC"/>
    <w:rsid w:val="00E91E21"/>
    <w:rsid w:val="00E91E40"/>
    <w:rsid w:val="00E92BB9"/>
    <w:rsid w:val="00E92BC1"/>
    <w:rsid w:val="00E92C0F"/>
    <w:rsid w:val="00E92C24"/>
    <w:rsid w:val="00E93069"/>
    <w:rsid w:val="00E93143"/>
    <w:rsid w:val="00E934BF"/>
    <w:rsid w:val="00E934D7"/>
    <w:rsid w:val="00E934DF"/>
    <w:rsid w:val="00E93592"/>
    <w:rsid w:val="00E93772"/>
    <w:rsid w:val="00E939E9"/>
    <w:rsid w:val="00E93AC9"/>
    <w:rsid w:val="00E93B75"/>
    <w:rsid w:val="00E94187"/>
    <w:rsid w:val="00E943DC"/>
    <w:rsid w:val="00E9447C"/>
    <w:rsid w:val="00E94BAC"/>
    <w:rsid w:val="00E94CC7"/>
    <w:rsid w:val="00E94D73"/>
    <w:rsid w:val="00E9503B"/>
    <w:rsid w:val="00E9535E"/>
    <w:rsid w:val="00E95695"/>
    <w:rsid w:val="00E95C4B"/>
    <w:rsid w:val="00E95C7C"/>
    <w:rsid w:val="00E96351"/>
    <w:rsid w:val="00E9658E"/>
    <w:rsid w:val="00E9681B"/>
    <w:rsid w:val="00E96B58"/>
    <w:rsid w:val="00E96D01"/>
    <w:rsid w:val="00E96E5B"/>
    <w:rsid w:val="00E97754"/>
    <w:rsid w:val="00E9783B"/>
    <w:rsid w:val="00E97AC6"/>
    <w:rsid w:val="00E97BD4"/>
    <w:rsid w:val="00EA0135"/>
    <w:rsid w:val="00EA05D5"/>
    <w:rsid w:val="00EA0A5B"/>
    <w:rsid w:val="00EA0B92"/>
    <w:rsid w:val="00EA0C37"/>
    <w:rsid w:val="00EA10A5"/>
    <w:rsid w:val="00EA17B6"/>
    <w:rsid w:val="00EA18F1"/>
    <w:rsid w:val="00EA1945"/>
    <w:rsid w:val="00EA1B17"/>
    <w:rsid w:val="00EA1D99"/>
    <w:rsid w:val="00EA1DBB"/>
    <w:rsid w:val="00EA1E33"/>
    <w:rsid w:val="00EA1E84"/>
    <w:rsid w:val="00EA21DF"/>
    <w:rsid w:val="00EA252C"/>
    <w:rsid w:val="00EA25FF"/>
    <w:rsid w:val="00EA2750"/>
    <w:rsid w:val="00EA276C"/>
    <w:rsid w:val="00EA2AC6"/>
    <w:rsid w:val="00EA2B9F"/>
    <w:rsid w:val="00EA2EC3"/>
    <w:rsid w:val="00EA2FCF"/>
    <w:rsid w:val="00EA348D"/>
    <w:rsid w:val="00EA35C4"/>
    <w:rsid w:val="00EA3606"/>
    <w:rsid w:val="00EA369E"/>
    <w:rsid w:val="00EA3A34"/>
    <w:rsid w:val="00EA3B4D"/>
    <w:rsid w:val="00EA4154"/>
    <w:rsid w:val="00EA42B7"/>
    <w:rsid w:val="00EA4424"/>
    <w:rsid w:val="00EA4475"/>
    <w:rsid w:val="00EA4B34"/>
    <w:rsid w:val="00EA4F3C"/>
    <w:rsid w:val="00EA56BE"/>
    <w:rsid w:val="00EA5772"/>
    <w:rsid w:val="00EA5AC6"/>
    <w:rsid w:val="00EA5C88"/>
    <w:rsid w:val="00EA5D39"/>
    <w:rsid w:val="00EA5F1B"/>
    <w:rsid w:val="00EA619E"/>
    <w:rsid w:val="00EA68A4"/>
    <w:rsid w:val="00EA71B5"/>
    <w:rsid w:val="00EA7284"/>
    <w:rsid w:val="00EA7414"/>
    <w:rsid w:val="00EA7960"/>
    <w:rsid w:val="00EA7C4C"/>
    <w:rsid w:val="00EA7D74"/>
    <w:rsid w:val="00EB0664"/>
    <w:rsid w:val="00EB0CC9"/>
    <w:rsid w:val="00EB0CDC"/>
    <w:rsid w:val="00EB0D9A"/>
    <w:rsid w:val="00EB0DC3"/>
    <w:rsid w:val="00EB0ED7"/>
    <w:rsid w:val="00EB1098"/>
    <w:rsid w:val="00EB112E"/>
    <w:rsid w:val="00EB1178"/>
    <w:rsid w:val="00EB1330"/>
    <w:rsid w:val="00EB1B98"/>
    <w:rsid w:val="00EB2188"/>
    <w:rsid w:val="00EB221A"/>
    <w:rsid w:val="00EB23AE"/>
    <w:rsid w:val="00EB242A"/>
    <w:rsid w:val="00EB2735"/>
    <w:rsid w:val="00EB2B75"/>
    <w:rsid w:val="00EB2E0F"/>
    <w:rsid w:val="00EB2F03"/>
    <w:rsid w:val="00EB30F3"/>
    <w:rsid w:val="00EB3135"/>
    <w:rsid w:val="00EB349D"/>
    <w:rsid w:val="00EB45A7"/>
    <w:rsid w:val="00EB4683"/>
    <w:rsid w:val="00EB471B"/>
    <w:rsid w:val="00EB4FB8"/>
    <w:rsid w:val="00EB5111"/>
    <w:rsid w:val="00EB5360"/>
    <w:rsid w:val="00EB543F"/>
    <w:rsid w:val="00EB56B1"/>
    <w:rsid w:val="00EB5A30"/>
    <w:rsid w:val="00EB5C1A"/>
    <w:rsid w:val="00EB5CF1"/>
    <w:rsid w:val="00EB5DDE"/>
    <w:rsid w:val="00EB6847"/>
    <w:rsid w:val="00EB68DC"/>
    <w:rsid w:val="00EB68F8"/>
    <w:rsid w:val="00EB6A6A"/>
    <w:rsid w:val="00EB6FF2"/>
    <w:rsid w:val="00EB73FB"/>
    <w:rsid w:val="00EB7F43"/>
    <w:rsid w:val="00EC063C"/>
    <w:rsid w:val="00EC0783"/>
    <w:rsid w:val="00EC0999"/>
    <w:rsid w:val="00EC0A5C"/>
    <w:rsid w:val="00EC0C3B"/>
    <w:rsid w:val="00EC105F"/>
    <w:rsid w:val="00EC15B3"/>
    <w:rsid w:val="00EC1675"/>
    <w:rsid w:val="00EC18E6"/>
    <w:rsid w:val="00EC1B9A"/>
    <w:rsid w:val="00EC243C"/>
    <w:rsid w:val="00EC256E"/>
    <w:rsid w:val="00EC25D8"/>
    <w:rsid w:val="00EC27A1"/>
    <w:rsid w:val="00EC2929"/>
    <w:rsid w:val="00EC2A27"/>
    <w:rsid w:val="00EC2E3F"/>
    <w:rsid w:val="00EC332A"/>
    <w:rsid w:val="00EC335D"/>
    <w:rsid w:val="00EC33FA"/>
    <w:rsid w:val="00EC35EE"/>
    <w:rsid w:val="00EC36C5"/>
    <w:rsid w:val="00EC3890"/>
    <w:rsid w:val="00EC3B75"/>
    <w:rsid w:val="00EC3B8D"/>
    <w:rsid w:val="00EC3DDA"/>
    <w:rsid w:val="00EC3F4B"/>
    <w:rsid w:val="00EC4379"/>
    <w:rsid w:val="00EC442A"/>
    <w:rsid w:val="00EC450A"/>
    <w:rsid w:val="00EC458C"/>
    <w:rsid w:val="00EC4C93"/>
    <w:rsid w:val="00EC51D7"/>
    <w:rsid w:val="00EC5449"/>
    <w:rsid w:val="00EC5988"/>
    <w:rsid w:val="00EC5CF9"/>
    <w:rsid w:val="00EC5EB6"/>
    <w:rsid w:val="00EC5F1F"/>
    <w:rsid w:val="00EC6474"/>
    <w:rsid w:val="00EC6530"/>
    <w:rsid w:val="00EC6B6B"/>
    <w:rsid w:val="00EC6BC1"/>
    <w:rsid w:val="00EC6C26"/>
    <w:rsid w:val="00EC6F12"/>
    <w:rsid w:val="00EC7257"/>
    <w:rsid w:val="00EC7329"/>
    <w:rsid w:val="00EC73D1"/>
    <w:rsid w:val="00EC765F"/>
    <w:rsid w:val="00EC7ADD"/>
    <w:rsid w:val="00EC7C45"/>
    <w:rsid w:val="00EC7C62"/>
    <w:rsid w:val="00ED0342"/>
    <w:rsid w:val="00ED050A"/>
    <w:rsid w:val="00ED0759"/>
    <w:rsid w:val="00ED0CD3"/>
    <w:rsid w:val="00ED1013"/>
    <w:rsid w:val="00ED104B"/>
    <w:rsid w:val="00ED10DF"/>
    <w:rsid w:val="00ED1239"/>
    <w:rsid w:val="00ED1806"/>
    <w:rsid w:val="00ED1AD3"/>
    <w:rsid w:val="00ED1BA8"/>
    <w:rsid w:val="00ED1C81"/>
    <w:rsid w:val="00ED1D1A"/>
    <w:rsid w:val="00ED2593"/>
    <w:rsid w:val="00ED25E6"/>
    <w:rsid w:val="00ED2F60"/>
    <w:rsid w:val="00ED3125"/>
    <w:rsid w:val="00ED31E8"/>
    <w:rsid w:val="00ED372A"/>
    <w:rsid w:val="00ED383D"/>
    <w:rsid w:val="00ED39BD"/>
    <w:rsid w:val="00ED3BA7"/>
    <w:rsid w:val="00ED3EFB"/>
    <w:rsid w:val="00ED42B5"/>
    <w:rsid w:val="00ED44A3"/>
    <w:rsid w:val="00ED4814"/>
    <w:rsid w:val="00ED50DE"/>
    <w:rsid w:val="00ED51C5"/>
    <w:rsid w:val="00ED51C9"/>
    <w:rsid w:val="00ED53EB"/>
    <w:rsid w:val="00ED5415"/>
    <w:rsid w:val="00ED54F8"/>
    <w:rsid w:val="00ED5637"/>
    <w:rsid w:val="00ED5C72"/>
    <w:rsid w:val="00ED5DFB"/>
    <w:rsid w:val="00ED5EA8"/>
    <w:rsid w:val="00ED7034"/>
    <w:rsid w:val="00ED70AB"/>
    <w:rsid w:val="00ED7106"/>
    <w:rsid w:val="00ED71F7"/>
    <w:rsid w:val="00ED74A5"/>
    <w:rsid w:val="00ED7570"/>
    <w:rsid w:val="00ED759E"/>
    <w:rsid w:val="00ED75A9"/>
    <w:rsid w:val="00ED7861"/>
    <w:rsid w:val="00ED7EEA"/>
    <w:rsid w:val="00EE01DB"/>
    <w:rsid w:val="00EE039E"/>
    <w:rsid w:val="00EE0439"/>
    <w:rsid w:val="00EE0619"/>
    <w:rsid w:val="00EE0A50"/>
    <w:rsid w:val="00EE0A56"/>
    <w:rsid w:val="00EE0AD6"/>
    <w:rsid w:val="00EE0B85"/>
    <w:rsid w:val="00EE0BAC"/>
    <w:rsid w:val="00EE1865"/>
    <w:rsid w:val="00EE1B6B"/>
    <w:rsid w:val="00EE1DA3"/>
    <w:rsid w:val="00EE252D"/>
    <w:rsid w:val="00EE2B42"/>
    <w:rsid w:val="00EE2C23"/>
    <w:rsid w:val="00EE2DDA"/>
    <w:rsid w:val="00EE2E1D"/>
    <w:rsid w:val="00EE300F"/>
    <w:rsid w:val="00EE3199"/>
    <w:rsid w:val="00EE3B57"/>
    <w:rsid w:val="00EE3C2B"/>
    <w:rsid w:val="00EE3E09"/>
    <w:rsid w:val="00EE4103"/>
    <w:rsid w:val="00EE42C3"/>
    <w:rsid w:val="00EE43CA"/>
    <w:rsid w:val="00EE450B"/>
    <w:rsid w:val="00EE4707"/>
    <w:rsid w:val="00EE487A"/>
    <w:rsid w:val="00EE4DB1"/>
    <w:rsid w:val="00EE520D"/>
    <w:rsid w:val="00EE5530"/>
    <w:rsid w:val="00EE558A"/>
    <w:rsid w:val="00EE5AC7"/>
    <w:rsid w:val="00EE5DB3"/>
    <w:rsid w:val="00EE6137"/>
    <w:rsid w:val="00EE621C"/>
    <w:rsid w:val="00EE634C"/>
    <w:rsid w:val="00EE6447"/>
    <w:rsid w:val="00EE6658"/>
    <w:rsid w:val="00EE66EE"/>
    <w:rsid w:val="00EE674B"/>
    <w:rsid w:val="00EE7033"/>
    <w:rsid w:val="00EE71C8"/>
    <w:rsid w:val="00EE737F"/>
    <w:rsid w:val="00EE767B"/>
    <w:rsid w:val="00EE767E"/>
    <w:rsid w:val="00EE76ED"/>
    <w:rsid w:val="00EE7B24"/>
    <w:rsid w:val="00EE7F42"/>
    <w:rsid w:val="00EE7FFB"/>
    <w:rsid w:val="00EF0013"/>
    <w:rsid w:val="00EF0B65"/>
    <w:rsid w:val="00EF0BC9"/>
    <w:rsid w:val="00EF11D4"/>
    <w:rsid w:val="00EF1526"/>
    <w:rsid w:val="00EF18BA"/>
    <w:rsid w:val="00EF2092"/>
    <w:rsid w:val="00EF24B9"/>
    <w:rsid w:val="00EF29FE"/>
    <w:rsid w:val="00EF2F49"/>
    <w:rsid w:val="00EF310B"/>
    <w:rsid w:val="00EF3895"/>
    <w:rsid w:val="00EF399E"/>
    <w:rsid w:val="00EF3A75"/>
    <w:rsid w:val="00EF3D0C"/>
    <w:rsid w:val="00EF3E96"/>
    <w:rsid w:val="00EF4347"/>
    <w:rsid w:val="00EF450D"/>
    <w:rsid w:val="00EF45D7"/>
    <w:rsid w:val="00EF4611"/>
    <w:rsid w:val="00EF47C3"/>
    <w:rsid w:val="00EF48BC"/>
    <w:rsid w:val="00EF4967"/>
    <w:rsid w:val="00EF4B4A"/>
    <w:rsid w:val="00EF4EA3"/>
    <w:rsid w:val="00EF5110"/>
    <w:rsid w:val="00EF541C"/>
    <w:rsid w:val="00EF5484"/>
    <w:rsid w:val="00EF57BC"/>
    <w:rsid w:val="00EF5A9C"/>
    <w:rsid w:val="00EF5C74"/>
    <w:rsid w:val="00EF5D21"/>
    <w:rsid w:val="00EF6930"/>
    <w:rsid w:val="00EF69A3"/>
    <w:rsid w:val="00EF6D17"/>
    <w:rsid w:val="00EF6FB7"/>
    <w:rsid w:val="00EF6FC3"/>
    <w:rsid w:val="00EF71BD"/>
    <w:rsid w:val="00EF72CB"/>
    <w:rsid w:val="00EF731A"/>
    <w:rsid w:val="00EF736B"/>
    <w:rsid w:val="00EF74A5"/>
    <w:rsid w:val="00EF7AA8"/>
    <w:rsid w:val="00EF7CBB"/>
    <w:rsid w:val="00EF7E47"/>
    <w:rsid w:val="00F0039A"/>
    <w:rsid w:val="00F0065A"/>
    <w:rsid w:val="00F008B6"/>
    <w:rsid w:val="00F0093A"/>
    <w:rsid w:val="00F00CD6"/>
    <w:rsid w:val="00F00F8C"/>
    <w:rsid w:val="00F011DD"/>
    <w:rsid w:val="00F01233"/>
    <w:rsid w:val="00F01548"/>
    <w:rsid w:val="00F01725"/>
    <w:rsid w:val="00F017E4"/>
    <w:rsid w:val="00F01F50"/>
    <w:rsid w:val="00F02205"/>
    <w:rsid w:val="00F02370"/>
    <w:rsid w:val="00F02871"/>
    <w:rsid w:val="00F0290F"/>
    <w:rsid w:val="00F029BA"/>
    <w:rsid w:val="00F02AC7"/>
    <w:rsid w:val="00F02C83"/>
    <w:rsid w:val="00F02F62"/>
    <w:rsid w:val="00F0301F"/>
    <w:rsid w:val="00F032DC"/>
    <w:rsid w:val="00F0338A"/>
    <w:rsid w:val="00F03457"/>
    <w:rsid w:val="00F03632"/>
    <w:rsid w:val="00F03DFF"/>
    <w:rsid w:val="00F03E8D"/>
    <w:rsid w:val="00F03FD3"/>
    <w:rsid w:val="00F0422A"/>
    <w:rsid w:val="00F04315"/>
    <w:rsid w:val="00F049F3"/>
    <w:rsid w:val="00F04AF2"/>
    <w:rsid w:val="00F04B58"/>
    <w:rsid w:val="00F04E85"/>
    <w:rsid w:val="00F04EE0"/>
    <w:rsid w:val="00F050AF"/>
    <w:rsid w:val="00F05650"/>
    <w:rsid w:val="00F05C75"/>
    <w:rsid w:val="00F05E9D"/>
    <w:rsid w:val="00F062B5"/>
    <w:rsid w:val="00F066D7"/>
    <w:rsid w:val="00F0681C"/>
    <w:rsid w:val="00F06B37"/>
    <w:rsid w:val="00F06CD6"/>
    <w:rsid w:val="00F06DF9"/>
    <w:rsid w:val="00F06F97"/>
    <w:rsid w:val="00F07174"/>
    <w:rsid w:val="00F0728D"/>
    <w:rsid w:val="00F07843"/>
    <w:rsid w:val="00F079E6"/>
    <w:rsid w:val="00F07E84"/>
    <w:rsid w:val="00F07F57"/>
    <w:rsid w:val="00F07FC2"/>
    <w:rsid w:val="00F10131"/>
    <w:rsid w:val="00F107B8"/>
    <w:rsid w:val="00F10BFD"/>
    <w:rsid w:val="00F10D66"/>
    <w:rsid w:val="00F10FBB"/>
    <w:rsid w:val="00F112BC"/>
    <w:rsid w:val="00F115C3"/>
    <w:rsid w:val="00F1166E"/>
    <w:rsid w:val="00F116CA"/>
    <w:rsid w:val="00F11EC8"/>
    <w:rsid w:val="00F12084"/>
    <w:rsid w:val="00F126A4"/>
    <w:rsid w:val="00F12702"/>
    <w:rsid w:val="00F128CE"/>
    <w:rsid w:val="00F12C1D"/>
    <w:rsid w:val="00F12C6F"/>
    <w:rsid w:val="00F12EBA"/>
    <w:rsid w:val="00F1319A"/>
    <w:rsid w:val="00F13286"/>
    <w:rsid w:val="00F13872"/>
    <w:rsid w:val="00F1397B"/>
    <w:rsid w:val="00F139B0"/>
    <w:rsid w:val="00F13A4A"/>
    <w:rsid w:val="00F1478E"/>
    <w:rsid w:val="00F14A28"/>
    <w:rsid w:val="00F14A98"/>
    <w:rsid w:val="00F14C76"/>
    <w:rsid w:val="00F14CBB"/>
    <w:rsid w:val="00F150CA"/>
    <w:rsid w:val="00F15510"/>
    <w:rsid w:val="00F1557C"/>
    <w:rsid w:val="00F15596"/>
    <w:rsid w:val="00F15AD5"/>
    <w:rsid w:val="00F15F0B"/>
    <w:rsid w:val="00F15F0F"/>
    <w:rsid w:val="00F161E1"/>
    <w:rsid w:val="00F1621C"/>
    <w:rsid w:val="00F164B1"/>
    <w:rsid w:val="00F164D6"/>
    <w:rsid w:val="00F16BFF"/>
    <w:rsid w:val="00F16E69"/>
    <w:rsid w:val="00F17319"/>
    <w:rsid w:val="00F17372"/>
    <w:rsid w:val="00F173EC"/>
    <w:rsid w:val="00F17485"/>
    <w:rsid w:val="00F17518"/>
    <w:rsid w:val="00F178A1"/>
    <w:rsid w:val="00F17961"/>
    <w:rsid w:val="00F17E92"/>
    <w:rsid w:val="00F20241"/>
    <w:rsid w:val="00F20944"/>
    <w:rsid w:val="00F20A5C"/>
    <w:rsid w:val="00F20D01"/>
    <w:rsid w:val="00F21068"/>
    <w:rsid w:val="00F21072"/>
    <w:rsid w:val="00F21296"/>
    <w:rsid w:val="00F21486"/>
    <w:rsid w:val="00F21703"/>
    <w:rsid w:val="00F217FD"/>
    <w:rsid w:val="00F2182A"/>
    <w:rsid w:val="00F21906"/>
    <w:rsid w:val="00F2193C"/>
    <w:rsid w:val="00F21B0B"/>
    <w:rsid w:val="00F21C68"/>
    <w:rsid w:val="00F21E9D"/>
    <w:rsid w:val="00F22117"/>
    <w:rsid w:val="00F221BC"/>
    <w:rsid w:val="00F221DF"/>
    <w:rsid w:val="00F2235F"/>
    <w:rsid w:val="00F22726"/>
    <w:rsid w:val="00F228E8"/>
    <w:rsid w:val="00F22D56"/>
    <w:rsid w:val="00F23079"/>
    <w:rsid w:val="00F2329C"/>
    <w:rsid w:val="00F23340"/>
    <w:rsid w:val="00F23397"/>
    <w:rsid w:val="00F2356E"/>
    <w:rsid w:val="00F23B36"/>
    <w:rsid w:val="00F23D17"/>
    <w:rsid w:val="00F2482F"/>
    <w:rsid w:val="00F24995"/>
    <w:rsid w:val="00F25161"/>
    <w:rsid w:val="00F25323"/>
    <w:rsid w:val="00F2554E"/>
    <w:rsid w:val="00F259B0"/>
    <w:rsid w:val="00F25A13"/>
    <w:rsid w:val="00F25BC2"/>
    <w:rsid w:val="00F25CD1"/>
    <w:rsid w:val="00F25FD7"/>
    <w:rsid w:val="00F2604A"/>
    <w:rsid w:val="00F2609C"/>
    <w:rsid w:val="00F2644F"/>
    <w:rsid w:val="00F26501"/>
    <w:rsid w:val="00F265E6"/>
    <w:rsid w:val="00F26675"/>
    <w:rsid w:val="00F26DFA"/>
    <w:rsid w:val="00F2709B"/>
    <w:rsid w:val="00F27238"/>
    <w:rsid w:val="00F2765F"/>
    <w:rsid w:val="00F27875"/>
    <w:rsid w:val="00F27887"/>
    <w:rsid w:val="00F279CE"/>
    <w:rsid w:val="00F279EE"/>
    <w:rsid w:val="00F301ED"/>
    <w:rsid w:val="00F302FE"/>
    <w:rsid w:val="00F303E3"/>
    <w:rsid w:val="00F30604"/>
    <w:rsid w:val="00F3089E"/>
    <w:rsid w:val="00F3090F"/>
    <w:rsid w:val="00F30D13"/>
    <w:rsid w:val="00F30E8A"/>
    <w:rsid w:val="00F30F46"/>
    <w:rsid w:val="00F30F77"/>
    <w:rsid w:val="00F31123"/>
    <w:rsid w:val="00F3147C"/>
    <w:rsid w:val="00F31D36"/>
    <w:rsid w:val="00F31EE4"/>
    <w:rsid w:val="00F320F1"/>
    <w:rsid w:val="00F3226F"/>
    <w:rsid w:val="00F32747"/>
    <w:rsid w:val="00F32DAB"/>
    <w:rsid w:val="00F33051"/>
    <w:rsid w:val="00F331A2"/>
    <w:rsid w:val="00F331FA"/>
    <w:rsid w:val="00F33233"/>
    <w:rsid w:val="00F3369E"/>
    <w:rsid w:val="00F3371B"/>
    <w:rsid w:val="00F33744"/>
    <w:rsid w:val="00F33B90"/>
    <w:rsid w:val="00F33F0C"/>
    <w:rsid w:val="00F33F3B"/>
    <w:rsid w:val="00F3431C"/>
    <w:rsid w:val="00F35D62"/>
    <w:rsid w:val="00F35F65"/>
    <w:rsid w:val="00F36097"/>
    <w:rsid w:val="00F36151"/>
    <w:rsid w:val="00F362AF"/>
    <w:rsid w:val="00F3664C"/>
    <w:rsid w:val="00F36826"/>
    <w:rsid w:val="00F36ABB"/>
    <w:rsid w:val="00F36AF3"/>
    <w:rsid w:val="00F37003"/>
    <w:rsid w:val="00F37149"/>
    <w:rsid w:val="00F371C7"/>
    <w:rsid w:val="00F37301"/>
    <w:rsid w:val="00F3745C"/>
    <w:rsid w:val="00F3748B"/>
    <w:rsid w:val="00F374D7"/>
    <w:rsid w:val="00F37A06"/>
    <w:rsid w:val="00F37B45"/>
    <w:rsid w:val="00F37C4B"/>
    <w:rsid w:val="00F400D4"/>
    <w:rsid w:val="00F40220"/>
    <w:rsid w:val="00F4046C"/>
    <w:rsid w:val="00F406F8"/>
    <w:rsid w:val="00F4077C"/>
    <w:rsid w:val="00F40A24"/>
    <w:rsid w:val="00F40D4A"/>
    <w:rsid w:val="00F40E3B"/>
    <w:rsid w:val="00F40F3E"/>
    <w:rsid w:val="00F41132"/>
    <w:rsid w:val="00F4122C"/>
    <w:rsid w:val="00F412DE"/>
    <w:rsid w:val="00F416A5"/>
    <w:rsid w:val="00F418E5"/>
    <w:rsid w:val="00F41BD5"/>
    <w:rsid w:val="00F41FAA"/>
    <w:rsid w:val="00F42366"/>
    <w:rsid w:val="00F42731"/>
    <w:rsid w:val="00F42C90"/>
    <w:rsid w:val="00F42EA4"/>
    <w:rsid w:val="00F42F9A"/>
    <w:rsid w:val="00F430AD"/>
    <w:rsid w:val="00F43361"/>
    <w:rsid w:val="00F43508"/>
    <w:rsid w:val="00F43679"/>
    <w:rsid w:val="00F43826"/>
    <w:rsid w:val="00F43A6E"/>
    <w:rsid w:val="00F43E2B"/>
    <w:rsid w:val="00F43F8B"/>
    <w:rsid w:val="00F442B1"/>
    <w:rsid w:val="00F44467"/>
    <w:rsid w:val="00F4449D"/>
    <w:rsid w:val="00F44806"/>
    <w:rsid w:val="00F44AA0"/>
    <w:rsid w:val="00F44C34"/>
    <w:rsid w:val="00F45303"/>
    <w:rsid w:val="00F4556F"/>
    <w:rsid w:val="00F455C9"/>
    <w:rsid w:val="00F456A8"/>
    <w:rsid w:val="00F459E9"/>
    <w:rsid w:val="00F45BD1"/>
    <w:rsid w:val="00F45C32"/>
    <w:rsid w:val="00F45CE2"/>
    <w:rsid w:val="00F45D39"/>
    <w:rsid w:val="00F45FC0"/>
    <w:rsid w:val="00F4637F"/>
    <w:rsid w:val="00F46506"/>
    <w:rsid w:val="00F46726"/>
    <w:rsid w:val="00F467CE"/>
    <w:rsid w:val="00F4689B"/>
    <w:rsid w:val="00F46B54"/>
    <w:rsid w:val="00F46B9D"/>
    <w:rsid w:val="00F46E0A"/>
    <w:rsid w:val="00F46E96"/>
    <w:rsid w:val="00F472F6"/>
    <w:rsid w:val="00F47480"/>
    <w:rsid w:val="00F475EE"/>
    <w:rsid w:val="00F4760C"/>
    <w:rsid w:val="00F47660"/>
    <w:rsid w:val="00F4777D"/>
    <w:rsid w:val="00F47A2C"/>
    <w:rsid w:val="00F5009E"/>
    <w:rsid w:val="00F50478"/>
    <w:rsid w:val="00F508C1"/>
    <w:rsid w:val="00F50F36"/>
    <w:rsid w:val="00F512C3"/>
    <w:rsid w:val="00F5138E"/>
    <w:rsid w:val="00F517FD"/>
    <w:rsid w:val="00F518F2"/>
    <w:rsid w:val="00F51B4E"/>
    <w:rsid w:val="00F51E29"/>
    <w:rsid w:val="00F5204E"/>
    <w:rsid w:val="00F52181"/>
    <w:rsid w:val="00F52372"/>
    <w:rsid w:val="00F529BF"/>
    <w:rsid w:val="00F53021"/>
    <w:rsid w:val="00F536E6"/>
    <w:rsid w:val="00F53903"/>
    <w:rsid w:val="00F53C57"/>
    <w:rsid w:val="00F53C64"/>
    <w:rsid w:val="00F53DDB"/>
    <w:rsid w:val="00F54060"/>
    <w:rsid w:val="00F5409B"/>
    <w:rsid w:val="00F54455"/>
    <w:rsid w:val="00F54558"/>
    <w:rsid w:val="00F545FE"/>
    <w:rsid w:val="00F54874"/>
    <w:rsid w:val="00F5490D"/>
    <w:rsid w:val="00F54942"/>
    <w:rsid w:val="00F54AF1"/>
    <w:rsid w:val="00F54EFC"/>
    <w:rsid w:val="00F55209"/>
    <w:rsid w:val="00F55344"/>
    <w:rsid w:val="00F55B60"/>
    <w:rsid w:val="00F55C12"/>
    <w:rsid w:val="00F55EC6"/>
    <w:rsid w:val="00F55FF7"/>
    <w:rsid w:val="00F5660D"/>
    <w:rsid w:val="00F56754"/>
    <w:rsid w:val="00F56AF3"/>
    <w:rsid w:val="00F56D12"/>
    <w:rsid w:val="00F56DD4"/>
    <w:rsid w:val="00F56DFE"/>
    <w:rsid w:val="00F56F2A"/>
    <w:rsid w:val="00F571F2"/>
    <w:rsid w:val="00F574A1"/>
    <w:rsid w:val="00F574C2"/>
    <w:rsid w:val="00F574EE"/>
    <w:rsid w:val="00F5791E"/>
    <w:rsid w:val="00F57B24"/>
    <w:rsid w:val="00F57EB4"/>
    <w:rsid w:val="00F602AB"/>
    <w:rsid w:val="00F603CA"/>
    <w:rsid w:val="00F60852"/>
    <w:rsid w:val="00F60903"/>
    <w:rsid w:val="00F60E89"/>
    <w:rsid w:val="00F61D01"/>
    <w:rsid w:val="00F61EE4"/>
    <w:rsid w:val="00F629F0"/>
    <w:rsid w:val="00F62FF4"/>
    <w:rsid w:val="00F6318B"/>
    <w:rsid w:val="00F6336D"/>
    <w:rsid w:val="00F63737"/>
    <w:rsid w:val="00F6377A"/>
    <w:rsid w:val="00F638E4"/>
    <w:rsid w:val="00F63BDB"/>
    <w:rsid w:val="00F63E95"/>
    <w:rsid w:val="00F6426C"/>
    <w:rsid w:val="00F642F0"/>
    <w:rsid w:val="00F64703"/>
    <w:rsid w:val="00F647C9"/>
    <w:rsid w:val="00F64887"/>
    <w:rsid w:val="00F64B4C"/>
    <w:rsid w:val="00F64E64"/>
    <w:rsid w:val="00F65BAA"/>
    <w:rsid w:val="00F65C00"/>
    <w:rsid w:val="00F6615C"/>
    <w:rsid w:val="00F668DF"/>
    <w:rsid w:val="00F66B2E"/>
    <w:rsid w:val="00F66EC1"/>
    <w:rsid w:val="00F673A1"/>
    <w:rsid w:val="00F675A6"/>
    <w:rsid w:val="00F67A7B"/>
    <w:rsid w:val="00F67D61"/>
    <w:rsid w:val="00F700D7"/>
    <w:rsid w:val="00F70486"/>
    <w:rsid w:val="00F705DA"/>
    <w:rsid w:val="00F706E7"/>
    <w:rsid w:val="00F7080E"/>
    <w:rsid w:val="00F70862"/>
    <w:rsid w:val="00F70885"/>
    <w:rsid w:val="00F70B38"/>
    <w:rsid w:val="00F70F8D"/>
    <w:rsid w:val="00F710A1"/>
    <w:rsid w:val="00F7121D"/>
    <w:rsid w:val="00F712B8"/>
    <w:rsid w:val="00F71317"/>
    <w:rsid w:val="00F7139E"/>
    <w:rsid w:val="00F7144B"/>
    <w:rsid w:val="00F71693"/>
    <w:rsid w:val="00F718A1"/>
    <w:rsid w:val="00F722D9"/>
    <w:rsid w:val="00F722FC"/>
    <w:rsid w:val="00F726E2"/>
    <w:rsid w:val="00F72744"/>
    <w:rsid w:val="00F73201"/>
    <w:rsid w:val="00F732E3"/>
    <w:rsid w:val="00F733D8"/>
    <w:rsid w:val="00F73505"/>
    <w:rsid w:val="00F735CD"/>
    <w:rsid w:val="00F736EB"/>
    <w:rsid w:val="00F73B7F"/>
    <w:rsid w:val="00F73C3D"/>
    <w:rsid w:val="00F73CB4"/>
    <w:rsid w:val="00F73E18"/>
    <w:rsid w:val="00F74231"/>
    <w:rsid w:val="00F7437E"/>
    <w:rsid w:val="00F7438A"/>
    <w:rsid w:val="00F74532"/>
    <w:rsid w:val="00F746AF"/>
    <w:rsid w:val="00F746FB"/>
    <w:rsid w:val="00F748FD"/>
    <w:rsid w:val="00F74B88"/>
    <w:rsid w:val="00F74CC0"/>
    <w:rsid w:val="00F74F5C"/>
    <w:rsid w:val="00F751FD"/>
    <w:rsid w:val="00F75657"/>
    <w:rsid w:val="00F75D5E"/>
    <w:rsid w:val="00F75F63"/>
    <w:rsid w:val="00F7606B"/>
    <w:rsid w:val="00F7637D"/>
    <w:rsid w:val="00F763F3"/>
    <w:rsid w:val="00F7691F"/>
    <w:rsid w:val="00F76CA7"/>
    <w:rsid w:val="00F770CA"/>
    <w:rsid w:val="00F772D0"/>
    <w:rsid w:val="00F774BA"/>
    <w:rsid w:val="00F77630"/>
    <w:rsid w:val="00F779BA"/>
    <w:rsid w:val="00F77A1B"/>
    <w:rsid w:val="00F77C4D"/>
    <w:rsid w:val="00F77F4A"/>
    <w:rsid w:val="00F8064E"/>
    <w:rsid w:val="00F807C9"/>
    <w:rsid w:val="00F80B9E"/>
    <w:rsid w:val="00F80F70"/>
    <w:rsid w:val="00F812FB"/>
    <w:rsid w:val="00F813BA"/>
    <w:rsid w:val="00F81501"/>
    <w:rsid w:val="00F81E30"/>
    <w:rsid w:val="00F821B2"/>
    <w:rsid w:val="00F82630"/>
    <w:rsid w:val="00F82C75"/>
    <w:rsid w:val="00F82EAF"/>
    <w:rsid w:val="00F8347D"/>
    <w:rsid w:val="00F83872"/>
    <w:rsid w:val="00F838EB"/>
    <w:rsid w:val="00F83A8A"/>
    <w:rsid w:val="00F83D68"/>
    <w:rsid w:val="00F83F45"/>
    <w:rsid w:val="00F83FBE"/>
    <w:rsid w:val="00F847EA"/>
    <w:rsid w:val="00F848EF"/>
    <w:rsid w:val="00F849E3"/>
    <w:rsid w:val="00F84D3C"/>
    <w:rsid w:val="00F84D7C"/>
    <w:rsid w:val="00F85046"/>
    <w:rsid w:val="00F852BD"/>
    <w:rsid w:val="00F852F4"/>
    <w:rsid w:val="00F85662"/>
    <w:rsid w:val="00F85CCF"/>
    <w:rsid w:val="00F85F59"/>
    <w:rsid w:val="00F86526"/>
    <w:rsid w:val="00F866A0"/>
    <w:rsid w:val="00F866B1"/>
    <w:rsid w:val="00F8690F"/>
    <w:rsid w:val="00F870E3"/>
    <w:rsid w:val="00F874A9"/>
    <w:rsid w:val="00F8756F"/>
    <w:rsid w:val="00F877EA"/>
    <w:rsid w:val="00F87AEA"/>
    <w:rsid w:val="00F900CE"/>
    <w:rsid w:val="00F902EF"/>
    <w:rsid w:val="00F90A38"/>
    <w:rsid w:val="00F90B95"/>
    <w:rsid w:val="00F9109F"/>
    <w:rsid w:val="00F912F2"/>
    <w:rsid w:val="00F913CB"/>
    <w:rsid w:val="00F91465"/>
    <w:rsid w:val="00F91683"/>
    <w:rsid w:val="00F916BF"/>
    <w:rsid w:val="00F916E7"/>
    <w:rsid w:val="00F91747"/>
    <w:rsid w:val="00F9187E"/>
    <w:rsid w:val="00F91A45"/>
    <w:rsid w:val="00F91D9A"/>
    <w:rsid w:val="00F91E3F"/>
    <w:rsid w:val="00F91E8A"/>
    <w:rsid w:val="00F922F5"/>
    <w:rsid w:val="00F9259F"/>
    <w:rsid w:val="00F92A0C"/>
    <w:rsid w:val="00F92BBE"/>
    <w:rsid w:val="00F92C73"/>
    <w:rsid w:val="00F92E27"/>
    <w:rsid w:val="00F92F24"/>
    <w:rsid w:val="00F930C1"/>
    <w:rsid w:val="00F93325"/>
    <w:rsid w:val="00F933E6"/>
    <w:rsid w:val="00F935A0"/>
    <w:rsid w:val="00F93EE5"/>
    <w:rsid w:val="00F945EB"/>
    <w:rsid w:val="00F94819"/>
    <w:rsid w:val="00F9496B"/>
    <w:rsid w:val="00F94B6A"/>
    <w:rsid w:val="00F94B93"/>
    <w:rsid w:val="00F94C74"/>
    <w:rsid w:val="00F94EA7"/>
    <w:rsid w:val="00F9523F"/>
    <w:rsid w:val="00F956EA"/>
    <w:rsid w:val="00F9580E"/>
    <w:rsid w:val="00F958E3"/>
    <w:rsid w:val="00F959DB"/>
    <w:rsid w:val="00F95C16"/>
    <w:rsid w:val="00F95F51"/>
    <w:rsid w:val="00F9606F"/>
    <w:rsid w:val="00F96290"/>
    <w:rsid w:val="00F968AC"/>
    <w:rsid w:val="00F968C9"/>
    <w:rsid w:val="00F96B30"/>
    <w:rsid w:val="00F96C1E"/>
    <w:rsid w:val="00F96FB5"/>
    <w:rsid w:val="00F971FC"/>
    <w:rsid w:val="00F973AC"/>
    <w:rsid w:val="00F974CE"/>
    <w:rsid w:val="00F97F89"/>
    <w:rsid w:val="00FA04FF"/>
    <w:rsid w:val="00FA0A3D"/>
    <w:rsid w:val="00FA0A4A"/>
    <w:rsid w:val="00FA0A93"/>
    <w:rsid w:val="00FA0B3F"/>
    <w:rsid w:val="00FA106C"/>
    <w:rsid w:val="00FA1207"/>
    <w:rsid w:val="00FA12C0"/>
    <w:rsid w:val="00FA144A"/>
    <w:rsid w:val="00FA17DE"/>
    <w:rsid w:val="00FA18E7"/>
    <w:rsid w:val="00FA1C96"/>
    <w:rsid w:val="00FA20B3"/>
    <w:rsid w:val="00FA2148"/>
    <w:rsid w:val="00FA2152"/>
    <w:rsid w:val="00FA2344"/>
    <w:rsid w:val="00FA2603"/>
    <w:rsid w:val="00FA2A61"/>
    <w:rsid w:val="00FA2A6E"/>
    <w:rsid w:val="00FA2A97"/>
    <w:rsid w:val="00FA2DB9"/>
    <w:rsid w:val="00FA2E58"/>
    <w:rsid w:val="00FA2F43"/>
    <w:rsid w:val="00FA3268"/>
    <w:rsid w:val="00FA331F"/>
    <w:rsid w:val="00FA33C6"/>
    <w:rsid w:val="00FA3539"/>
    <w:rsid w:val="00FA35EB"/>
    <w:rsid w:val="00FA3E1D"/>
    <w:rsid w:val="00FA4238"/>
    <w:rsid w:val="00FA46C1"/>
    <w:rsid w:val="00FA485F"/>
    <w:rsid w:val="00FA4B12"/>
    <w:rsid w:val="00FA4DD8"/>
    <w:rsid w:val="00FA4E1E"/>
    <w:rsid w:val="00FA5411"/>
    <w:rsid w:val="00FA54C8"/>
    <w:rsid w:val="00FA5E55"/>
    <w:rsid w:val="00FA615C"/>
    <w:rsid w:val="00FA618C"/>
    <w:rsid w:val="00FA61D8"/>
    <w:rsid w:val="00FA68B8"/>
    <w:rsid w:val="00FA6B30"/>
    <w:rsid w:val="00FA6B6A"/>
    <w:rsid w:val="00FA6DEA"/>
    <w:rsid w:val="00FA70BD"/>
    <w:rsid w:val="00FA71DE"/>
    <w:rsid w:val="00FA77A5"/>
    <w:rsid w:val="00FA7955"/>
    <w:rsid w:val="00FA7E79"/>
    <w:rsid w:val="00FB0240"/>
    <w:rsid w:val="00FB05E1"/>
    <w:rsid w:val="00FB076D"/>
    <w:rsid w:val="00FB0C6E"/>
    <w:rsid w:val="00FB125E"/>
    <w:rsid w:val="00FB150D"/>
    <w:rsid w:val="00FB165F"/>
    <w:rsid w:val="00FB1981"/>
    <w:rsid w:val="00FB1BAA"/>
    <w:rsid w:val="00FB1DCF"/>
    <w:rsid w:val="00FB20CD"/>
    <w:rsid w:val="00FB222A"/>
    <w:rsid w:val="00FB235E"/>
    <w:rsid w:val="00FB238B"/>
    <w:rsid w:val="00FB29F6"/>
    <w:rsid w:val="00FB2BA3"/>
    <w:rsid w:val="00FB2BFE"/>
    <w:rsid w:val="00FB2FD0"/>
    <w:rsid w:val="00FB307E"/>
    <w:rsid w:val="00FB323D"/>
    <w:rsid w:val="00FB3305"/>
    <w:rsid w:val="00FB33AC"/>
    <w:rsid w:val="00FB3400"/>
    <w:rsid w:val="00FB3509"/>
    <w:rsid w:val="00FB3536"/>
    <w:rsid w:val="00FB3688"/>
    <w:rsid w:val="00FB3D8A"/>
    <w:rsid w:val="00FB3E31"/>
    <w:rsid w:val="00FB3E71"/>
    <w:rsid w:val="00FB43F0"/>
    <w:rsid w:val="00FB4913"/>
    <w:rsid w:val="00FB4EF8"/>
    <w:rsid w:val="00FB50A7"/>
    <w:rsid w:val="00FB5342"/>
    <w:rsid w:val="00FB567C"/>
    <w:rsid w:val="00FB57FC"/>
    <w:rsid w:val="00FB5CF2"/>
    <w:rsid w:val="00FB5E10"/>
    <w:rsid w:val="00FB624E"/>
    <w:rsid w:val="00FB648A"/>
    <w:rsid w:val="00FB65F9"/>
    <w:rsid w:val="00FB6BC2"/>
    <w:rsid w:val="00FB6D52"/>
    <w:rsid w:val="00FB6DE2"/>
    <w:rsid w:val="00FB6F8A"/>
    <w:rsid w:val="00FB715E"/>
    <w:rsid w:val="00FB72E4"/>
    <w:rsid w:val="00FB73C0"/>
    <w:rsid w:val="00FB775E"/>
    <w:rsid w:val="00FB7784"/>
    <w:rsid w:val="00FB7AA4"/>
    <w:rsid w:val="00FB7F41"/>
    <w:rsid w:val="00FC0206"/>
    <w:rsid w:val="00FC026C"/>
    <w:rsid w:val="00FC0925"/>
    <w:rsid w:val="00FC0C6C"/>
    <w:rsid w:val="00FC0C72"/>
    <w:rsid w:val="00FC0D3B"/>
    <w:rsid w:val="00FC0D62"/>
    <w:rsid w:val="00FC0EB1"/>
    <w:rsid w:val="00FC1076"/>
    <w:rsid w:val="00FC12CA"/>
    <w:rsid w:val="00FC13AA"/>
    <w:rsid w:val="00FC1549"/>
    <w:rsid w:val="00FC1618"/>
    <w:rsid w:val="00FC18FD"/>
    <w:rsid w:val="00FC19B0"/>
    <w:rsid w:val="00FC1C79"/>
    <w:rsid w:val="00FC210C"/>
    <w:rsid w:val="00FC23DD"/>
    <w:rsid w:val="00FC2950"/>
    <w:rsid w:val="00FC3099"/>
    <w:rsid w:val="00FC3296"/>
    <w:rsid w:val="00FC330C"/>
    <w:rsid w:val="00FC37B9"/>
    <w:rsid w:val="00FC382A"/>
    <w:rsid w:val="00FC3840"/>
    <w:rsid w:val="00FC38B2"/>
    <w:rsid w:val="00FC393B"/>
    <w:rsid w:val="00FC3A49"/>
    <w:rsid w:val="00FC3B08"/>
    <w:rsid w:val="00FC3EA6"/>
    <w:rsid w:val="00FC42D3"/>
    <w:rsid w:val="00FC486B"/>
    <w:rsid w:val="00FC49CC"/>
    <w:rsid w:val="00FC4C85"/>
    <w:rsid w:val="00FC4F76"/>
    <w:rsid w:val="00FC520C"/>
    <w:rsid w:val="00FC52E7"/>
    <w:rsid w:val="00FC534A"/>
    <w:rsid w:val="00FC54D5"/>
    <w:rsid w:val="00FC5540"/>
    <w:rsid w:val="00FC564A"/>
    <w:rsid w:val="00FC5B3B"/>
    <w:rsid w:val="00FC63EA"/>
    <w:rsid w:val="00FC6553"/>
    <w:rsid w:val="00FC6B4A"/>
    <w:rsid w:val="00FC6D1B"/>
    <w:rsid w:val="00FC7186"/>
    <w:rsid w:val="00FC72E6"/>
    <w:rsid w:val="00FC7375"/>
    <w:rsid w:val="00FC7C90"/>
    <w:rsid w:val="00FD009B"/>
    <w:rsid w:val="00FD0142"/>
    <w:rsid w:val="00FD0291"/>
    <w:rsid w:val="00FD02CB"/>
    <w:rsid w:val="00FD04B7"/>
    <w:rsid w:val="00FD0851"/>
    <w:rsid w:val="00FD0BF0"/>
    <w:rsid w:val="00FD0E93"/>
    <w:rsid w:val="00FD0EBA"/>
    <w:rsid w:val="00FD107E"/>
    <w:rsid w:val="00FD1224"/>
    <w:rsid w:val="00FD1D87"/>
    <w:rsid w:val="00FD20CE"/>
    <w:rsid w:val="00FD2DF3"/>
    <w:rsid w:val="00FD2F0A"/>
    <w:rsid w:val="00FD323F"/>
    <w:rsid w:val="00FD338A"/>
    <w:rsid w:val="00FD33B5"/>
    <w:rsid w:val="00FD33D9"/>
    <w:rsid w:val="00FD35CC"/>
    <w:rsid w:val="00FD3F5B"/>
    <w:rsid w:val="00FD4191"/>
    <w:rsid w:val="00FD4426"/>
    <w:rsid w:val="00FD447A"/>
    <w:rsid w:val="00FD46A6"/>
    <w:rsid w:val="00FD4887"/>
    <w:rsid w:val="00FD5010"/>
    <w:rsid w:val="00FD508A"/>
    <w:rsid w:val="00FD53FC"/>
    <w:rsid w:val="00FD546D"/>
    <w:rsid w:val="00FD5470"/>
    <w:rsid w:val="00FD549B"/>
    <w:rsid w:val="00FD57C2"/>
    <w:rsid w:val="00FD5886"/>
    <w:rsid w:val="00FD5A4D"/>
    <w:rsid w:val="00FD5C3A"/>
    <w:rsid w:val="00FD6286"/>
    <w:rsid w:val="00FD629F"/>
    <w:rsid w:val="00FD6329"/>
    <w:rsid w:val="00FD6458"/>
    <w:rsid w:val="00FD645D"/>
    <w:rsid w:val="00FD67AC"/>
    <w:rsid w:val="00FD68DC"/>
    <w:rsid w:val="00FD76C3"/>
    <w:rsid w:val="00FD7B72"/>
    <w:rsid w:val="00FE00C2"/>
    <w:rsid w:val="00FE0602"/>
    <w:rsid w:val="00FE0679"/>
    <w:rsid w:val="00FE07ED"/>
    <w:rsid w:val="00FE0844"/>
    <w:rsid w:val="00FE0B63"/>
    <w:rsid w:val="00FE0F1B"/>
    <w:rsid w:val="00FE0FBD"/>
    <w:rsid w:val="00FE0FFC"/>
    <w:rsid w:val="00FE14CF"/>
    <w:rsid w:val="00FE172D"/>
    <w:rsid w:val="00FE1985"/>
    <w:rsid w:val="00FE199C"/>
    <w:rsid w:val="00FE1BE6"/>
    <w:rsid w:val="00FE1E3E"/>
    <w:rsid w:val="00FE2142"/>
    <w:rsid w:val="00FE21A6"/>
    <w:rsid w:val="00FE21D2"/>
    <w:rsid w:val="00FE21F9"/>
    <w:rsid w:val="00FE2375"/>
    <w:rsid w:val="00FE24CB"/>
    <w:rsid w:val="00FE2B13"/>
    <w:rsid w:val="00FE2C1B"/>
    <w:rsid w:val="00FE2C2F"/>
    <w:rsid w:val="00FE2CBB"/>
    <w:rsid w:val="00FE2D7E"/>
    <w:rsid w:val="00FE31EB"/>
    <w:rsid w:val="00FE32FB"/>
    <w:rsid w:val="00FE3ABB"/>
    <w:rsid w:val="00FE3AC9"/>
    <w:rsid w:val="00FE3BF0"/>
    <w:rsid w:val="00FE4037"/>
    <w:rsid w:val="00FE416E"/>
    <w:rsid w:val="00FE45C0"/>
    <w:rsid w:val="00FE4640"/>
    <w:rsid w:val="00FE4697"/>
    <w:rsid w:val="00FE4D76"/>
    <w:rsid w:val="00FE4EBB"/>
    <w:rsid w:val="00FE4ED1"/>
    <w:rsid w:val="00FE5244"/>
    <w:rsid w:val="00FE54F9"/>
    <w:rsid w:val="00FE5979"/>
    <w:rsid w:val="00FE5ACA"/>
    <w:rsid w:val="00FE5C42"/>
    <w:rsid w:val="00FE5D19"/>
    <w:rsid w:val="00FE5FB9"/>
    <w:rsid w:val="00FE6189"/>
    <w:rsid w:val="00FE61FC"/>
    <w:rsid w:val="00FE6402"/>
    <w:rsid w:val="00FE6ACB"/>
    <w:rsid w:val="00FE6B3B"/>
    <w:rsid w:val="00FE6BF2"/>
    <w:rsid w:val="00FE6C5B"/>
    <w:rsid w:val="00FE7129"/>
    <w:rsid w:val="00FE7159"/>
    <w:rsid w:val="00FE7491"/>
    <w:rsid w:val="00FE767F"/>
    <w:rsid w:val="00FE78FD"/>
    <w:rsid w:val="00FE7BCC"/>
    <w:rsid w:val="00FF00A9"/>
    <w:rsid w:val="00FF022D"/>
    <w:rsid w:val="00FF028A"/>
    <w:rsid w:val="00FF03F3"/>
    <w:rsid w:val="00FF0584"/>
    <w:rsid w:val="00FF08AB"/>
    <w:rsid w:val="00FF0EE5"/>
    <w:rsid w:val="00FF0F69"/>
    <w:rsid w:val="00FF10F0"/>
    <w:rsid w:val="00FF122A"/>
    <w:rsid w:val="00FF1869"/>
    <w:rsid w:val="00FF1BC7"/>
    <w:rsid w:val="00FF1D12"/>
    <w:rsid w:val="00FF1FCB"/>
    <w:rsid w:val="00FF1FE7"/>
    <w:rsid w:val="00FF2047"/>
    <w:rsid w:val="00FF26F6"/>
    <w:rsid w:val="00FF291E"/>
    <w:rsid w:val="00FF2C73"/>
    <w:rsid w:val="00FF2CE7"/>
    <w:rsid w:val="00FF2D49"/>
    <w:rsid w:val="00FF31F9"/>
    <w:rsid w:val="00FF3517"/>
    <w:rsid w:val="00FF3610"/>
    <w:rsid w:val="00FF3859"/>
    <w:rsid w:val="00FF3BA1"/>
    <w:rsid w:val="00FF4179"/>
    <w:rsid w:val="00FF4237"/>
    <w:rsid w:val="00FF433E"/>
    <w:rsid w:val="00FF4458"/>
    <w:rsid w:val="00FF4512"/>
    <w:rsid w:val="00FF46B1"/>
    <w:rsid w:val="00FF4D52"/>
    <w:rsid w:val="00FF4F84"/>
    <w:rsid w:val="00FF5195"/>
    <w:rsid w:val="00FF55CD"/>
    <w:rsid w:val="00FF5DB3"/>
    <w:rsid w:val="00FF618D"/>
    <w:rsid w:val="00FF6357"/>
    <w:rsid w:val="00FF6388"/>
    <w:rsid w:val="00FF64BD"/>
    <w:rsid w:val="00FF6869"/>
    <w:rsid w:val="00FF6C1C"/>
    <w:rsid w:val="00FF6CB1"/>
    <w:rsid w:val="00FF6F11"/>
    <w:rsid w:val="00FF752D"/>
    <w:rsid w:val="00FF7537"/>
    <w:rsid w:val="00FF7561"/>
    <w:rsid w:val="00FF75EC"/>
    <w:rsid w:val="00FF7D87"/>
    <w:rsid w:val="01A65747"/>
    <w:rsid w:val="026E54F6"/>
    <w:rsid w:val="02DF5FDF"/>
    <w:rsid w:val="059B0533"/>
    <w:rsid w:val="064031B8"/>
    <w:rsid w:val="08BC615A"/>
    <w:rsid w:val="08FD4003"/>
    <w:rsid w:val="0AE011D4"/>
    <w:rsid w:val="0B9175F3"/>
    <w:rsid w:val="0EB601A2"/>
    <w:rsid w:val="0EF92D78"/>
    <w:rsid w:val="0F045314"/>
    <w:rsid w:val="0F5337A0"/>
    <w:rsid w:val="11E00BDC"/>
    <w:rsid w:val="12CD45BC"/>
    <w:rsid w:val="13052A95"/>
    <w:rsid w:val="134D2771"/>
    <w:rsid w:val="154A026A"/>
    <w:rsid w:val="16B600CF"/>
    <w:rsid w:val="17266CC5"/>
    <w:rsid w:val="1856268D"/>
    <w:rsid w:val="18C179CD"/>
    <w:rsid w:val="196D196F"/>
    <w:rsid w:val="1EF06916"/>
    <w:rsid w:val="1F1D6D27"/>
    <w:rsid w:val="1FA94DC4"/>
    <w:rsid w:val="20EF512A"/>
    <w:rsid w:val="225A5D2F"/>
    <w:rsid w:val="22F56CAD"/>
    <w:rsid w:val="23B45337"/>
    <w:rsid w:val="269F7958"/>
    <w:rsid w:val="279158D3"/>
    <w:rsid w:val="28A13765"/>
    <w:rsid w:val="29BD1038"/>
    <w:rsid w:val="2AB228E7"/>
    <w:rsid w:val="2F4120E5"/>
    <w:rsid w:val="3079149C"/>
    <w:rsid w:val="31673B61"/>
    <w:rsid w:val="32D85BE7"/>
    <w:rsid w:val="33076B2D"/>
    <w:rsid w:val="34AC6A12"/>
    <w:rsid w:val="35E65FD8"/>
    <w:rsid w:val="366D1975"/>
    <w:rsid w:val="37941132"/>
    <w:rsid w:val="39A21C68"/>
    <w:rsid w:val="39DD355F"/>
    <w:rsid w:val="3ADF4DDF"/>
    <w:rsid w:val="3CC411AB"/>
    <w:rsid w:val="3EC207BB"/>
    <w:rsid w:val="41EE1379"/>
    <w:rsid w:val="429B6CE5"/>
    <w:rsid w:val="43B330F2"/>
    <w:rsid w:val="46D51E23"/>
    <w:rsid w:val="47372A84"/>
    <w:rsid w:val="4B2F0DA0"/>
    <w:rsid w:val="4BC96E40"/>
    <w:rsid w:val="4BF272CE"/>
    <w:rsid w:val="4D9C692B"/>
    <w:rsid w:val="4DFA7E76"/>
    <w:rsid w:val="4E473EF5"/>
    <w:rsid w:val="4EA34EA3"/>
    <w:rsid w:val="51014AC6"/>
    <w:rsid w:val="54AA4F8C"/>
    <w:rsid w:val="566F3994"/>
    <w:rsid w:val="56A668F4"/>
    <w:rsid w:val="57004211"/>
    <w:rsid w:val="579A04E3"/>
    <w:rsid w:val="57BF4A8D"/>
    <w:rsid w:val="57FA6835"/>
    <w:rsid w:val="580D1191"/>
    <w:rsid w:val="5870142B"/>
    <w:rsid w:val="5A3F744C"/>
    <w:rsid w:val="5B3A4DF9"/>
    <w:rsid w:val="5C3D50AA"/>
    <w:rsid w:val="5DD57187"/>
    <w:rsid w:val="5E3F03AB"/>
    <w:rsid w:val="60347FF5"/>
    <w:rsid w:val="608507EA"/>
    <w:rsid w:val="60D16121"/>
    <w:rsid w:val="62EB66B3"/>
    <w:rsid w:val="68EF42F3"/>
    <w:rsid w:val="69974FBA"/>
    <w:rsid w:val="6A2D585D"/>
    <w:rsid w:val="6ABB67D3"/>
    <w:rsid w:val="6DC907F5"/>
    <w:rsid w:val="701C5676"/>
    <w:rsid w:val="741C4035"/>
    <w:rsid w:val="74E05C86"/>
    <w:rsid w:val="752308C7"/>
    <w:rsid w:val="76D45116"/>
    <w:rsid w:val="77421E50"/>
    <w:rsid w:val="77607C6C"/>
    <w:rsid w:val="79040E08"/>
    <w:rsid w:val="792151BF"/>
    <w:rsid w:val="798017E6"/>
    <w:rsid w:val="7AB160CE"/>
    <w:rsid w:val="7BC818C5"/>
    <w:rsid w:val="7D8F68EF"/>
    <w:rsid w:val="7E490D4D"/>
    <w:rsid w:val="7FAD15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DB15551-5D22-4B30-B474-67675B8D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1"/>
      <w:szCs w:val="21"/>
    </w:rPr>
  </w:style>
  <w:style w:type="paragraph" w:styleId="1">
    <w:name w:val="heading 1"/>
    <w:basedOn w:val="a"/>
    <w:next w:val="a"/>
    <w:link w:val="10"/>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0"/>
    <w:semiHidden/>
    <w:unhideWhenUsed/>
    <w:qFormat/>
    <w:pPr>
      <w:keepNext/>
      <w:keepLines/>
      <w:widowControl w:val="0"/>
      <w:spacing w:before="60" w:after="60"/>
      <w:ind w:left="200" w:hangingChars="200" w:hanging="200"/>
      <w:jc w:val="both"/>
      <w:outlineLvl w:val="1"/>
    </w:pPr>
    <w:rPr>
      <w:rFonts w:ascii="Arial" w:hAnsi="Arial" w:cs="Times New Roman"/>
      <w:b/>
      <w:bCs/>
      <w:kern w:val="2"/>
    </w:rPr>
  </w:style>
  <w:style w:type="paragraph" w:styleId="3">
    <w:name w:val="heading 3"/>
    <w:basedOn w:val="a"/>
    <w:next w:val="a"/>
    <w:link w:val="30"/>
    <w:semiHidden/>
    <w:unhideWhenUsed/>
    <w:qFormat/>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semiHidden/>
    <w:unhideWhenUsed/>
    <w:qFormat/>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0"/>
    <w:semiHidden/>
    <w:unhideWhenUsed/>
    <w:qFormat/>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semiHidden/>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0"/>
    <w:semiHidden/>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pPr>
      <w:ind w:left="1260"/>
    </w:pPr>
    <w:rPr>
      <w:rFonts w:asciiTheme="minorHAnsi" w:hAnsiTheme="minorHAnsi" w:cstheme="minorHAnsi"/>
      <w:bCs/>
      <w:sz w:val="18"/>
      <w:szCs w:val="18"/>
    </w:rPr>
  </w:style>
  <w:style w:type="paragraph" w:styleId="a3">
    <w:name w:val="Note Heading"/>
    <w:basedOn w:val="a"/>
    <w:next w:val="a"/>
    <w:link w:val="a4"/>
    <w:pPr>
      <w:widowControl w:val="0"/>
      <w:jc w:val="center"/>
    </w:pPr>
    <w:rPr>
      <w:rFonts w:ascii="Times New Roman" w:hAnsi="Times New Roman" w:cs="Times New Roman"/>
      <w:kern w:val="2"/>
    </w:rPr>
  </w:style>
  <w:style w:type="paragraph" w:styleId="a5">
    <w:name w:val="Normal Indent"/>
    <w:basedOn w:val="a"/>
    <w:pPr>
      <w:widowControl w:val="0"/>
      <w:ind w:firstLineChars="200" w:firstLine="420"/>
      <w:jc w:val="both"/>
    </w:pPr>
    <w:rPr>
      <w:rFonts w:ascii="Times New Roman" w:hAnsi="Times New Roman" w:cs="Times New Roman"/>
      <w:kern w:val="2"/>
    </w:rPr>
  </w:style>
  <w:style w:type="paragraph" w:styleId="a6">
    <w:name w:val="Document Map"/>
    <w:basedOn w:val="a"/>
    <w:link w:val="a7"/>
    <w:pPr>
      <w:widowControl w:val="0"/>
      <w:jc w:val="both"/>
    </w:pPr>
    <w:rPr>
      <w:rFonts w:hAnsi="Calibri" w:cs="Times New Roman"/>
      <w:kern w:val="2"/>
      <w:sz w:val="18"/>
      <w:szCs w:val="18"/>
    </w:rPr>
  </w:style>
  <w:style w:type="paragraph" w:styleId="a8">
    <w:name w:val="toa heading"/>
    <w:basedOn w:val="a"/>
    <w:next w:val="a"/>
    <w:pPr>
      <w:widowControl w:val="0"/>
      <w:spacing w:before="120"/>
      <w:jc w:val="both"/>
    </w:pPr>
    <w:rPr>
      <w:rFonts w:ascii="Arial" w:hAnsi="Arial" w:cs="Times New Roman"/>
      <w:b/>
      <w:bCs/>
      <w:kern w:val="2"/>
    </w:rPr>
  </w:style>
  <w:style w:type="paragraph" w:styleId="a9">
    <w:name w:val="annotation text"/>
    <w:basedOn w:val="a"/>
    <w:link w:val="aa"/>
    <w:pPr>
      <w:widowControl w:val="0"/>
    </w:pPr>
    <w:rPr>
      <w:rFonts w:ascii="Times New Roman" w:hAnsi="Times New Roman" w:cs="Times New Roman"/>
      <w:kern w:val="2"/>
    </w:rPr>
  </w:style>
  <w:style w:type="paragraph" w:styleId="ab">
    <w:name w:val="Salutation"/>
    <w:basedOn w:val="a"/>
    <w:next w:val="a"/>
    <w:link w:val="ac"/>
    <w:pPr>
      <w:widowControl w:val="0"/>
      <w:jc w:val="both"/>
    </w:pPr>
    <w:rPr>
      <w:rFonts w:ascii="Times New Roman" w:hAnsi="Times New Roman" w:cs="Times New Roman"/>
      <w:kern w:val="2"/>
    </w:rPr>
  </w:style>
  <w:style w:type="paragraph" w:styleId="31">
    <w:name w:val="List Bullet 3"/>
    <w:basedOn w:val="a"/>
    <w:pPr>
      <w:widowControl w:val="0"/>
      <w:tabs>
        <w:tab w:val="left" w:pos="1200"/>
      </w:tabs>
      <w:jc w:val="both"/>
    </w:pPr>
    <w:rPr>
      <w:rFonts w:ascii="Times New Roman" w:hAnsi="Times New Roman" w:cs="Times New Roman"/>
      <w:kern w:val="2"/>
    </w:rPr>
  </w:style>
  <w:style w:type="paragraph" w:styleId="ad">
    <w:name w:val="Body Text"/>
    <w:basedOn w:val="a"/>
    <w:link w:val="ae"/>
    <w:pPr>
      <w:widowControl w:val="0"/>
      <w:spacing w:after="120"/>
      <w:jc w:val="both"/>
    </w:pPr>
    <w:rPr>
      <w:rFonts w:ascii="Times New Roman" w:hAnsi="Times New Roman" w:cs="Times New Roman"/>
      <w:kern w:val="2"/>
    </w:rPr>
  </w:style>
  <w:style w:type="paragraph" w:styleId="51">
    <w:name w:val="toc 5"/>
    <w:basedOn w:val="a"/>
    <w:next w:val="a"/>
    <w:autoRedefine/>
    <w:pPr>
      <w:ind w:left="840"/>
    </w:pPr>
    <w:rPr>
      <w:rFonts w:asciiTheme="minorHAnsi" w:hAnsiTheme="minorHAnsi" w:cstheme="minorHAnsi"/>
      <w:bCs/>
      <w:sz w:val="18"/>
      <w:szCs w:val="18"/>
    </w:rPr>
  </w:style>
  <w:style w:type="paragraph" w:styleId="32">
    <w:name w:val="toc 3"/>
    <w:basedOn w:val="a"/>
    <w:next w:val="a"/>
    <w:autoRedefine/>
    <w:pPr>
      <w:ind w:left="420"/>
    </w:pPr>
    <w:rPr>
      <w:rFonts w:asciiTheme="minorHAnsi" w:hAnsiTheme="minorHAnsi" w:cstheme="minorHAnsi"/>
      <w:bCs/>
      <w:i/>
      <w:iCs/>
      <w:sz w:val="20"/>
      <w:szCs w:val="20"/>
    </w:rPr>
  </w:style>
  <w:style w:type="paragraph" w:styleId="af">
    <w:name w:val="Plain Text"/>
    <w:basedOn w:val="a"/>
    <w:link w:val="af0"/>
    <w:pPr>
      <w:widowControl w:val="0"/>
      <w:jc w:val="both"/>
    </w:pPr>
    <w:rPr>
      <w:rFonts w:hAnsi="Courier New" w:cs="Times New Roman"/>
      <w:kern w:val="2"/>
      <w:szCs w:val="20"/>
    </w:rPr>
  </w:style>
  <w:style w:type="paragraph" w:styleId="8">
    <w:name w:val="toc 8"/>
    <w:basedOn w:val="a"/>
    <w:next w:val="a"/>
    <w:link w:val="80"/>
    <w:autoRedefine/>
    <w:pPr>
      <w:ind w:left="1470"/>
    </w:pPr>
    <w:rPr>
      <w:rFonts w:asciiTheme="minorHAnsi" w:hAnsiTheme="minorHAnsi" w:cstheme="minorHAnsi"/>
      <w:bCs/>
      <w:sz w:val="18"/>
      <w:szCs w:val="18"/>
    </w:rPr>
  </w:style>
  <w:style w:type="paragraph" w:styleId="af1">
    <w:name w:val="Date"/>
    <w:basedOn w:val="a"/>
    <w:next w:val="a"/>
    <w:link w:val="af2"/>
    <w:pPr>
      <w:widowControl w:val="0"/>
      <w:ind w:leftChars="2500" w:left="100"/>
      <w:jc w:val="both"/>
    </w:pPr>
    <w:rPr>
      <w:rFonts w:ascii="Times New Roman" w:hAnsi="Times New Roman" w:cs="Times New Roman"/>
      <w:kern w:val="2"/>
    </w:rPr>
  </w:style>
  <w:style w:type="paragraph" w:styleId="af3">
    <w:name w:val="endnote text"/>
    <w:basedOn w:val="a"/>
    <w:link w:val="af4"/>
    <w:pPr>
      <w:snapToGrid w:val="0"/>
    </w:pPr>
  </w:style>
  <w:style w:type="paragraph" w:styleId="af5">
    <w:name w:val="Balloon Text"/>
    <w:basedOn w:val="a"/>
    <w:link w:val="af6"/>
    <w:pPr>
      <w:widowControl w:val="0"/>
      <w:jc w:val="both"/>
    </w:pPr>
    <w:rPr>
      <w:rFonts w:ascii="Calibri" w:hAnsi="Calibri" w:cs="Times New Roman"/>
      <w:kern w:val="2"/>
      <w:sz w:val="18"/>
      <w:szCs w:val="18"/>
    </w:rPr>
  </w:style>
  <w:style w:type="paragraph" w:styleId="af7">
    <w:name w:val="footer"/>
    <w:basedOn w:val="a"/>
    <w:link w:val="af8"/>
    <w:pPr>
      <w:widowControl w:val="0"/>
      <w:tabs>
        <w:tab w:val="center" w:pos="4153"/>
        <w:tab w:val="right" w:pos="8306"/>
      </w:tabs>
      <w:snapToGrid w:val="0"/>
    </w:pPr>
    <w:rPr>
      <w:rFonts w:ascii="Calibri" w:hAnsi="Calibri" w:cs="Times New Roman"/>
      <w:kern w:val="2"/>
      <w:sz w:val="18"/>
      <w:szCs w:val="18"/>
    </w:rPr>
  </w:style>
  <w:style w:type="paragraph" w:styleId="af9">
    <w:name w:val="header"/>
    <w:basedOn w:val="a"/>
    <w:link w:val="afa"/>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11">
    <w:name w:val="toc 1"/>
    <w:basedOn w:val="a"/>
    <w:next w:val="a"/>
    <w:autoRedefine/>
    <w:pPr>
      <w:spacing w:line="360" w:lineRule="auto"/>
      <w:ind w:left="200" w:hangingChars="200" w:hanging="200"/>
    </w:pPr>
    <w:rPr>
      <w:rFonts w:ascii="Times New Roman" w:hAnsi="Times New Roman" w:cstheme="minorHAnsi"/>
      <w:b/>
      <w:caps/>
      <w:szCs w:val="20"/>
    </w:rPr>
  </w:style>
  <w:style w:type="paragraph" w:styleId="41">
    <w:name w:val="toc 4"/>
    <w:basedOn w:val="a"/>
    <w:next w:val="a"/>
    <w:autoRedefine/>
    <w:pPr>
      <w:ind w:left="630"/>
    </w:pPr>
    <w:rPr>
      <w:rFonts w:asciiTheme="minorHAnsi" w:hAnsiTheme="minorHAnsi" w:cstheme="minorHAnsi"/>
      <w:bCs/>
      <w:sz w:val="18"/>
      <w:szCs w:val="18"/>
    </w:rPr>
  </w:style>
  <w:style w:type="paragraph" w:styleId="afb">
    <w:name w:val="footnote text"/>
    <w:basedOn w:val="a"/>
    <w:link w:val="afc"/>
    <w:pPr>
      <w:widowControl w:val="0"/>
      <w:snapToGrid w:val="0"/>
    </w:pPr>
    <w:rPr>
      <w:rFonts w:ascii="Calibri" w:hAnsi="Calibri" w:cs="Times New Roman"/>
      <w:bCs/>
      <w:kern w:val="2"/>
      <w:sz w:val="18"/>
      <w:szCs w:val="18"/>
    </w:rPr>
  </w:style>
  <w:style w:type="paragraph" w:styleId="61">
    <w:name w:val="toc 6"/>
    <w:basedOn w:val="a"/>
    <w:next w:val="a"/>
    <w:autoRedefine/>
    <w:pPr>
      <w:ind w:left="1050"/>
    </w:pPr>
    <w:rPr>
      <w:rFonts w:asciiTheme="minorHAnsi" w:hAnsiTheme="minorHAnsi" w:cstheme="minorHAnsi"/>
      <w:bCs/>
      <w:sz w:val="18"/>
      <w:szCs w:val="18"/>
    </w:rPr>
  </w:style>
  <w:style w:type="paragraph" w:styleId="21">
    <w:name w:val="toc 2"/>
    <w:basedOn w:val="a"/>
    <w:next w:val="a"/>
    <w:autoRedefine/>
    <w:pPr>
      <w:ind w:left="210"/>
    </w:pPr>
    <w:rPr>
      <w:rFonts w:asciiTheme="minorHAnsi" w:hAnsiTheme="minorHAnsi" w:cstheme="minorHAnsi"/>
      <w:bCs/>
      <w:smallCaps/>
      <w:sz w:val="20"/>
      <w:szCs w:val="20"/>
    </w:rPr>
  </w:style>
  <w:style w:type="paragraph" w:styleId="9">
    <w:name w:val="toc 9"/>
    <w:basedOn w:val="a"/>
    <w:next w:val="a"/>
    <w:autoRedefine/>
    <w:pPr>
      <w:ind w:left="1680"/>
    </w:pPr>
    <w:rPr>
      <w:rFonts w:asciiTheme="minorHAnsi" w:hAnsiTheme="minorHAnsi" w:cstheme="minorHAnsi"/>
      <w:bCs/>
      <w:sz w:val="18"/>
      <w:szCs w:val="18"/>
    </w:rPr>
  </w:style>
  <w:style w:type="paragraph" w:styleId="afd">
    <w:name w:val="Normal (Web)"/>
    <w:basedOn w:val="a"/>
    <w:pPr>
      <w:spacing w:before="100" w:beforeAutospacing="1" w:after="100" w:afterAutospacing="1"/>
    </w:pPr>
    <w:rPr>
      <w:sz w:val="24"/>
    </w:rPr>
  </w:style>
  <w:style w:type="paragraph" w:styleId="12">
    <w:name w:val="index 1"/>
    <w:basedOn w:val="a"/>
    <w:next w:val="a"/>
    <w:autoRedefine/>
    <w:pPr>
      <w:ind w:firstLineChars="200" w:firstLine="420"/>
    </w:pPr>
    <w:rPr>
      <w:rFonts w:cs="Times New Roman"/>
      <w:color w:val="000000"/>
    </w:rPr>
  </w:style>
  <w:style w:type="paragraph" w:styleId="afe">
    <w:name w:val="Title"/>
    <w:basedOn w:val="a"/>
    <w:next w:val="a"/>
    <w:link w:val="aff"/>
    <w:qFormat/>
    <w:pPr>
      <w:widowControl w:val="0"/>
      <w:spacing w:before="240" w:after="60"/>
      <w:jc w:val="center"/>
      <w:outlineLvl w:val="0"/>
    </w:pPr>
    <w:rPr>
      <w:rFonts w:asciiTheme="majorHAnsi" w:hAnsiTheme="majorHAnsi" w:cstheme="majorBidi"/>
      <w:b/>
      <w:bCs/>
      <w:kern w:val="2"/>
      <w:sz w:val="32"/>
      <w:szCs w:val="32"/>
    </w:rPr>
  </w:style>
  <w:style w:type="paragraph" w:styleId="aff0">
    <w:name w:val="annotation subject"/>
    <w:basedOn w:val="a9"/>
    <w:next w:val="a9"/>
    <w:link w:val="aff1"/>
    <w:rPr>
      <w:rFonts w:ascii="Calibri" w:hAnsi="Calibri"/>
      <w:b/>
      <w:bCs/>
      <w:szCs w:val="22"/>
    </w:rPr>
  </w:style>
  <w:style w:type="table" w:styleId="aff2">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endnote reference"/>
    <w:basedOn w:val="a0"/>
    <w:rPr>
      <w:vertAlign w:val="superscript"/>
    </w:rPr>
  </w:style>
  <w:style w:type="character" w:styleId="aff4">
    <w:name w:val="Hyperlink"/>
    <w:basedOn w:val="a0"/>
    <w:rPr>
      <w:rFonts w:cs="Times New Roman"/>
      <w:color w:val="0000FF"/>
      <w:u w:val="single"/>
    </w:rPr>
  </w:style>
  <w:style w:type="character" w:styleId="aff5">
    <w:name w:val="annotation reference"/>
    <w:basedOn w:val="a0"/>
    <w:rPr>
      <w:rFonts w:eastAsia="宋体" w:cs="Times New Roman"/>
      <w:kern w:val="2"/>
      <w:sz w:val="21"/>
      <w:szCs w:val="21"/>
      <w:lang w:val="en-US" w:eastAsia="zh-CN" w:bidi="ar-SA"/>
    </w:rPr>
  </w:style>
  <w:style w:type="character" w:styleId="aff6">
    <w:name w:val="footnote reference"/>
    <w:link w:val="Style211"/>
    <w:rPr>
      <w:vertAlign w:val="superscript"/>
    </w:rPr>
  </w:style>
  <w:style w:type="paragraph" w:customStyle="1" w:styleId="Style211">
    <w:name w:val="_Style 211"/>
    <w:basedOn w:val="Style116"/>
    <w:next w:val="a6"/>
    <w:link w:val="aff6"/>
    <w:uiPriority w:val="34"/>
    <w:qFormat/>
    <w:pPr>
      <w:widowControl w:val="0"/>
      <w:ind w:firstLineChars="200" w:firstLine="420"/>
      <w:jc w:val="both"/>
    </w:pPr>
    <w:rPr>
      <w:rFonts w:ascii="Calibri" w:hAnsi="Calibri" w:cs="Times New Roman"/>
      <w:kern w:val="2"/>
      <w:szCs w:val="22"/>
    </w:rPr>
  </w:style>
  <w:style w:type="paragraph" w:customStyle="1" w:styleId="Style116">
    <w:name w:val="_Style 116"/>
    <w:qFormat/>
    <w:rPr>
      <w:rFonts w:ascii="宋体" w:hAnsi="宋体" w:cs="宋体"/>
      <w:bCs/>
      <w:sz w:val="21"/>
      <w:szCs w:val="21"/>
    </w:rPr>
  </w:style>
  <w:style w:type="character" w:customStyle="1" w:styleId="10">
    <w:name w:val="标题 1 字符"/>
    <w:basedOn w:val="a0"/>
    <w:link w:val="1"/>
    <w:uiPriority w:val="99"/>
    <w:qFormat/>
    <w:rPr>
      <w:rFonts w:eastAsia="黑体"/>
      <w:b/>
      <w:bCs/>
      <w:kern w:val="44"/>
      <w:sz w:val="28"/>
      <w:szCs w:val="44"/>
    </w:rPr>
  </w:style>
  <w:style w:type="character" w:customStyle="1" w:styleId="20">
    <w:name w:val="标题 2 字符"/>
    <w:basedOn w:val="a0"/>
    <w:link w:val="2"/>
    <w:qFormat/>
    <w:rPr>
      <w:rFonts w:ascii="Arial" w:hAnsi="Arial"/>
      <w:b/>
      <w:bCs/>
      <w:kern w:val="2"/>
      <w:sz w:val="21"/>
      <w:szCs w:val="21"/>
    </w:rPr>
  </w:style>
  <w:style w:type="character" w:customStyle="1" w:styleId="30">
    <w:name w:val="标题 3 字符"/>
    <w:basedOn w:val="a0"/>
    <w:link w:val="3"/>
    <w:uiPriority w:val="9"/>
    <w:qFormat/>
    <w:rPr>
      <w:b/>
      <w:bCs/>
      <w:kern w:val="2"/>
      <w:sz w:val="21"/>
      <w:szCs w:val="32"/>
    </w:rPr>
  </w:style>
  <w:style w:type="character" w:customStyle="1" w:styleId="40">
    <w:name w:val="标题 4 字符"/>
    <w:basedOn w:val="a0"/>
    <w:link w:val="4"/>
    <w:uiPriority w:val="9"/>
    <w:qFormat/>
    <w:rPr>
      <w:rFonts w:ascii="Cambria" w:hAnsi="Cambria"/>
      <w:b/>
      <w:bCs/>
      <w:kern w:val="2"/>
      <w:sz w:val="21"/>
      <w:szCs w:val="28"/>
    </w:rPr>
  </w:style>
  <w:style w:type="character" w:customStyle="1" w:styleId="50">
    <w:name w:val="标题 5 字符"/>
    <w:basedOn w:val="a0"/>
    <w:link w:val="5"/>
    <w:uiPriority w:val="9"/>
    <w:qFormat/>
    <w:rPr>
      <w:b/>
      <w:bCs/>
      <w:kern w:val="2"/>
      <w:sz w:val="21"/>
      <w:szCs w:val="28"/>
    </w:rPr>
  </w:style>
  <w:style w:type="paragraph" w:customStyle="1" w:styleId="TOC1">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a">
    <w:name w:val="批注文字 字符"/>
    <w:basedOn w:val="a0"/>
    <w:link w:val="a9"/>
    <w:qFormat/>
    <w:rPr>
      <w:rFonts w:ascii="Times New Roman" w:eastAsia="宋体" w:hAnsi="Times New Roman" w:cs="Times New Roman"/>
      <w:szCs w:val="21"/>
    </w:rPr>
  </w:style>
  <w:style w:type="character" w:customStyle="1" w:styleId="af6">
    <w:name w:val="批注框文本 字符"/>
    <w:basedOn w:val="a0"/>
    <w:link w:val="af5"/>
    <w:uiPriority w:val="99"/>
    <w:qFormat/>
    <w:rPr>
      <w:rFonts w:ascii="Calibri" w:eastAsia="宋体" w:hAnsi="Calibri" w:cs="Times New Roman"/>
      <w:sz w:val="18"/>
      <w:szCs w:val="18"/>
    </w:rPr>
  </w:style>
  <w:style w:type="character" w:customStyle="1" w:styleId="ac">
    <w:name w:val="称呼 字符"/>
    <w:basedOn w:val="a0"/>
    <w:link w:val="ab"/>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hAnsi="Times New Roman" w:cs="Times New Roman"/>
      <w:sz w:val="18"/>
      <w:szCs w:val="18"/>
    </w:rPr>
  </w:style>
  <w:style w:type="paragraph" w:styleId="aff7">
    <w:name w:val="List Paragraph"/>
    <w:basedOn w:val="a"/>
    <w:link w:val="aff8"/>
    <w:uiPriority w:val="34"/>
    <w:qFormat/>
    <w:pPr>
      <w:widowControl w:val="0"/>
      <w:ind w:firstLineChars="200" w:firstLine="420"/>
      <w:jc w:val="both"/>
    </w:pPr>
    <w:rPr>
      <w:rFonts w:ascii="Calibri" w:hAnsi="Calibri" w:cs="Times New Roman"/>
      <w:kern w:val="2"/>
      <w:szCs w:val="22"/>
    </w:rPr>
  </w:style>
  <w:style w:type="character" w:customStyle="1" w:styleId="aff1">
    <w:name w:val="批注主题 字符"/>
    <w:basedOn w:val="aa"/>
    <w:link w:val="aff0"/>
    <w:uiPriority w:val="99"/>
    <w:qFormat/>
    <w:rPr>
      <w:rFonts w:ascii="Calibri" w:eastAsia="宋体" w:hAnsi="Calibri" w:cs="Times New Roman"/>
      <w:b/>
      <w:bCs/>
      <w:szCs w:val="21"/>
    </w:rPr>
  </w:style>
  <w:style w:type="character" w:customStyle="1" w:styleId="afa">
    <w:name w:val="页眉 字符"/>
    <w:basedOn w:val="a0"/>
    <w:link w:val="af9"/>
    <w:uiPriority w:val="99"/>
    <w:qFormat/>
    <w:rPr>
      <w:rFonts w:ascii="Calibri" w:eastAsia="宋体" w:hAnsi="Calibri" w:cs="Times New Roman"/>
      <w:sz w:val="18"/>
      <w:szCs w:val="18"/>
    </w:rPr>
  </w:style>
  <w:style w:type="character" w:customStyle="1" w:styleId="af8">
    <w:name w:val="页脚 字符"/>
    <w:basedOn w:val="a0"/>
    <w:link w:val="af7"/>
    <w:uiPriority w:val="99"/>
    <w:qFormat/>
    <w:rPr>
      <w:rFonts w:ascii="Calibri" w:eastAsia="宋体" w:hAnsi="Calibri" w:cs="Times New Roman"/>
      <w:sz w:val="18"/>
      <w:szCs w:val="18"/>
    </w:rPr>
  </w:style>
  <w:style w:type="character" w:customStyle="1" w:styleId="af0">
    <w:name w:val="纯文本 字符"/>
    <w:basedOn w:val="a0"/>
    <w:link w:val="af"/>
    <w:qFormat/>
    <w:rPr>
      <w:rFonts w:ascii="宋体" w:eastAsia="宋体" w:hAnsi="Courier New" w:cs="Times New Roman"/>
      <w:szCs w:val="20"/>
    </w:rPr>
  </w:style>
  <w:style w:type="character" w:customStyle="1" w:styleId="headline-content2">
    <w:name w:val="headline-content2"/>
    <w:basedOn w:val="a0"/>
    <w:link w:val="Style184"/>
    <w:qFormat/>
    <w:rPr>
      <w:rFonts w:eastAsia="宋体" w:cs="Times New Roman"/>
      <w:kern w:val="2"/>
      <w:sz w:val="24"/>
      <w:szCs w:val="24"/>
      <w:lang w:val="en-US" w:eastAsia="zh-CN" w:bidi="ar-SA"/>
    </w:rPr>
  </w:style>
  <w:style w:type="paragraph" w:customStyle="1" w:styleId="Style184">
    <w:name w:val="_Style 184"/>
    <w:basedOn w:val="Style159"/>
    <w:link w:val="headline-content2"/>
    <w:uiPriority w:val="99"/>
    <w:qFormat/>
    <w:pPr>
      <w:widowControl w:val="0"/>
      <w:spacing w:after="120"/>
      <w:jc w:val="both"/>
    </w:pPr>
    <w:rPr>
      <w:rFonts w:ascii="Times New Roman" w:hAnsi="Times New Roman" w:cs="Times New Roman"/>
      <w:kern w:val="2"/>
    </w:rPr>
  </w:style>
  <w:style w:type="paragraph" w:customStyle="1" w:styleId="Style159">
    <w:name w:val="_Style 159"/>
    <w:qFormat/>
    <w:rPr>
      <w:rFonts w:ascii="宋体" w:hAnsi="宋体" w:cs="宋体"/>
      <w:sz w:val="21"/>
      <w:szCs w:val="21"/>
    </w:rPr>
  </w:style>
  <w:style w:type="character" w:customStyle="1" w:styleId="ae">
    <w:name w:val="正文文本 字符"/>
    <w:basedOn w:val="a0"/>
    <w:link w:val="ad"/>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af2">
    <w:name w:val="日期 字符"/>
    <w:basedOn w:val="a0"/>
    <w:link w:val="af1"/>
    <w:uiPriority w:val="99"/>
    <w:qFormat/>
    <w:rPr>
      <w:rFonts w:ascii="Times New Roman" w:eastAsia="宋体" w:hAnsi="Times New Roman" w:cs="Times New Roman"/>
      <w:szCs w:val="21"/>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customStyle="1" w:styleId="52">
    <w:name w:val="标题5"/>
    <w:basedOn w:val="a"/>
    <w:qFormat/>
    <w:pPr>
      <w:keepNext/>
      <w:keepLines/>
      <w:widowControl w:val="0"/>
      <w:spacing w:before="60" w:after="60"/>
      <w:ind w:hangingChars="200" w:hanging="420"/>
      <w:jc w:val="both"/>
      <w:outlineLvl w:val="4"/>
    </w:pPr>
    <w:rPr>
      <w:rFonts w:cs="Times New Roman"/>
      <w:b/>
      <w:bCs/>
      <w:kern w:val="2"/>
    </w:rPr>
  </w:style>
  <w:style w:type="paragraph" w:customStyle="1" w:styleId="13">
    <w:name w:val="修订1"/>
    <w:hidden/>
    <w:uiPriority w:val="99"/>
    <w:semiHidden/>
    <w:qFormat/>
    <w:rPr>
      <w:rFonts w:ascii="宋体" w:hAnsi="宋体" w:cs="宋体"/>
      <w:kern w:val="2"/>
      <w:sz w:val="21"/>
      <w:szCs w:val="22"/>
    </w:rPr>
  </w:style>
  <w:style w:type="character" w:customStyle="1" w:styleId="Char">
    <w:name w:val="正文的样式 Char"/>
    <w:basedOn w:val="a0"/>
    <w:link w:val="aff9"/>
    <w:qFormat/>
    <w:rPr>
      <w:kern w:val="2"/>
      <w:sz w:val="21"/>
      <w:szCs w:val="24"/>
    </w:rPr>
  </w:style>
  <w:style w:type="paragraph" w:customStyle="1" w:styleId="aff9">
    <w:name w:val="正文的样式"/>
    <w:basedOn w:val="a"/>
    <w:link w:val="Char"/>
    <w:qFormat/>
    <w:pPr>
      <w:widowControl w:val="0"/>
      <w:spacing w:before="100" w:after="100"/>
      <w:jc w:val="both"/>
    </w:pPr>
    <w:rPr>
      <w:rFonts w:ascii="Calibri" w:hAnsi="Calibri" w:cs="Times New Roman"/>
      <w:kern w:val="2"/>
    </w:rPr>
  </w:style>
  <w:style w:type="character" w:customStyle="1" w:styleId="a7">
    <w:name w:val="文档结构图 字符"/>
    <w:basedOn w:val="a0"/>
    <w:link w:val="a6"/>
    <w:uiPriority w:val="99"/>
    <w:semiHidden/>
    <w:qFormat/>
    <w:rPr>
      <w:rFonts w:ascii="宋体"/>
      <w:kern w:val="2"/>
      <w:sz w:val="18"/>
      <w:szCs w:val="18"/>
    </w:rPr>
  </w:style>
  <w:style w:type="character" w:styleId="affa">
    <w:name w:val="Placeholder Text"/>
    <w:basedOn w:val="a0"/>
    <w:link w:val="Style179"/>
    <w:uiPriority w:val="99"/>
    <w:qFormat/>
    <w:rPr>
      <w:color w:val="auto"/>
    </w:rPr>
  </w:style>
  <w:style w:type="paragraph" w:customStyle="1" w:styleId="Style179">
    <w:name w:val="_Style 179"/>
    <w:basedOn w:val="Style159"/>
    <w:link w:val="affa"/>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aff">
    <w:name w:val="标题 字符"/>
    <w:basedOn w:val="a0"/>
    <w:link w:val="afe"/>
    <w:uiPriority w:val="10"/>
    <w:qFormat/>
    <w:rPr>
      <w:rFonts w:asciiTheme="majorHAnsi" w:hAnsiTheme="majorHAnsi" w:cstheme="majorBidi"/>
      <w:b/>
      <w:bCs/>
      <w:kern w:val="2"/>
      <w:sz w:val="32"/>
      <w:szCs w:val="32"/>
    </w:rPr>
  </w:style>
  <w:style w:type="paragraph" w:styleId="affb">
    <w:name w:val="No Spacing"/>
    <w:uiPriority w:val="1"/>
    <w:qFormat/>
    <w:pPr>
      <w:widowControl w:val="0"/>
      <w:jc w:val="both"/>
    </w:pPr>
    <w:rPr>
      <w:rFonts w:ascii="宋体" w:hAnsi="宋体" w:cs="宋体"/>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uiPriority w:val="99"/>
    <w:semiHidden/>
    <w:qFormat/>
    <w:rPr>
      <w:rFonts w:ascii="Times New Roman" w:eastAsia="宋体" w:hAnsi="Times New Roman" w:cs="Times New Roman"/>
      <w:b/>
      <w:bCs/>
      <w:szCs w:val="21"/>
    </w:rPr>
  </w:style>
  <w:style w:type="paragraph" w:customStyle="1" w:styleId="33">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3"/>
    <w:qFormat/>
    <w:rPr>
      <w:rFonts w:ascii="Times New Roman" w:hAnsi="Times New Roman"/>
      <w:b/>
      <w:kern w:val="2"/>
      <w:sz w:val="21"/>
      <w:szCs w:val="24"/>
    </w:rPr>
  </w:style>
  <w:style w:type="character" w:customStyle="1" w:styleId="14">
    <w:name w:val="批注主题 字符1"/>
    <w:basedOn w:val="aa"/>
    <w:link w:val="Style130"/>
    <w:uiPriority w:val="99"/>
    <w:semiHidden/>
    <w:qFormat/>
    <w:rPr>
      <w:rFonts w:ascii="Times New Roman" w:eastAsia="宋体" w:hAnsi="Times New Roman" w:cs="Times New Roman"/>
      <w:b/>
      <w:bCs/>
      <w:szCs w:val="21"/>
    </w:rPr>
  </w:style>
  <w:style w:type="paragraph" w:customStyle="1" w:styleId="Style130">
    <w:name w:val="_Style 130"/>
    <w:basedOn w:val="Style116"/>
    <w:next w:val="a"/>
    <w:link w:val="14"/>
    <w:qFormat/>
    <w:pPr>
      <w:widowControl w:val="0"/>
      <w:jc w:val="both"/>
    </w:pPr>
    <w:rPr>
      <w:rFonts w:ascii="Times New Roman" w:hAnsi="Times New Roman" w:cs="Times New Roman"/>
      <w:kern w:val="2"/>
    </w:rPr>
  </w:style>
  <w:style w:type="character" w:customStyle="1" w:styleId="70">
    <w:name w:val="标题 7 字符"/>
    <w:basedOn w:val="a0"/>
    <w:link w:val="7"/>
    <w:uiPriority w:val="9"/>
    <w:qFormat/>
    <w:rPr>
      <w:rFonts w:ascii="宋体" w:hAnsi="宋体" w:cs="宋体"/>
      <w:b/>
      <w:bCs/>
      <w:sz w:val="24"/>
      <w:szCs w:val="24"/>
    </w:rPr>
  </w:style>
  <w:style w:type="character" w:customStyle="1" w:styleId="span">
    <w:name w:val="span_"/>
    <w:basedOn w:val="a0"/>
    <w:qFormat/>
  </w:style>
  <w:style w:type="character" w:customStyle="1" w:styleId="4Char">
    <w:name w:val="标题 4 Char"/>
    <w:uiPriority w:val="9"/>
    <w:qFormat/>
    <w:rPr>
      <w:rFonts w:ascii="Cambria" w:hAnsi="Cambria"/>
      <w:b/>
      <w:bCs/>
      <w:kern w:val="2"/>
      <w:sz w:val="21"/>
      <w:szCs w:val="28"/>
    </w:rPr>
  </w:style>
  <w:style w:type="paragraph" w:customStyle="1" w:styleId="42">
    <w:name w:val="4"/>
    <w:basedOn w:val="a"/>
    <w:next w:val="aff7"/>
    <w:uiPriority w:val="34"/>
    <w:qFormat/>
    <w:pPr>
      <w:widowControl w:val="0"/>
      <w:ind w:firstLineChars="200" w:firstLine="420"/>
      <w:jc w:val="both"/>
    </w:pPr>
    <w:rPr>
      <w:rFonts w:ascii="Calibri" w:hAnsi="Calibri" w:cs="Times New Roman"/>
      <w:kern w:val="2"/>
      <w:szCs w:val="22"/>
    </w:rPr>
  </w:style>
  <w:style w:type="paragraph" w:customStyle="1" w:styleId="34">
    <w:name w:val="3"/>
    <w:basedOn w:val="a"/>
    <w:next w:val="aff7"/>
    <w:uiPriority w:val="34"/>
    <w:qFormat/>
    <w:pPr>
      <w:widowControl w:val="0"/>
      <w:ind w:firstLineChars="200" w:firstLine="420"/>
      <w:jc w:val="both"/>
    </w:pPr>
    <w:rPr>
      <w:rFonts w:ascii="Calibri" w:hAnsi="Calibri" w:cs="Times New Roman"/>
      <w:kern w:val="2"/>
      <w:szCs w:val="22"/>
    </w:rPr>
  </w:style>
  <w:style w:type="character" w:customStyle="1" w:styleId="3Char0">
    <w:name w:val="标题 3 Char"/>
    <w:uiPriority w:val="9"/>
    <w:qFormat/>
    <w:rPr>
      <w:b/>
      <w:bCs/>
      <w:kern w:val="2"/>
      <w:sz w:val="21"/>
      <w:szCs w:val="32"/>
    </w:rPr>
  </w:style>
  <w:style w:type="paragraph" w:customStyle="1" w:styleId="22">
    <w:name w:val="2"/>
    <w:basedOn w:val="a"/>
    <w:next w:val="aff7"/>
    <w:link w:val="Style385"/>
    <w:uiPriority w:val="34"/>
    <w:qFormat/>
    <w:pPr>
      <w:widowControl w:val="0"/>
      <w:ind w:firstLineChars="200" w:firstLine="420"/>
      <w:jc w:val="both"/>
    </w:pPr>
    <w:rPr>
      <w:rFonts w:ascii="Calibri" w:hAnsi="Calibri" w:cs="Times New Roman"/>
      <w:kern w:val="2"/>
      <w:szCs w:val="22"/>
    </w:rPr>
  </w:style>
  <w:style w:type="paragraph" w:customStyle="1" w:styleId="15">
    <w:name w:val="1"/>
    <w:basedOn w:val="a"/>
    <w:next w:val="aff7"/>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Pr>
      <w:rFonts w:ascii="Times New Roman" w:hAnsi="Times New Roman"/>
      <w:kern w:val="2"/>
      <w:sz w:val="21"/>
      <w:szCs w:val="21"/>
    </w:rPr>
  </w:style>
  <w:style w:type="character" w:customStyle="1" w:styleId="5Char">
    <w:name w:val="标题 5 Char"/>
    <w:uiPriority w:val="9"/>
    <w:qFormat/>
    <w:rPr>
      <w:b/>
      <w:bCs/>
      <w:kern w:val="2"/>
      <w:sz w:val="21"/>
      <w:szCs w:val="28"/>
    </w:rPr>
  </w:style>
  <w:style w:type="paragraph" w:customStyle="1" w:styleId="Style87">
    <w:name w:val="_Style 87"/>
    <w:basedOn w:val="a"/>
    <w:next w:val="aff7"/>
    <w:uiPriority w:val="34"/>
    <w:qFormat/>
    <w:pPr>
      <w:widowControl w:val="0"/>
      <w:ind w:firstLineChars="200" w:firstLine="420"/>
      <w:jc w:val="both"/>
    </w:pPr>
    <w:rPr>
      <w:rFonts w:ascii="Calibri" w:hAnsi="Calibri" w:cs="Times New Roman"/>
      <w:kern w:val="2"/>
      <w:szCs w:val="22"/>
    </w:rPr>
  </w:style>
  <w:style w:type="character" w:customStyle="1" w:styleId="Char10">
    <w:name w:val="批注文字 Char1"/>
    <w:uiPriority w:val="99"/>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Arial" w:hAnsi="Arial"/>
      <w:b/>
      <w:bCs/>
      <w:kern w:val="2"/>
      <w:sz w:val="21"/>
      <w:szCs w:val="21"/>
    </w:rPr>
  </w:style>
  <w:style w:type="character" w:customStyle="1" w:styleId="4Char1">
    <w:name w:val="标题 4 Char1"/>
    <w:uiPriority w:val="9"/>
    <w:qFormat/>
    <w:rPr>
      <w:rFonts w:ascii="Cambria" w:hAnsi="Cambria"/>
      <w:b/>
      <w:bCs/>
      <w:kern w:val="2"/>
      <w:sz w:val="21"/>
      <w:szCs w:val="28"/>
    </w:rPr>
  </w:style>
  <w:style w:type="character" w:customStyle="1" w:styleId="5Char1">
    <w:name w:val="标题 5 Char1"/>
    <w:uiPriority w:val="9"/>
    <w:qFormat/>
    <w:rPr>
      <w:b/>
      <w:bCs/>
      <w:kern w:val="2"/>
      <w:sz w:val="21"/>
      <w:szCs w:val="28"/>
    </w:rPr>
  </w:style>
  <w:style w:type="paragraph" w:customStyle="1" w:styleId="Style93">
    <w:name w:val="_Style 93"/>
    <w:basedOn w:val="a"/>
    <w:next w:val="aff7"/>
    <w:uiPriority w:val="34"/>
    <w:qFormat/>
    <w:pPr>
      <w:widowControl w:val="0"/>
      <w:ind w:firstLineChars="200" w:firstLine="420"/>
      <w:jc w:val="both"/>
    </w:pPr>
    <w:rPr>
      <w:rFonts w:ascii="Calibri" w:hAnsi="Calibri" w:cs="Times New Roman"/>
      <w:kern w:val="2"/>
      <w:szCs w:val="22"/>
    </w:rPr>
  </w:style>
  <w:style w:type="character" w:customStyle="1" w:styleId="Char2">
    <w:name w:val="批注文字 Char2"/>
    <w:uiPriority w:val="99"/>
    <w:qFormat/>
    <w:rPr>
      <w:rFonts w:ascii="Times New Roman" w:hAnsi="Times New Roman"/>
      <w:kern w:val="2"/>
      <w:sz w:val="21"/>
      <w:szCs w:val="21"/>
    </w:rPr>
  </w:style>
  <w:style w:type="character" w:customStyle="1" w:styleId="Char3">
    <w:name w:val="批注文字 Char3"/>
    <w:qFormat/>
    <w:rPr>
      <w:rFonts w:ascii="Times New Roman" w:hAnsi="Times New Roman" w:cs="Times New Roman"/>
      <w:bCs/>
      <w:kern w:val="2"/>
      <w:sz w:val="21"/>
      <w:szCs w:val="21"/>
    </w:rPr>
  </w:style>
  <w:style w:type="character" w:customStyle="1" w:styleId="Char4">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16">
    <w:name w:val="批注文字 字符1"/>
    <w:link w:val="Style137"/>
    <w:uiPriority w:val="99"/>
    <w:semiHidden/>
    <w:qFormat/>
    <w:locked/>
    <w:rPr>
      <w:rFonts w:ascii="Times New Roman" w:hAnsi="Times New Roman"/>
      <w:kern w:val="2"/>
      <w:sz w:val="21"/>
      <w:szCs w:val="21"/>
    </w:rPr>
  </w:style>
  <w:style w:type="paragraph" w:customStyle="1" w:styleId="Style137">
    <w:name w:val="_Style 137"/>
    <w:basedOn w:val="Style116"/>
    <w:next w:val="a"/>
    <w:link w:val="16"/>
    <w:qFormat/>
    <w:pPr>
      <w:widowControl w:val="0"/>
      <w:ind w:leftChars="2500" w:left="100"/>
      <w:jc w:val="both"/>
    </w:pPr>
    <w:rPr>
      <w:rFonts w:ascii="Times New Roman" w:hAnsi="Times New Roman" w:cs="Times New Roman"/>
      <w:kern w:val="2"/>
    </w:rPr>
  </w:style>
  <w:style w:type="character" w:customStyle="1" w:styleId="2Char1">
    <w:name w:val="标题 2 Char1"/>
    <w:qFormat/>
    <w:rPr>
      <w:rFonts w:ascii="Arial" w:hAnsi="Arial"/>
      <w:b/>
      <w:bCs/>
      <w:kern w:val="2"/>
      <w:sz w:val="21"/>
      <w:szCs w:val="21"/>
    </w:rPr>
  </w:style>
  <w:style w:type="character" w:customStyle="1" w:styleId="5Char2">
    <w:name w:val="标题 5 Char2"/>
    <w:uiPriority w:val="9"/>
    <w:qFormat/>
    <w:rPr>
      <w:b/>
      <w:bCs/>
      <w:kern w:val="2"/>
      <w:sz w:val="21"/>
      <w:szCs w:val="28"/>
    </w:rPr>
  </w:style>
  <w:style w:type="character" w:customStyle="1" w:styleId="3Char2">
    <w:name w:val="标题 3 Char2"/>
    <w:uiPriority w:val="9"/>
    <w:qFormat/>
    <w:rPr>
      <w:b/>
      <w:bCs/>
      <w:kern w:val="2"/>
      <w:sz w:val="21"/>
      <w:szCs w:val="32"/>
    </w:rPr>
  </w:style>
  <w:style w:type="character" w:customStyle="1" w:styleId="3Char3">
    <w:name w:val="标题 3 Char3"/>
    <w:link w:val="Style227"/>
    <w:uiPriority w:val="9"/>
    <w:qFormat/>
    <w:rPr>
      <w:b/>
      <w:bCs/>
      <w:kern w:val="2"/>
      <w:sz w:val="21"/>
      <w:szCs w:val="32"/>
    </w:rPr>
  </w:style>
  <w:style w:type="paragraph" w:customStyle="1" w:styleId="Style227">
    <w:name w:val="_Style 227"/>
    <w:basedOn w:val="Style159"/>
    <w:link w:val="3Char3"/>
    <w:uiPriority w:val="99"/>
    <w:semiHidden/>
    <w:unhideWhenUsed/>
    <w:qFormat/>
    <w:pPr>
      <w:widowControl w:val="0"/>
      <w:snapToGrid w:val="0"/>
    </w:pPr>
    <w:rPr>
      <w:rFonts w:ascii="Calibri" w:hAnsi="Calibri" w:cs="Times New Roman"/>
      <w:bCs/>
      <w:kern w:val="2"/>
      <w:sz w:val="18"/>
      <w:szCs w:val="18"/>
    </w:rPr>
  </w:style>
  <w:style w:type="character" w:customStyle="1" w:styleId="afc">
    <w:name w:val="脚注文本 字符"/>
    <w:basedOn w:val="a0"/>
    <w:link w:val="afb"/>
    <w:uiPriority w:val="99"/>
    <w:semiHidden/>
    <w:qFormat/>
    <w:rPr>
      <w:rFonts w:ascii="Calibri" w:hAnsi="Calibri" w:cs="Times New Roman"/>
      <w:bCs/>
      <w:kern w:val="2"/>
      <w:sz w:val="18"/>
      <w:szCs w:val="18"/>
    </w:rPr>
  </w:style>
  <w:style w:type="paragraph" w:customStyle="1" w:styleId="115">
    <w:name w:val="115"/>
    <w:autoRedefine/>
    <w:qFormat/>
    <w:pPr>
      <w:widowControl w:val="0"/>
      <w:ind w:left="422" w:hanging="422"/>
      <w:jc w:val="both"/>
    </w:pPr>
    <w:rPr>
      <w:rFonts w:cs="宋体"/>
      <w:bCs/>
      <w:color w:val="FF0000"/>
      <w:sz w:val="21"/>
      <w:szCs w:val="24"/>
    </w:rPr>
  </w:style>
  <w:style w:type="table" w:customStyle="1" w:styleId="g3">
    <w:name w:val="g3"/>
    <w:autoRedefine/>
    <w:uiPriority w:val="99"/>
    <w:semiHidden/>
    <w:unhideWhenUsed/>
    <w:qFormat/>
    <w:tblPr>
      <w:tblCellMar>
        <w:top w:w="0" w:type="dxa"/>
        <w:left w:w="108" w:type="dxa"/>
        <w:bottom w:w="0" w:type="dxa"/>
        <w:right w:w="108" w:type="dxa"/>
      </w:tblCellMar>
    </w:tblPr>
  </w:style>
  <w:style w:type="table" w:customStyle="1" w:styleId="g1">
    <w:name w:val="g1"/>
    <w:uiPriority w:val="99"/>
    <w:semiHidden/>
    <w:unhideWhenUsed/>
    <w:qFormat/>
    <w:tblPr>
      <w:tblCellMar>
        <w:top w:w="0" w:type="dxa"/>
        <w:left w:w="108" w:type="dxa"/>
        <w:bottom w:w="0" w:type="dxa"/>
        <w:right w:w="108" w:type="dxa"/>
      </w:tblCellMar>
    </w:tblPr>
  </w:style>
  <w:style w:type="table" w:customStyle="1" w:styleId="g2">
    <w:name w:val="g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
    <w:name w:val="g4"/>
    <w:qFormat/>
    <w:pPr>
      <w:spacing w:line="400" w:lineRule="atLeast"/>
      <w:jc w:val="both"/>
    </w:pPr>
    <w:rPr>
      <w:color w:val="000000"/>
      <w:kern w:val="2"/>
      <w:sz w:val="18"/>
    </w:rPr>
    <w:tblPr>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tcPr>
      <w:shd w:val="clear" w:color="auto" w:fill="auto"/>
    </w:tcPr>
  </w:style>
  <w:style w:type="table" w:customStyle="1" w:styleId="g5">
    <w:name w:val="g5"/>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7">
    <w:name w:val="g7"/>
    <w:uiPriority w:val="99"/>
    <w:semiHidden/>
    <w:unhideWhenUsed/>
    <w:qFormat/>
    <w:tblPr>
      <w:tblCellMar>
        <w:top w:w="0" w:type="dxa"/>
        <w:left w:w="108" w:type="dxa"/>
        <w:bottom w:w="0" w:type="dxa"/>
        <w:right w:w="108" w:type="dxa"/>
      </w:tblCellMar>
    </w:tblPr>
  </w:style>
  <w:style w:type="table" w:customStyle="1" w:styleId="g8">
    <w:name w:val="g8"/>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
    <w:name w:val="g10"/>
    <w:uiPriority w:val="99"/>
    <w:semiHidden/>
    <w:unhideWhenUsed/>
    <w:qFormat/>
    <w:tblPr>
      <w:tblCellMar>
        <w:top w:w="0" w:type="dxa"/>
        <w:left w:w="108" w:type="dxa"/>
        <w:bottom w:w="0" w:type="dxa"/>
        <w:right w:w="108" w:type="dxa"/>
      </w:tblCellMar>
    </w:tblPr>
  </w:style>
  <w:style w:type="table" w:customStyle="1" w:styleId="Style115">
    <w:name w:val="_Style 115"/>
    <w:uiPriority w:val="99"/>
    <w:semiHidden/>
    <w:unhideWhenUsed/>
    <w:qFormat/>
    <w:tblPr>
      <w:tblCellMar>
        <w:top w:w="0" w:type="dxa"/>
        <w:left w:w="108" w:type="dxa"/>
        <w:bottom w:w="0" w:type="dxa"/>
        <w:right w:w="108" w:type="dxa"/>
      </w:tblCellMar>
    </w:tblPr>
  </w:style>
  <w:style w:type="paragraph" w:customStyle="1" w:styleId="Style117">
    <w:name w:val="_Style 117"/>
    <w:basedOn w:val="Style116"/>
    <w:next w:val="a"/>
    <w:qFormat/>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23">
    <w:name w:val="目录 2 字符"/>
    <w:basedOn w:val="Style116"/>
    <w:next w:val="a"/>
    <w:semiHidden/>
    <w:unhideWhenUsed/>
    <w:qFormat/>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35">
    <w:name w:val="目录 3 字符"/>
    <w:basedOn w:val="Style116"/>
    <w:next w:val="a"/>
    <w:semiHidden/>
    <w:unhideWhenUsed/>
    <w:qFormat/>
    <w:pPr>
      <w:keepNext/>
      <w:keepLines/>
      <w:widowControl w:val="0"/>
      <w:spacing w:before="60" w:after="60"/>
      <w:jc w:val="both"/>
      <w:outlineLvl w:val="2"/>
    </w:pPr>
    <w:rPr>
      <w:rFonts w:ascii="Calibri" w:hAnsi="Calibri" w:cs="Times New Roman"/>
      <w:b/>
      <w:bCs w:val="0"/>
      <w:kern w:val="2"/>
      <w:szCs w:val="32"/>
    </w:rPr>
  </w:style>
  <w:style w:type="paragraph" w:customStyle="1" w:styleId="43">
    <w:name w:val="目录 4 字符"/>
    <w:basedOn w:val="Style116"/>
    <w:next w:val="a"/>
    <w:unhideWhenUsed/>
    <w:qFormat/>
    <w:pPr>
      <w:keepNext/>
      <w:keepLines/>
      <w:widowControl w:val="0"/>
      <w:spacing w:before="60" w:after="60"/>
      <w:jc w:val="both"/>
      <w:outlineLvl w:val="3"/>
    </w:pPr>
    <w:rPr>
      <w:rFonts w:ascii="Cambria" w:hAnsi="Cambria" w:cs="Times New Roman"/>
      <w:b/>
      <w:bCs w:val="0"/>
      <w:kern w:val="2"/>
      <w:szCs w:val="28"/>
    </w:rPr>
  </w:style>
  <w:style w:type="paragraph" w:customStyle="1" w:styleId="Style121">
    <w:name w:val="_Style 121"/>
    <w:basedOn w:val="Style116"/>
    <w:next w:val="a"/>
    <w:semiHidden/>
    <w:unhideWhenUsed/>
    <w:qFormat/>
    <w:pPr>
      <w:keepNext/>
      <w:keepLines/>
      <w:widowControl w:val="0"/>
      <w:spacing w:before="60" w:after="60"/>
      <w:jc w:val="both"/>
      <w:outlineLvl w:val="4"/>
    </w:pPr>
    <w:rPr>
      <w:rFonts w:ascii="Calibri" w:hAnsi="Calibri" w:cs="Times New Roman"/>
      <w:b/>
      <w:bCs w:val="0"/>
      <w:kern w:val="2"/>
      <w:szCs w:val="28"/>
    </w:rPr>
  </w:style>
  <w:style w:type="paragraph" w:customStyle="1" w:styleId="62">
    <w:name w:val="目录 6 字符"/>
    <w:basedOn w:val="Style116"/>
    <w:next w:val="a"/>
    <w:semiHidden/>
    <w:unhideWhenUsed/>
    <w:qFormat/>
    <w:pPr>
      <w:keepNext/>
      <w:keepLines/>
      <w:spacing w:before="60" w:after="60"/>
      <w:outlineLvl w:val="5"/>
    </w:pPr>
    <w:rPr>
      <w:rFonts w:asciiTheme="majorHAnsi" w:hAnsiTheme="majorHAnsi" w:cstheme="majorBidi"/>
      <w:b/>
      <w:bCs w:val="0"/>
    </w:rPr>
  </w:style>
  <w:style w:type="paragraph" w:customStyle="1" w:styleId="72">
    <w:name w:val="目录 7 字符"/>
    <w:basedOn w:val="Style116"/>
    <w:next w:val="a"/>
    <w:semiHidden/>
    <w:unhideWhenUsed/>
    <w:qFormat/>
    <w:pPr>
      <w:keepNext/>
      <w:keepLines/>
      <w:spacing w:before="240" w:after="64" w:line="320" w:lineRule="auto"/>
      <w:outlineLvl w:val="6"/>
    </w:pPr>
    <w:rPr>
      <w:b/>
      <w:bCs w:val="0"/>
      <w:sz w:val="24"/>
    </w:rPr>
  </w:style>
  <w:style w:type="paragraph" w:customStyle="1" w:styleId="Style124">
    <w:name w:val="_Style 124"/>
    <w:basedOn w:val="Style116"/>
    <w:next w:val="a"/>
    <w:autoRedefine/>
    <w:qFormat/>
    <w:pPr>
      <w:ind w:left="1260"/>
    </w:pPr>
    <w:rPr>
      <w:rFonts w:asciiTheme="minorHAnsi" w:hAnsiTheme="minorHAnsi" w:cstheme="minorHAnsi"/>
      <w:bCs w:val="0"/>
      <w:sz w:val="18"/>
      <w:szCs w:val="18"/>
    </w:rPr>
  </w:style>
  <w:style w:type="paragraph" w:customStyle="1" w:styleId="Style125">
    <w:name w:val="_Style 125"/>
    <w:basedOn w:val="Style116"/>
    <w:next w:val="a"/>
    <w:qFormat/>
    <w:pPr>
      <w:widowControl w:val="0"/>
      <w:jc w:val="center"/>
    </w:pPr>
    <w:rPr>
      <w:rFonts w:ascii="Times New Roman" w:hAnsi="Times New Roman" w:cs="Times New Roman"/>
      <w:kern w:val="2"/>
    </w:rPr>
  </w:style>
  <w:style w:type="paragraph" w:customStyle="1" w:styleId="Style126">
    <w:name w:val="_Style 126"/>
    <w:basedOn w:val="Style116"/>
    <w:qFormat/>
    <w:pPr>
      <w:widowControl w:val="0"/>
      <w:ind w:firstLineChars="200" w:firstLine="420"/>
      <w:jc w:val="both"/>
    </w:pPr>
    <w:rPr>
      <w:rFonts w:ascii="Times New Roman" w:hAnsi="Times New Roman" w:cs="Times New Roman"/>
      <w:kern w:val="2"/>
    </w:rPr>
  </w:style>
  <w:style w:type="paragraph" w:customStyle="1" w:styleId="17">
    <w:name w:val="目录 1 字符"/>
    <w:basedOn w:val="Style116"/>
    <w:qFormat/>
    <w:pPr>
      <w:widowControl w:val="0"/>
      <w:jc w:val="both"/>
    </w:pPr>
    <w:rPr>
      <w:rFonts w:hAnsi="Calibri" w:cs="Times New Roman"/>
      <w:kern w:val="2"/>
      <w:sz w:val="18"/>
      <w:szCs w:val="18"/>
    </w:rPr>
  </w:style>
  <w:style w:type="paragraph" w:customStyle="1" w:styleId="Style128">
    <w:name w:val="_Style 128"/>
    <w:basedOn w:val="Style116"/>
    <w:next w:val="a"/>
    <w:qFormat/>
    <w:pPr>
      <w:widowControl w:val="0"/>
      <w:spacing w:before="120"/>
      <w:jc w:val="both"/>
    </w:pPr>
    <w:rPr>
      <w:rFonts w:ascii="Arial" w:hAnsi="Arial" w:cs="Times New Roman"/>
      <w:b/>
      <w:bCs w:val="0"/>
      <w:kern w:val="2"/>
    </w:rPr>
  </w:style>
  <w:style w:type="paragraph" w:customStyle="1" w:styleId="Style129">
    <w:name w:val="_Style 129"/>
    <w:basedOn w:val="Style116"/>
    <w:qFormat/>
    <w:pPr>
      <w:widowControl w:val="0"/>
    </w:pPr>
    <w:rPr>
      <w:rFonts w:ascii="Times New Roman" w:hAnsi="Times New Roman" w:cs="Times New Roman"/>
      <w:kern w:val="2"/>
    </w:rPr>
  </w:style>
  <w:style w:type="paragraph" w:customStyle="1" w:styleId="Style131">
    <w:name w:val="_Style 131"/>
    <w:basedOn w:val="Style116"/>
    <w:qFormat/>
    <w:pPr>
      <w:widowControl w:val="0"/>
      <w:tabs>
        <w:tab w:val="left" w:pos="1200"/>
      </w:tabs>
      <w:jc w:val="both"/>
    </w:pPr>
    <w:rPr>
      <w:rFonts w:ascii="Times New Roman" w:hAnsi="Times New Roman" w:cs="Times New Roman"/>
      <w:kern w:val="2"/>
    </w:rPr>
  </w:style>
  <w:style w:type="paragraph" w:customStyle="1" w:styleId="18">
    <w:name w:val="索引 1 字符"/>
    <w:basedOn w:val="Style116"/>
    <w:qFormat/>
    <w:pPr>
      <w:widowControl w:val="0"/>
      <w:spacing w:after="120"/>
      <w:jc w:val="both"/>
    </w:pPr>
    <w:rPr>
      <w:rFonts w:ascii="Times New Roman" w:hAnsi="Times New Roman" w:cs="Times New Roman"/>
      <w:kern w:val="2"/>
    </w:rPr>
  </w:style>
  <w:style w:type="paragraph" w:customStyle="1" w:styleId="53">
    <w:name w:val="目录 5 字符"/>
    <w:basedOn w:val="Style116"/>
    <w:next w:val="a"/>
    <w:autoRedefine/>
    <w:qFormat/>
    <w:pPr>
      <w:ind w:left="840"/>
    </w:pPr>
    <w:rPr>
      <w:rFonts w:asciiTheme="minorHAnsi" w:hAnsiTheme="minorHAnsi" w:cstheme="minorHAnsi"/>
      <w:bCs w:val="0"/>
      <w:sz w:val="18"/>
      <w:szCs w:val="18"/>
    </w:rPr>
  </w:style>
  <w:style w:type="paragraph" w:customStyle="1" w:styleId="Style134">
    <w:name w:val="_Style 134"/>
    <w:basedOn w:val="Style116"/>
    <w:next w:val="a"/>
    <w:autoRedefine/>
    <w:qFormat/>
    <w:pPr>
      <w:ind w:left="420"/>
    </w:pPr>
    <w:rPr>
      <w:rFonts w:asciiTheme="minorHAnsi" w:hAnsiTheme="minorHAnsi" w:cstheme="minorHAnsi"/>
      <w:bCs w:val="0"/>
      <w:i/>
      <w:iCs/>
      <w:sz w:val="20"/>
      <w:szCs w:val="20"/>
    </w:rPr>
  </w:style>
  <w:style w:type="paragraph" w:customStyle="1" w:styleId="Style135">
    <w:name w:val="_Style 135"/>
    <w:basedOn w:val="Style116"/>
    <w:qFormat/>
    <w:pPr>
      <w:widowControl w:val="0"/>
      <w:jc w:val="both"/>
    </w:pPr>
    <w:rPr>
      <w:rFonts w:hAnsi="Courier New" w:cs="Times New Roman"/>
      <w:kern w:val="2"/>
      <w:szCs w:val="20"/>
    </w:rPr>
  </w:style>
  <w:style w:type="paragraph" w:customStyle="1" w:styleId="Style136">
    <w:name w:val="_Style 136"/>
    <w:basedOn w:val="Style116"/>
    <w:next w:val="a"/>
    <w:autoRedefine/>
    <w:qFormat/>
    <w:pPr>
      <w:ind w:left="1470"/>
    </w:pPr>
    <w:rPr>
      <w:rFonts w:asciiTheme="minorHAnsi" w:hAnsiTheme="minorHAnsi" w:cstheme="minorHAnsi"/>
      <w:bCs w:val="0"/>
      <w:sz w:val="18"/>
      <w:szCs w:val="18"/>
    </w:rPr>
  </w:style>
  <w:style w:type="paragraph" w:customStyle="1" w:styleId="Style138">
    <w:name w:val="_Style 138"/>
    <w:basedOn w:val="Style116"/>
    <w:qFormat/>
    <w:pPr>
      <w:snapToGrid w:val="0"/>
    </w:pPr>
  </w:style>
  <w:style w:type="paragraph" w:customStyle="1" w:styleId="Style139">
    <w:name w:val="_Style 139"/>
    <w:basedOn w:val="Style116"/>
    <w:qFormat/>
    <w:pPr>
      <w:widowControl w:val="0"/>
      <w:jc w:val="both"/>
    </w:pPr>
    <w:rPr>
      <w:rFonts w:ascii="Calibri" w:hAnsi="Calibri" w:cs="Times New Roman"/>
      <w:kern w:val="2"/>
      <w:sz w:val="18"/>
      <w:szCs w:val="18"/>
    </w:rPr>
  </w:style>
  <w:style w:type="paragraph" w:customStyle="1" w:styleId="Style140">
    <w:name w:val="_Style 140"/>
    <w:basedOn w:val="Style116"/>
    <w:qFormat/>
    <w:pPr>
      <w:widowControl w:val="0"/>
      <w:tabs>
        <w:tab w:val="center" w:pos="4153"/>
        <w:tab w:val="right" w:pos="8306"/>
      </w:tabs>
      <w:snapToGrid w:val="0"/>
    </w:pPr>
    <w:rPr>
      <w:rFonts w:ascii="Calibri" w:hAnsi="Calibri" w:cs="Times New Roman"/>
      <w:kern w:val="2"/>
      <w:sz w:val="18"/>
      <w:szCs w:val="18"/>
    </w:rPr>
  </w:style>
  <w:style w:type="paragraph" w:customStyle="1" w:styleId="Style141">
    <w:name w:val="_Style 141"/>
    <w:basedOn w:val="Style116"/>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142">
    <w:name w:val="_Style 142"/>
    <w:basedOn w:val="Style116"/>
    <w:next w:val="a"/>
    <w:autoRedefine/>
    <w:qFormat/>
    <w:pPr>
      <w:spacing w:line="360" w:lineRule="auto"/>
      <w:ind w:left="200" w:hangingChars="200" w:hanging="200"/>
    </w:pPr>
    <w:rPr>
      <w:rFonts w:ascii="Times New Roman" w:hAnsi="Times New Roman" w:cstheme="minorHAnsi"/>
      <w:b/>
      <w:caps/>
      <w:szCs w:val="20"/>
    </w:rPr>
  </w:style>
  <w:style w:type="paragraph" w:customStyle="1" w:styleId="Style143">
    <w:name w:val="_Style 143"/>
    <w:basedOn w:val="Style116"/>
    <w:next w:val="a"/>
    <w:autoRedefine/>
    <w:qFormat/>
    <w:pPr>
      <w:ind w:left="630"/>
    </w:pPr>
    <w:rPr>
      <w:rFonts w:asciiTheme="minorHAnsi" w:hAnsiTheme="minorHAnsi" w:cstheme="minorHAnsi"/>
      <w:bCs w:val="0"/>
      <w:sz w:val="18"/>
      <w:szCs w:val="18"/>
    </w:rPr>
  </w:style>
  <w:style w:type="paragraph" w:customStyle="1" w:styleId="Style144">
    <w:name w:val="_Style 144"/>
    <w:basedOn w:val="Style116"/>
    <w:qFormat/>
    <w:pPr>
      <w:widowControl w:val="0"/>
      <w:snapToGrid w:val="0"/>
    </w:pPr>
    <w:rPr>
      <w:rFonts w:ascii="Calibri" w:hAnsi="Calibri" w:cs="Times New Roman"/>
      <w:bCs w:val="0"/>
      <w:kern w:val="2"/>
      <w:sz w:val="18"/>
      <w:szCs w:val="18"/>
    </w:rPr>
  </w:style>
  <w:style w:type="paragraph" w:customStyle="1" w:styleId="Style145">
    <w:name w:val="_Style 145"/>
    <w:basedOn w:val="Style116"/>
    <w:next w:val="a"/>
    <w:autoRedefine/>
    <w:qFormat/>
    <w:pPr>
      <w:ind w:left="1050"/>
    </w:pPr>
    <w:rPr>
      <w:rFonts w:asciiTheme="minorHAnsi" w:hAnsiTheme="minorHAnsi" w:cstheme="minorHAnsi"/>
      <w:bCs w:val="0"/>
      <w:sz w:val="18"/>
      <w:szCs w:val="18"/>
    </w:rPr>
  </w:style>
  <w:style w:type="paragraph" w:customStyle="1" w:styleId="Style146">
    <w:name w:val="_Style 146"/>
    <w:basedOn w:val="Style116"/>
    <w:next w:val="a"/>
    <w:autoRedefine/>
    <w:qFormat/>
    <w:pPr>
      <w:ind w:left="210"/>
    </w:pPr>
    <w:rPr>
      <w:rFonts w:asciiTheme="minorHAnsi" w:hAnsiTheme="minorHAnsi" w:cstheme="minorHAnsi"/>
      <w:bCs w:val="0"/>
      <w:smallCaps/>
      <w:sz w:val="20"/>
      <w:szCs w:val="20"/>
    </w:rPr>
  </w:style>
  <w:style w:type="paragraph" w:customStyle="1" w:styleId="Style147">
    <w:name w:val="_Style 147"/>
    <w:basedOn w:val="Style116"/>
    <w:next w:val="a"/>
    <w:autoRedefine/>
    <w:qFormat/>
    <w:pPr>
      <w:ind w:left="1680"/>
    </w:pPr>
    <w:rPr>
      <w:rFonts w:asciiTheme="minorHAnsi" w:hAnsiTheme="minorHAnsi" w:cstheme="minorHAnsi"/>
      <w:bCs w:val="0"/>
      <w:sz w:val="18"/>
      <w:szCs w:val="18"/>
    </w:rPr>
  </w:style>
  <w:style w:type="paragraph" w:customStyle="1" w:styleId="Style148">
    <w:name w:val="_Style 148"/>
    <w:basedOn w:val="Style116"/>
    <w:qFormat/>
    <w:pPr>
      <w:spacing w:before="100" w:beforeAutospacing="1" w:after="100" w:afterAutospacing="1"/>
    </w:pPr>
    <w:rPr>
      <w:sz w:val="24"/>
    </w:rPr>
  </w:style>
  <w:style w:type="paragraph" w:customStyle="1" w:styleId="Style149">
    <w:name w:val="_Style 149"/>
    <w:basedOn w:val="Style116"/>
    <w:next w:val="a"/>
    <w:autoRedefine/>
    <w:qFormat/>
    <w:pPr>
      <w:ind w:firstLineChars="200" w:firstLine="420"/>
    </w:pPr>
    <w:rPr>
      <w:rFonts w:cs="Times New Roman"/>
      <w:color w:val="000000"/>
    </w:rPr>
  </w:style>
  <w:style w:type="paragraph" w:customStyle="1" w:styleId="Style150">
    <w:name w:val="_Style 150"/>
    <w:basedOn w:val="Style116"/>
    <w:next w:val="a"/>
    <w:qFormat/>
    <w:pPr>
      <w:widowControl w:val="0"/>
      <w:spacing w:before="240" w:after="60"/>
      <w:jc w:val="center"/>
      <w:outlineLvl w:val="0"/>
    </w:pPr>
    <w:rPr>
      <w:rFonts w:asciiTheme="majorHAnsi" w:hAnsiTheme="majorHAnsi" w:cstheme="majorBidi"/>
      <w:b/>
      <w:bCs w:val="0"/>
      <w:kern w:val="2"/>
      <w:sz w:val="32"/>
      <w:szCs w:val="32"/>
    </w:rPr>
  </w:style>
  <w:style w:type="paragraph" w:customStyle="1" w:styleId="Style151">
    <w:name w:val="_Style 151"/>
    <w:basedOn w:val="Style129"/>
    <w:qFormat/>
    <w:rPr>
      <w:rFonts w:ascii="Calibri" w:hAnsi="Calibri"/>
      <w:b/>
      <w:bCs w:val="0"/>
      <w:szCs w:val="22"/>
    </w:rPr>
  </w:style>
  <w:style w:type="table" w:customStyle="1" w:styleId="Style152">
    <w:name w:val="_Style 15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3">
    <w:name w:val="_Style 153"/>
    <w:basedOn w:val="a0"/>
    <w:qFormat/>
    <w:rPr>
      <w:vertAlign w:val="superscript"/>
    </w:rPr>
  </w:style>
  <w:style w:type="character" w:customStyle="1" w:styleId="Style154">
    <w:name w:val="_Style 154"/>
    <w:basedOn w:val="a0"/>
    <w:qFormat/>
    <w:rPr>
      <w:i/>
    </w:rPr>
  </w:style>
  <w:style w:type="character" w:customStyle="1" w:styleId="Style155">
    <w:name w:val="_Style 155"/>
    <w:basedOn w:val="a0"/>
    <w:qFormat/>
    <w:rPr>
      <w:rFonts w:cs="Times New Roman"/>
      <w:color w:val="0000FF"/>
      <w:u w:val="single"/>
    </w:rPr>
  </w:style>
  <w:style w:type="character" w:customStyle="1" w:styleId="Style156">
    <w:name w:val="_Style 156"/>
    <w:basedOn w:val="a0"/>
    <w:qFormat/>
    <w:rPr>
      <w:rFonts w:eastAsia="宋体" w:cs="Times New Roman"/>
      <w:kern w:val="2"/>
      <w:sz w:val="21"/>
      <w:szCs w:val="21"/>
      <w:lang w:val="en-US" w:eastAsia="zh-CN" w:bidi="ar-SA"/>
    </w:rPr>
  </w:style>
  <w:style w:type="character" w:customStyle="1" w:styleId="Style157">
    <w:name w:val="_Style 157"/>
    <w:qFormat/>
    <w:rPr>
      <w:vertAlign w:val="superscript"/>
    </w:rPr>
  </w:style>
  <w:style w:type="paragraph" w:customStyle="1" w:styleId="Style158">
    <w:name w:val="_Style 158"/>
    <w:next w:val="a"/>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character" w:customStyle="1" w:styleId="Style160">
    <w:name w:val="_Style 160"/>
    <w:basedOn w:val="a0"/>
    <w:uiPriority w:val="99"/>
    <w:qFormat/>
    <w:rPr>
      <w:rFonts w:eastAsia="黑体"/>
      <w:b/>
      <w:kern w:val="44"/>
      <w:sz w:val="28"/>
      <w:szCs w:val="44"/>
    </w:rPr>
  </w:style>
  <w:style w:type="paragraph" w:customStyle="1" w:styleId="Style161">
    <w:name w:val="_Style 161"/>
    <w:basedOn w:val="Style159"/>
    <w:next w:val="a"/>
    <w:qFormat/>
    <w:pPr>
      <w:keepNext/>
      <w:keepLines/>
      <w:widowControl w:val="0"/>
      <w:spacing w:before="60" w:after="60"/>
      <w:ind w:left="200" w:hangingChars="200" w:hanging="200"/>
      <w:jc w:val="both"/>
      <w:outlineLvl w:val="1"/>
    </w:pPr>
    <w:rPr>
      <w:rFonts w:ascii="Arial" w:hAnsi="Arial" w:cs="Times New Roman"/>
      <w:b/>
      <w:bCs/>
      <w:kern w:val="2"/>
    </w:rPr>
  </w:style>
  <w:style w:type="character" w:customStyle="1" w:styleId="Style162">
    <w:name w:val="_Style 162"/>
    <w:basedOn w:val="a0"/>
    <w:qFormat/>
    <w:rPr>
      <w:rFonts w:ascii="Arial" w:hAnsi="Arial"/>
      <w:b/>
      <w:kern w:val="2"/>
      <w:sz w:val="21"/>
      <w:szCs w:val="21"/>
    </w:rPr>
  </w:style>
  <w:style w:type="paragraph" w:customStyle="1" w:styleId="Style163">
    <w:name w:val="_Style 163"/>
    <w:basedOn w:val="Style159"/>
    <w:next w:val="a"/>
    <w:uiPriority w:val="9"/>
    <w:qFormat/>
    <w:pPr>
      <w:keepNext/>
      <w:keepLines/>
      <w:widowControl w:val="0"/>
      <w:spacing w:before="60" w:after="60"/>
      <w:jc w:val="both"/>
      <w:outlineLvl w:val="2"/>
    </w:pPr>
    <w:rPr>
      <w:rFonts w:ascii="Calibri" w:hAnsi="Calibri" w:cs="Times New Roman"/>
      <w:b/>
      <w:bCs/>
      <w:kern w:val="2"/>
      <w:szCs w:val="32"/>
    </w:rPr>
  </w:style>
  <w:style w:type="character" w:customStyle="1" w:styleId="Style164">
    <w:name w:val="_Style 164"/>
    <w:basedOn w:val="a0"/>
    <w:uiPriority w:val="9"/>
    <w:qFormat/>
    <w:rPr>
      <w:b/>
      <w:kern w:val="2"/>
      <w:sz w:val="21"/>
      <w:szCs w:val="32"/>
    </w:rPr>
  </w:style>
  <w:style w:type="paragraph" w:customStyle="1" w:styleId="Style165">
    <w:name w:val="_Style 165"/>
    <w:basedOn w:val="Style159"/>
    <w:next w:val="a"/>
    <w:uiPriority w:val="9"/>
    <w:qFormat/>
    <w:pPr>
      <w:keepNext/>
      <w:keepLines/>
      <w:widowControl w:val="0"/>
      <w:spacing w:before="60" w:after="60"/>
      <w:jc w:val="both"/>
      <w:outlineLvl w:val="3"/>
    </w:pPr>
    <w:rPr>
      <w:rFonts w:ascii="Cambria" w:hAnsi="Cambria" w:cs="Times New Roman"/>
      <w:b/>
      <w:bCs/>
      <w:kern w:val="2"/>
      <w:szCs w:val="28"/>
    </w:rPr>
  </w:style>
  <w:style w:type="character" w:customStyle="1" w:styleId="Style166">
    <w:name w:val="_Style 166"/>
    <w:basedOn w:val="a0"/>
    <w:uiPriority w:val="9"/>
    <w:qFormat/>
    <w:rPr>
      <w:rFonts w:ascii="Cambria" w:hAnsi="Cambria"/>
      <w:b/>
      <w:kern w:val="2"/>
      <w:sz w:val="21"/>
      <w:szCs w:val="28"/>
    </w:rPr>
  </w:style>
  <w:style w:type="paragraph" w:customStyle="1" w:styleId="Style167">
    <w:name w:val="_Style 167"/>
    <w:basedOn w:val="Style159"/>
    <w:next w:val="a"/>
    <w:uiPriority w:val="9"/>
    <w:qFormat/>
    <w:pPr>
      <w:keepNext/>
      <w:keepLines/>
      <w:widowControl w:val="0"/>
      <w:spacing w:before="60" w:after="60"/>
      <w:jc w:val="both"/>
      <w:outlineLvl w:val="4"/>
    </w:pPr>
    <w:rPr>
      <w:rFonts w:ascii="Calibri" w:hAnsi="Calibri" w:cs="Times New Roman"/>
      <w:b/>
      <w:bCs/>
      <w:kern w:val="2"/>
      <w:szCs w:val="28"/>
    </w:rPr>
  </w:style>
  <w:style w:type="character" w:customStyle="1" w:styleId="Style168">
    <w:name w:val="_Style 168"/>
    <w:basedOn w:val="a0"/>
    <w:uiPriority w:val="9"/>
    <w:qFormat/>
    <w:rPr>
      <w:b/>
      <w:kern w:val="2"/>
      <w:sz w:val="21"/>
      <w:szCs w:val="28"/>
    </w:rPr>
  </w:style>
  <w:style w:type="paragraph" w:customStyle="1" w:styleId="Style169">
    <w:name w:val="_Style 169"/>
    <w:basedOn w:val="Style117"/>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Style170">
    <w:name w:val="_Style 170"/>
    <w:basedOn w:val="a0"/>
    <w:qFormat/>
    <w:rPr>
      <w:rFonts w:ascii="Times New Roman" w:eastAsia="宋体" w:hAnsi="Times New Roman" w:cs="Times New Roman"/>
      <w:szCs w:val="21"/>
    </w:rPr>
  </w:style>
  <w:style w:type="paragraph" w:customStyle="1" w:styleId="affc">
    <w:name w:val="引文目录标题 字符"/>
    <w:basedOn w:val="Style159"/>
    <w:uiPriority w:val="99"/>
    <w:unhideWhenUsed/>
    <w:qFormat/>
    <w:pPr>
      <w:widowControl w:val="0"/>
      <w:jc w:val="both"/>
    </w:pPr>
    <w:rPr>
      <w:rFonts w:ascii="Calibri" w:hAnsi="Calibri" w:cs="Times New Roman"/>
      <w:kern w:val="2"/>
      <w:sz w:val="18"/>
      <w:szCs w:val="18"/>
    </w:rPr>
  </w:style>
  <w:style w:type="character" w:customStyle="1" w:styleId="Style172">
    <w:name w:val="_Style 172"/>
    <w:basedOn w:val="a0"/>
    <w:uiPriority w:val="99"/>
    <w:qFormat/>
    <w:rPr>
      <w:rFonts w:ascii="Calibri" w:eastAsia="宋体" w:hAnsi="Calibri" w:cs="Times New Roman"/>
      <w:sz w:val="18"/>
      <w:szCs w:val="18"/>
    </w:rPr>
  </w:style>
  <w:style w:type="paragraph" w:customStyle="1" w:styleId="affd">
    <w:name w:val="修订 字符"/>
    <w:basedOn w:val="Style159"/>
    <w:next w:val="a"/>
    <w:uiPriority w:val="99"/>
    <w:qFormat/>
    <w:pPr>
      <w:widowControl w:val="0"/>
      <w:jc w:val="both"/>
    </w:pPr>
    <w:rPr>
      <w:rFonts w:ascii="Times New Roman" w:hAnsi="Times New Roman" w:cs="Times New Roman"/>
      <w:kern w:val="2"/>
    </w:rPr>
  </w:style>
  <w:style w:type="character" w:customStyle="1" w:styleId="Style174">
    <w:name w:val="_Style 174"/>
    <w:basedOn w:val="a0"/>
    <w:uiPriority w:val="99"/>
    <w:qFormat/>
    <w:rPr>
      <w:rFonts w:ascii="Times New Roman" w:eastAsia="宋体" w:hAnsi="Times New Roman" w:cs="Times New Roman"/>
      <w:szCs w:val="21"/>
    </w:rPr>
  </w:style>
  <w:style w:type="paragraph" w:customStyle="1" w:styleId="Style175">
    <w:name w:val="_Style 175"/>
    <w:basedOn w:val="Style116"/>
    <w:uiPriority w:val="34"/>
    <w:qFormat/>
    <w:pPr>
      <w:widowControl w:val="0"/>
      <w:ind w:firstLineChars="200" w:firstLine="420"/>
      <w:jc w:val="both"/>
    </w:pPr>
    <w:rPr>
      <w:rFonts w:ascii="Calibri" w:hAnsi="Calibri" w:cs="Times New Roman"/>
      <w:kern w:val="2"/>
      <w:szCs w:val="22"/>
    </w:rPr>
  </w:style>
  <w:style w:type="character" w:customStyle="1" w:styleId="Style176">
    <w:name w:val="_Style 176"/>
    <w:basedOn w:val="Style170"/>
    <w:uiPriority w:val="99"/>
    <w:qFormat/>
    <w:rPr>
      <w:rFonts w:ascii="Calibri" w:eastAsia="宋体" w:hAnsi="Calibri" w:cs="Times New Roman"/>
      <w:b/>
      <w:szCs w:val="21"/>
    </w:rPr>
  </w:style>
  <w:style w:type="paragraph" w:customStyle="1" w:styleId="Style177">
    <w:name w:val="_Style 177"/>
    <w:basedOn w:val="Style159"/>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178">
    <w:name w:val="_Style 178"/>
    <w:basedOn w:val="a0"/>
    <w:uiPriority w:val="99"/>
    <w:qFormat/>
    <w:rPr>
      <w:rFonts w:ascii="Calibri" w:eastAsia="宋体" w:hAnsi="Calibri" w:cs="Times New Roman"/>
      <w:sz w:val="18"/>
      <w:szCs w:val="18"/>
    </w:rPr>
  </w:style>
  <w:style w:type="character" w:customStyle="1" w:styleId="Style180">
    <w:name w:val="_Style 180"/>
    <w:basedOn w:val="a0"/>
    <w:uiPriority w:val="99"/>
    <w:qFormat/>
    <w:rPr>
      <w:rFonts w:ascii="Calibri" w:eastAsia="宋体" w:hAnsi="Calibri" w:cs="Times New Roman"/>
      <w:sz w:val="18"/>
      <w:szCs w:val="18"/>
    </w:rPr>
  </w:style>
  <w:style w:type="paragraph" w:customStyle="1" w:styleId="Style181">
    <w:name w:val="_Style 181"/>
    <w:basedOn w:val="Style159"/>
    <w:qFormat/>
    <w:pPr>
      <w:widowControl w:val="0"/>
      <w:jc w:val="both"/>
    </w:pPr>
    <w:rPr>
      <w:rFonts w:hAnsi="Courier New" w:cs="Times New Roman"/>
      <w:kern w:val="2"/>
      <w:szCs w:val="20"/>
    </w:rPr>
  </w:style>
  <w:style w:type="character" w:customStyle="1" w:styleId="Style182">
    <w:name w:val="_Style 182"/>
    <w:basedOn w:val="a0"/>
    <w:qFormat/>
    <w:rPr>
      <w:rFonts w:ascii="宋体" w:eastAsia="宋体" w:hAnsi="Courier New" w:cs="Times New Roman"/>
      <w:szCs w:val="20"/>
    </w:rPr>
  </w:style>
  <w:style w:type="character" w:customStyle="1" w:styleId="Style183">
    <w:name w:val="_Style 183"/>
    <w:basedOn w:val="a0"/>
    <w:qFormat/>
    <w:rPr>
      <w:rFonts w:eastAsia="宋体" w:cs="Times New Roman"/>
      <w:kern w:val="2"/>
      <w:sz w:val="24"/>
      <w:szCs w:val="24"/>
      <w:lang w:val="en-US" w:eastAsia="zh-CN" w:bidi="ar-SA"/>
    </w:rPr>
  </w:style>
  <w:style w:type="character" w:customStyle="1" w:styleId="Style185">
    <w:name w:val="_Style 185"/>
    <w:basedOn w:val="a0"/>
    <w:uiPriority w:val="99"/>
    <w:qFormat/>
    <w:rPr>
      <w:rFonts w:ascii="Times New Roman" w:eastAsia="宋体" w:hAnsi="Times New Roman" w:cs="Times New Roman"/>
      <w:szCs w:val="21"/>
    </w:rPr>
  </w:style>
  <w:style w:type="character" w:customStyle="1" w:styleId="Style186">
    <w:name w:val="_Style 186"/>
    <w:basedOn w:val="a0"/>
    <w:uiPriority w:val="99"/>
    <w:qFormat/>
    <w:rPr>
      <w:rFonts w:ascii="Times New Roman" w:eastAsia="宋体" w:hAnsi="Times New Roman" w:cs="Times New Roman"/>
      <w:szCs w:val="21"/>
    </w:rPr>
  </w:style>
  <w:style w:type="paragraph" w:customStyle="1" w:styleId="affe">
    <w:name w:val="普通(网站) 字符"/>
    <w:basedOn w:val="Style159"/>
    <w:next w:val="a"/>
    <w:uiPriority w:val="99"/>
    <w:qFormat/>
    <w:pPr>
      <w:widowControl w:val="0"/>
      <w:jc w:val="center"/>
    </w:pPr>
    <w:rPr>
      <w:rFonts w:ascii="Times New Roman" w:hAnsi="Times New Roman" w:cs="Times New Roman"/>
      <w:kern w:val="2"/>
    </w:rPr>
  </w:style>
  <w:style w:type="character" w:customStyle="1" w:styleId="Style188">
    <w:name w:val="_Style 188"/>
    <w:basedOn w:val="a0"/>
    <w:uiPriority w:val="99"/>
    <w:qFormat/>
    <w:rPr>
      <w:rFonts w:ascii="Times New Roman" w:eastAsia="宋体" w:hAnsi="Times New Roman" w:cs="Times New Roman"/>
      <w:szCs w:val="21"/>
    </w:rPr>
  </w:style>
  <w:style w:type="paragraph" w:customStyle="1" w:styleId="Style189">
    <w:name w:val="_Style 189"/>
    <w:basedOn w:val="Style116"/>
    <w:qFormat/>
    <w:pPr>
      <w:keepNext/>
      <w:keepLines/>
      <w:widowControl w:val="0"/>
      <w:spacing w:before="60" w:after="60"/>
      <w:ind w:hangingChars="200" w:hanging="420"/>
      <w:jc w:val="both"/>
      <w:outlineLvl w:val="4"/>
    </w:pPr>
    <w:rPr>
      <w:rFonts w:cs="Times New Roman"/>
      <w:b/>
      <w:bCs w:val="0"/>
      <w:kern w:val="2"/>
    </w:rPr>
  </w:style>
  <w:style w:type="paragraph" w:customStyle="1" w:styleId="Style190">
    <w:name w:val="_Style 190"/>
    <w:hidden/>
    <w:uiPriority w:val="99"/>
    <w:semiHidden/>
    <w:qFormat/>
    <w:rPr>
      <w:rFonts w:ascii="宋体" w:hAnsi="宋体" w:cs="宋体"/>
      <w:bCs/>
      <w:kern w:val="2"/>
      <w:sz w:val="21"/>
      <w:szCs w:val="22"/>
    </w:rPr>
  </w:style>
  <w:style w:type="character" w:customStyle="1" w:styleId="Style191">
    <w:name w:val="_Style 191"/>
    <w:basedOn w:val="a0"/>
    <w:qFormat/>
    <w:rPr>
      <w:kern w:val="2"/>
      <w:sz w:val="21"/>
      <w:szCs w:val="24"/>
    </w:rPr>
  </w:style>
  <w:style w:type="paragraph" w:customStyle="1" w:styleId="Style192">
    <w:name w:val="_Style 192"/>
    <w:basedOn w:val="Style116"/>
    <w:qFormat/>
    <w:pPr>
      <w:widowControl w:val="0"/>
      <w:spacing w:before="100" w:after="100"/>
      <w:jc w:val="both"/>
    </w:pPr>
    <w:rPr>
      <w:rFonts w:ascii="Calibri" w:hAnsi="Calibri" w:cs="Times New Roman"/>
      <w:kern w:val="2"/>
    </w:rPr>
  </w:style>
  <w:style w:type="character" w:customStyle="1" w:styleId="Style193">
    <w:name w:val="_Style 193"/>
    <w:basedOn w:val="a0"/>
    <w:uiPriority w:val="99"/>
    <w:semiHidden/>
    <w:qFormat/>
    <w:rPr>
      <w:rFonts w:ascii="宋体"/>
      <w:kern w:val="2"/>
      <w:sz w:val="18"/>
      <w:szCs w:val="18"/>
    </w:rPr>
  </w:style>
  <w:style w:type="character" w:customStyle="1" w:styleId="Style194">
    <w:name w:val="_Style 194"/>
    <w:basedOn w:val="a0"/>
    <w:uiPriority w:val="99"/>
    <w:semiHidden/>
    <w:qFormat/>
    <w:rPr>
      <w:color w:val="auto"/>
    </w:rPr>
  </w:style>
  <w:style w:type="paragraph" w:customStyle="1" w:styleId="afff">
    <w:name w:val="正文缩进 字符"/>
    <w:basedOn w:val="Style159"/>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Style196">
    <w:name w:val="_Style 196"/>
    <w:basedOn w:val="a0"/>
    <w:uiPriority w:val="10"/>
    <w:qFormat/>
    <w:rPr>
      <w:rFonts w:asciiTheme="majorHAnsi" w:hAnsiTheme="majorHAnsi" w:cstheme="majorBidi"/>
      <w:b/>
      <w:kern w:val="2"/>
      <w:sz w:val="32"/>
      <w:szCs w:val="32"/>
    </w:rPr>
  </w:style>
  <w:style w:type="paragraph" w:customStyle="1" w:styleId="Style197">
    <w:name w:val="_Style 197"/>
    <w:uiPriority w:val="1"/>
    <w:qFormat/>
    <w:pPr>
      <w:widowControl w:val="0"/>
      <w:jc w:val="both"/>
    </w:pPr>
    <w:rPr>
      <w:rFonts w:ascii="宋体" w:hAnsi="宋体" w:cs="宋体"/>
      <w:bCs/>
      <w:kern w:val="2"/>
      <w:sz w:val="21"/>
      <w:szCs w:val="22"/>
    </w:rPr>
  </w:style>
  <w:style w:type="character" w:customStyle="1" w:styleId="Style198">
    <w:name w:val="_Style 198"/>
    <w:basedOn w:val="a0"/>
    <w:uiPriority w:val="9"/>
    <w:qFormat/>
    <w:rPr>
      <w:rFonts w:asciiTheme="majorHAnsi" w:hAnsiTheme="majorHAnsi" w:cstheme="majorBidi"/>
      <w:b/>
      <w:sz w:val="21"/>
      <w:szCs w:val="24"/>
    </w:rPr>
  </w:style>
  <w:style w:type="paragraph" w:customStyle="1" w:styleId="Style199">
    <w:name w:val="_Style 199"/>
    <w:basedOn w:val="Style159"/>
    <w:uiPriority w:val="99"/>
    <w:semiHidden/>
    <w:unhideWhenUsed/>
    <w:qFormat/>
    <w:pPr>
      <w:snapToGrid w:val="0"/>
    </w:pPr>
  </w:style>
  <w:style w:type="character" w:customStyle="1" w:styleId="Style200">
    <w:name w:val="_Style 200"/>
    <w:basedOn w:val="a0"/>
    <w:uiPriority w:val="99"/>
    <w:semiHidden/>
    <w:qFormat/>
    <w:rPr>
      <w:rFonts w:ascii="宋体" w:hAnsi="宋体" w:cs="宋体"/>
      <w:sz w:val="21"/>
      <w:szCs w:val="24"/>
    </w:rPr>
  </w:style>
  <w:style w:type="character" w:customStyle="1" w:styleId="Style201">
    <w:name w:val="_Style 201"/>
    <w:basedOn w:val="Style170"/>
    <w:uiPriority w:val="99"/>
    <w:semiHidden/>
    <w:qFormat/>
    <w:rPr>
      <w:rFonts w:ascii="Times New Roman" w:eastAsia="宋体" w:hAnsi="Times New Roman" w:cs="Times New Roman"/>
      <w:b/>
      <w:szCs w:val="21"/>
    </w:rPr>
  </w:style>
  <w:style w:type="paragraph" w:customStyle="1" w:styleId="Style202">
    <w:name w:val="_Style 202"/>
    <w:basedOn w:val="Style116"/>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203">
    <w:name w:val="_Style 203"/>
    <w:basedOn w:val="a0"/>
    <w:qFormat/>
    <w:rPr>
      <w:rFonts w:ascii="Times New Roman" w:hAnsi="Times New Roman"/>
      <w:b/>
      <w:kern w:val="2"/>
      <w:sz w:val="21"/>
      <w:szCs w:val="24"/>
    </w:rPr>
  </w:style>
  <w:style w:type="character" w:customStyle="1" w:styleId="Style204">
    <w:name w:val="_Style 204"/>
    <w:basedOn w:val="Style170"/>
    <w:uiPriority w:val="99"/>
    <w:semiHidden/>
    <w:qFormat/>
    <w:rPr>
      <w:rFonts w:ascii="Times New Roman" w:eastAsia="宋体" w:hAnsi="Times New Roman" w:cs="Times New Roman"/>
      <w:b/>
      <w:szCs w:val="21"/>
    </w:rPr>
  </w:style>
  <w:style w:type="paragraph" w:customStyle="1" w:styleId="Style205">
    <w:name w:val="_Style 205"/>
    <w:basedOn w:val="Style159"/>
    <w:next w:val="a"/>
    <w:uiPriority w:val="9"/>
    <w:unhideWhenUsed/>
    <w:qFormat/>
    <w:pPr>
      <w:keepNext/>
      <w:keepLines/>
      <w:spacing w:before="240" w:after="64" w:line="320" w:lineRule="auto"/>
      <w:outlineLvl w:val="6"/>
    </w:pPr>
    <w:rPr>
      <w:b/>
      <w:bCs/>
      <w:sz w:val="24"/>
    </w:rPr>
  </w:style>
  <w:style w:type="character" w:customStyle="1" w:styleId="Style206">
    <w:name w:val="_Style 206"/>
    <w:basedOn w:val="a0"/>
    <w:uiPriority w:val="9"/>
    <w:qFormat/>
    <w:rPr>
      <w:rFonts w:ascii="宋体" w:hAnsi="宋体" w:cs="宋体"/>
      <w:b/>
      <w:sz w:val="24"/>
      <w:szCs w:val="24"/>
    </w:rPr>
  </w:style>
  <w:style w:type="character" w:customStyle="1" w:styleId="Style207">
    <w:name w:val="_Style 207"/>
    <w:uiPriority w:val="9"/>
    <w:qFormat/>
    <w:rPr>
      <w:rFonts w:ascii="Cambria" w:hAnsi="Cambria"/>
      <w:b/>
      <w:kern w:val="2"/>
      <w:sz w:val="21"/>
      <w:szCs w:val="28"/>
    </w:rPr>
  </w:style>
  <w:style w:type="paragraph" w:customStyle="1" w:styleId="Style208">
    <w:name w:val="_Style 208"/>
    <w:basedOn w:val="Style116"/>
    <w:next w:val="a6"/>
    <w:uiPriority w:val="34"/>
    <w:qFormat/>
    <w:pPr>
      <w:widowControl w:val="0"/>
      <w:ind w:firstLineChars="200" w:firstLine="420"/>
      <w:jc w:val="both"/>
    </w:pPr>
    <w:rPr>
      <w:rFonts w:ascii="Calibri" w:hAnsi="Calibri" w:cs="Times New Roman"/>
      <w:kern w:val="2"/>
      <w:szCs w:val="22"/>
    </w:rPr>
  </w:style>
  <w:style w:type="paragraph" w:customStyle="1" w:styleId="Style209">
    <w:name w:val="_Style 209"/>
    <w:basedOn w:val="Style116"/>
    <w:next w:val="a6"/>
    <w:uiPriority w:val="34"/>
    <w:qFormat/>
    <w:pPr>
      <w:widowControl w:val="0"/>
      <w:ind w:firstLineChars="200" w:firstLine="420"/>
      <w:jc w:val="both"/>
    </w:pPr>
    <w:rPr>
      <w:rFonts w:ascii="Calibri" w:hAnsi="Calibri" w:cs="Times New Roman"/>
      <w:kern w:val="2"/>
      <w:szCs w:val="22"/>
    </w:rPr>
  </w:style>
  <w:style w:type="character" w:customStyle="1" w:styleId="Style210">
    <w:name w:val="_Style 210"/>
    <w:uiPriority w:val="9"/>
    <w:qFormat/>
    <w:rPr>
      <w:b/>
      <w:kern w:val="2"/>
      <w:sz w:val="21"/>
      <w:szCs w:val="32"/>
    </w:rPr>
  </w:style>
  <w:style w:type="paragraph" w:customStyle="1" w:styleId="Style212">
    <w:name w:val="_Style 212"/>
    <w:basedOn w:val="Style116"/>
    <w:next w:val="a6"/>
    <w:uiPriority w:val="34"/>
    <w:qFormat/>
    <w:pPr>
      <w:widowControl w:val="0"/>
      <w:ind w:firstLineChars="200" w:firstLine="420"/>
      <w:jc w:val="both"/>
    </w:pPr>
    <w:rPr>
      <w:rFonts w:ascii="Calibri" w:hAnsi="Calibri" w:cs="Times New Roman"/>
      <w:kern w:val="2"/>
      <w:szCs w:val="22"/>
    </w:rPr>
  </w:style>
  <w:style w:type="character" w:customStyle="1" w:styleId="Style213">
    <w:name w:val="_Style 213"/>
    <w:uiPriority w:val="9"/>
    <w:qFormat/>
    <w:rPr>
      <w:b/>
      <w:kern w:val="2"/>
      <w:sz w:val="21"/>
      <w:szCs w:val="28"/>
    </w:rPr>
  </w:style>
  <w:style w:type="paragraph" w:customStyle="1" w:styleId="Style214">
    <w:name w:val="_Style 214"/>
    <w:basedOn w:val="Style116"/>
    <w:next w:val="a6"/>
    <w:uiPriority w:val="34"/>
    <w:qFormat/>
    <w:pPr>
      <w:widowControl w:val="0"/>
      <w:ind w:firstLineChars="200" w:firstLine="420"/>
      <w:jc w:val="both"/>
    </w:pPr>
    <w:rPr>
      <w:rFonts w:ascii="Calibri" w:hAnsi="Calibri" w:cs="Times New Roman"/>
      <w:kern w:val="2"/>
      <w:szCs w:val="22"/>
    </w:rPr>
  </w:style>
  <w:style w:type="character" w:customStyle="1" w:styleId="Style215">
    <w:name w:val="_Style 215"/>
    <w:uiPriority w:val="9"/>
    <w:qFormat/>
    <w:rPr>
      <w:b/>
      <w:kern w:val="2"/>
      <w:sz w:val="21"/>
      <w:szCs w:val="32"/>
    </w:rPr>
  </w:style>
  <w:style w:type="character" w:customStyle="1" w:styleId="Style216">
    <w:name w:val="_Style 216"/>
    <w:qFormat/>
    <w:rPr>
      <w:rFonts w:ascii="Arial" w:hAnsi="Arial"/>
      <w:b/>
      <w:kern w:val="2"/>
      <w:sz w:val="21"/>
      <w:szCs w:val="21"/>
    </w:rPr>
  </w:style>
  <w:style w:type="character" w:customStyle="1" w:styleId="Style217">
    <w:name w:val="_Style 217"/>
    <w:uiPriority w:val="9"/>
    <w:qFormat/>
    <w:rPr>
      <w:rFonts w:ascii="Cambria" w:hAnsi="Cambria"/>
      <w:b/>
      <w:kern w:val="2"/>
      <w:sz w:val="21"/>
      <w:szCs w:val="28"/>
    </w:rPr>
  </w:style>
  <w:style w:type="character" w:customStyle="1" w:styleId="Style218">
    <w:name w:val="_Style 218"/>
    <w:uiPriority w:val="9"/>
    <w:qFormat/>
    <w:rPr>
      <w:b/>
      <w:kern w:val="2"/>
      <w:sz w:val="21"/>
      <w:szCs w:val="28"/>
    </w:rPr>
  </w:style>
  <w:style w:type="paragraph" w:customStyle="1" w:styleId="Style219">
    <w:name w:val="_Style 219"/>
    <w:basedOn w:val="Style116"/>
    <w:next w:val="a6"/>
    <w:uiPriority w:val="34"/>
    <w:qFormat/>
    <w:pPr>
      <w:widowControl w:val="0"/>
      <w:ind w:firstLineChars="200" w:firstLine="420"/>
      <w:jc w:val="both"/>
    </w:pPr>
    <w:rPr>
      <w:rFonts w:ascii="Calibri" w:hAnsi="Calibri" w:cs="Times New Roman"/>
      <w:kern w:val="2"/>
      <w:szCs w:val="22"/>
    </w:rPr>
  </w:style>
  <w:style w:type="character" w:customStyle="1" w:styleId="Style220">
    <w:name w:val="_Style 220"/>
    <w:qFormat/>
    <w:rPr>
      <w:rFonts w:ascii="Times New Roman" w:hAnsi="Times New Roman" w:cs="Times New Roman"/>
      <w:kern w:val="2"/>
      <w:sz w:val="21"/>
      <w:szCs w:val="21"/>
    </w:rPr>
  </w:style>
  <w:style w:type="character" w:customStyle="1" w:styleId="Style221">
    <w:name w:val="_Style 221"/>
    <w:qFormat/>
    <w:rPr>
      <w:rFonts w:ascii="FZLTSK--GBK1-0" w:hAnsi="FZLTSK--GBK1-0" w:hint="default"/>
      <w:bCs/>
      <w:color w:val="000000"/>
      <w:sz w:val="20"/>
      <w:szCs w:val="20"/>
    </w:rPr>
  </w:style>
  <w:style w:type="character" w:customStyle="1" w:styleId="Style222">
    <w:name w:val="_Style 222"/>
    <w:uiPriority w:val="99"/>
    <w:semiHidden/>
    <w:qFormat/>
    <w:locked/>
    <w:rPr>
      <w:rFonts w:ascii="Times New Roman" w:hAnsi="Times New Roman"/>
      <w:kern w:val="2"/>
      <w:sz w:val="21"/>
      <w:szCs w:val="21"/>
    </w:rPr>
  </w:style>
  <w:style w:type="character" w:customStyle="1" w:styleId="Style223">
    <w:name w:val="_Style 223"/>
    <w:qFormat/>
    <w:rPr>
      <w:rFonts w:ascii="Arial" w:hAnsi="Arial"/>
      <w:b/>
      <w:kern w:val="2"/>
      <w:sz w:val="21"/>
      <w:szCs w:val="21"/>
    </w:rPr>
  </w:style>
  <w:style w:type="character" w:customStyle="1" w:styleId="Style224">
    <w:name w:val="_Style 224"/>
    <w:uiPriority w:val="9"/>
    <w:qFormat/>
    <w:rPr>
      <w:b/>
      <w:kern w:val="2"/>
      <w:sz w:val="21"/>
      <w:szCs w:val="28"/>
    </w:rPr>
  </w:style>
  <w:style w:type="character" w:customStyle="1" w:styleId="Style225">
    <w:name w:val="_Style 225"/>
    <w:uiPriority w:val="9"/>
    <w:qFormat/>
    <w:rPr>
      <w:b/>
      <w:kern w:val="2"/>
      <w:sz w:val="21"/>
      <w:szCs w:val="32"/>
    </w:rPr>
  </w:style>
  <w:style w:type="character" w:customStyle="1" w:styleId="Style226">
    <w:name w:val="_Style 226"/>
    <w:uiPriority w:val="9"/>
    <w:qFormat/>
    <w:rPr>
      <w:b/>
      <w:kern w:val="2"/>
      <w:sz w:val="21"/>
      <w:szCs w:val="32"/>
    </w:rPr>
  </w:style>
  <w:style w:type="character" w:customStyle="1" w:styleId="Style228">
    <w:name w:val="_Style 228"/>
    <w:basedOn w:val="a0"/>
    <w:uiPriority w:val="99"/>
    <w:semiHidden/>
    <w:qFormat/>
    <w:rPr>
      <w:rFonts w:ascii="Calibri" w:hAnsi="Calibri" w:cs="Times New Roman"/>
      <w:kern w:val="2"/>
      <w:sz w:val="18"/>
      <w:szCs w:val="18"/>
    </w:rPr>
  </w:style>
  <w:style w:type="paragraph" w:customStyle="1" w:styleId="Style229">
    <w:name w:val="_Style 229"/>
    <w:qFormat/>
    <w:rPr>
      <w:rFonts w:ascii="宋体" w:hAnsi="宋体" w:cs="宋体"/>
      <w:sz w:val="24"/>
      <w:szCs w:val="24"/>
    </w:rPr>
  </w:style>
  <w:style w:type="paragraph" w:customStyle="1" w:styleId="Style230">
    <w:name w:val="_Style 230"/>
    <w:qFormat/>
    <w:pPr>
      <w:widowControl w:val="0"/>
      <w:tabs>
        <w:tab w:val="left" w:pos="0"/>
      </w:tabs>
      <w:adjustRightInd w:val="0"/>
      <w:snapToGrid w:val="0"/>
      <w:spacing w:line="400" w:lineRule="atLeast"/>
      <w:ind w:left="1276"/>
      <w:jc w:val="both"/>
    </w:pPr>
    <w:rPr>
      <w:rFonts w:ascii="宋体" w:hAnsi="宋体" w:cs="宋体"/>
      <w:color w:val="000000"/>
      <w:kern w:val="2"/>
      <w:sz w:val="21"/>
      <w:szCs w:val="21"/>
    </w:rPr>
  </w:style>
  <w:style w:type="paragraph" w:customStyle="1" w:styleId="Style231">
    <w:name w:val="_Style 231"/>
    <w:qFormat/>
    <w:pPr>
      <w:widowControl w:val="0"/>
      <w:tabs>
        <w:tab w:val="left" w:pos="0"/>
      </w:tabs>
      <w:adjustRightInd w:val="0"/>
      <w:snapToGrid w:val="0"/>
      <w:spacing w:line="400" w:lineRule="atLeast"/>
      <w:ind w:left="714"/>
      <w:jc w:val="both"/>
    </w:pPr>
    <w:rPr>
      <w:rFonts w:ascii="宋体" w:hAnsi="宋体" w:cs="宋体"/>
      <w:color w:val="000000"/>
      <w:kern w:val="2"/>
      <w:sz w:val="21"/>
      <w:szCs w:val="21"/>
    </w:rPr>
  </w:style>
  <w:style w:type="paragraph" w:customStyle="1" w:styleId="Style232">
    <w:name w:val="_Style 232"/>
    <w:qFormat/>
    <w:pPr>
      <w:widowControl w:val="0"/>
      <w:numPr>
        <w:ilvl w:val="2"/>
        <w:numId w:val="1"/>
      </w:numPr>
      <w:tabs>
        <w:tab w:val="left" w:pos="0"/>
      </w:tabs>
      <w:adjustRightInd w:val="0"/>
      <w:snapToGrid w:val="0"/>
      <w:spacing w:line="400" w:lineRule="atLeast"/>
      <w:jc w:val="both"/>
      <w:outlineLvl w:val="2"/>
    </w:pPr>
    <w:rPr>
      <w:rFonts w:ascii="宋体" w:hAnsi="宋体" w:cs="宋体"/>
      <w:b/>
      <w:color w:val="000000"/>
      <w:kern w:val="2"/>
      <w:sz w:val="21"/>
      <w:szCs w:val="21"/>
    </w:rPr>
  </w:style>
  <w:style w:type="paragraph" w:customStyle="1" w:styleId="Style233">
    <w:name w:val="_Style 233"/>
    <w:basedOn w:val="Style159"/>
    <w:next w:val="a"/>
    <w:uiPriority w:val="9"/>
    <w:unhideWhenUsed/>
    <w:qFormat/>
    <w:pPr>
      <w:keepNext/>
      <w:keepLines/>
      <w:spacing w:before="60" w:after="60"/>
      <w:outlineLvl w:val="5"/>
    </w:pPr>
    <w:rPr>
      <w:rFonts w:asciiTheme="majorHAnsi" w:hAnsiTheme="majorHAnsi" w:cstheme="majorBidi"/>
      <w:b/>
      <w:bCs/>
    </w:rPr>
  </w:style>
  <w:style w:type="character" w:customStyle="1" w:styleId="Style234">
    <w:name w:val="_Style 234"/>
    <w:uiPriority w:val="1"/>
    <w:semiHidden/>
    <w:unhideWhenUsed/>
    <w:qFormat/>
  </w:style>
  <w:style w:type="paragraph" w:customStyle="1" w:styleId="Style235">
    <w:name w:val="_Style 235"/>
    <w:basedOn w:val="Style159"/>
    <w:next w:val="a"/>
    <w:autoRedefine/>
    <w:uiPriority w:val="39"/>
    <w:unhideWhenUsed/>
    <w:qFormat/>
    <w:pPr>
      <w:ind w:left="1260"/>
    </w:pPr>
    <w:rPr>
      <w:rFonts w:asciiTheme="minorHAnsi" w:hAnsiTheme="minorHAnsi" w:cstheme="minorHAnsi"/>
      <w:bCs/>
      <w:sz w:val="18"/>
      <w:szCs w:val="18"/>
    </w:rPr>
  </w:style>
  <w:style w:type="paragraph" w:customStyle="1" w:styleId="Style236">
    <w:name w:val="_Style 236"/>
    <w:basedOn w:val="Style159"/>
    <w:qFormat/>
    <w:pPr>
      <w:widowControl w:val="0"/>
      <w:ind w:firstLineChars="200" w:firstLine="420"/>
      <w:jc w:val="both"/>
    </w:pPr>
    <w:rPr>
      <w:rFonts w:ascii="Times New Roman" w:hAnsi="Times New Roman" w:cs="Times New Roman"/>
      <w:kern w:val="2"/>
    </w:rPr>
  </w:style>
  <w:style w:type="paragraph" w:customStyle="1" w:styleId="Style237">
    <w:name w:val="_Style 237"/>
    <w:basedOn w:val="Style159"/>
    <w:uiPriority w:val="99"/>
    <w:semiHidden/>
    <w:unhideWhenUsed/>
    <w:qFormat/>
    <w:pPr>
      <w:widowControl w:val="0"/>
      <w:jc w:val="both"/>
    </w:pPr>
    <w:rPr>
      <w:rFonts w:hAnsi="Calibri" w:cs="Times New Roman"/>
      <w:kern w:val="2"/>
      <w:sz w:val="18"/>
      <w:szCs w:val="18"/>
    </w:rPr>
  </w:style>
  <w:style w:type="paragraph" w:customStyle="1" w:styleId="Style238">
    <w:name w:val="_Style 238"/>
    <w:basedOn w:val="Style159"/>
    <w:next w:val="a"/>
    <w:semiHidden/>
    <w:qFormat/>
    <w:pPr>
      <w:widowControl w:val="0"/>
      <w:spacing w:before="120"/>
      <w:jc w:val="both"/>
    </w:pPr>
    <w:rPr>
      <w:rFonts w:ascii="Arial" w:hAnsi="Arial" w:cs="Times New Roman"/>
      <w:b/>
      <w:bCs/>
      <w:kern w:val="2"/>
    </w:rPr>
  </w:style>
  <w:style w:type="paragraph" w:customStyle="1" w:styleId="Style239">
    <w:name w:val="_Style 239"/>
    <w:basedOn w:val="Style159"/>
    <w:qFormat/>
    <w:pPr>
      <w:widowControl w:val="0"/>
    </w:pPr>
    <w:rPr>
      <w:rFonts w:ascii="Times New Roman" w:hAnsi="Times New Roman" w:cs="Times New Roman"/>
      <w:kern w:val="2"/>
    </w:rPr>
  </w:style>
  <w:style w:type="paragraph" w:customStyle="1" w:styleId="Style240">
    <w:name w:val="_Style 240"/>
    <w:basedOn w:val="Style159"/>
    <w:qFormat/>
    <w:pPr>
      <w:widowControl w:val="0"/>
      <w:tabs>
        <w:tab w:val="left" w:pos="1200"/>
      </w:tabs>
      <w:jc w:val="both"/>
    </w:pPr>
    <w:rPr>
      <w:rFonts w:ascii="Times New Roman" w:hAnsi="Times New Roman" w:cs="Times New Roman"/>
      <w:kern w:val="2"/>
    </w:rPr>
  </w:style>
  <w:style w:type="paragraph" w:customStyle="1" w:styleId="Style241">
    <w:name w:val="_Style 241"/>
    <w:basedOn w:val="Style159"/>
    <w:next w:val="a"/>
    <w:autoRedefine/>
    <w:uiPriority w:val="39"/>
    <w:unhideWhenUsed/>
    <w:qFormat/>
    <w:pPr>
      <w:ind w:left="840"/>
    </w:pPr>
    <w:rPr>
      <w:rFonts w:asciiTheme="minorHAnsi" w:hAnsiTheme="minorHAnsi" w:cstheme="minorHAnsi"/>
      <w:bCs/>
      <w:sz w:val="18"/>
      <w:szCs w:val="18"/>
    </w:rPr>
  </w:style>
  <w:style w:type="paragraph" w:customStyle="1" w:styleId="Style242">
    <w:name w:val="_Style 242"/>
    <w:basedOn w:val="Style159"/>
    <w:next w:val="a"/>
    <w:autoRedefine/>
    <w:uiPriority w:val="39"/>
    <w:unhideWhenUsed/>
    <w:qFormat/>
    <w:pPr>
      <w:ind w:left="420"/>
    </w:pPr>
    <w:rPr>
      <w:rFonts w:asciiTheme="minorHAnsi" w:hAnsiTheme="minorHAnsi" w:cstheme="minorHAnsi"/>
      <w:bCs/>
      <w:i/>
      <w:iCs/>
      <w:sz w:val="20"/>
      <w:szCs w:val="20"/>
    </w:rPr>
  </w:style>
  <w:style w:type="paragraph" w:customStyle="1" w:styleId="Style243">
    <w:name w:val="_Style 243"/>
    <w:basedOn w:val="Style159"/>
    <w:next w:val="a"/>
    <w:autoRedefine/>
    <w:uiPriority w:val="39"/>
    <w:unhideWhenUsed/>
    <w:qFormat/>
    <w:pPr>
      <w:ind w:left="1470"/>
    </w:pPr>
    <w:rPr>
      <w:rFonts w:asciiTheme="minorHAnsi" w:hAnsiTheme="minorHAnsi" w:cstheme="minorHAnsi"/>
      <w:bCs/>
      <w:sz w:val="18"/>
      <w:szCs w:val="18"/>
    </w:rPr>
  </w:style>
  <w:style w:type="paragraph" w:customStyle="1" w:styleId="Style244">
    <w:name w:val="_Style 244"/>
    <w:basedOn w:val="Style159"/>
    <w:next w:val="a"/>
    <w:uiPriority w:val="99"/>
    <w:qFormat/>
    <w:pPr>
      <w:widowControl w:val="0"/>
      <w:ind w:leftChars="2500" w:left="100"/>
      <w:jc w:val="both"/>
    </w:pPr>
    <w:rPr>
      <w:rFonts w:ascii="Times New Roman" w:hAnsi="Times New Roman" w:cs="Times New Roman"/>
      <w:kern w:val="2"/>
    </w:rPr>
  </w:style>
  <w:style w:type="paragraph" w:customStyle="1" w:styleId="Style245">
    <w:name w:val="_Style 245"/>
    <w:basedOn w:val="Style159"/>
    <w:next w:val="a"/>
    <w:autoRedefine/>
    <w:uiPriority w:val="39"/>
    <w:qFormat/>
    <w:pPr>
      <w:spacing w:line="360" w:lineRule="auto"/>
      <w:ind w:left="200" w:hangingChars="200" w:hanging="200"/>
    </w:pPr>
    <w:rPr>
      <w:rFonts w:ascii="Times New Roman" w:hAnsi="Times New Roman" w:cstheme="minorHAnsi"/>
      <w:b/>
      <w:caps/>
      <w:szCs w:val="20"/>
    </w:rPr>
  </w:style>
  <w:style w:type="paragraph" w:customStyle="1" w:styleId="Style246">
    <w:name w:val="_Style 246"/>
    <w:basedOn w:val="Style159"/>
    <w:next w:val="a"/>
    <w:autoRedefine/>
    <w:uiPriority w:val="39"/>
    <w:unhideWhenUsed/>
    <w:qFormat/>
    <w:pPr>
      <w:ind w:left="630"/>
    </w:pPr>
    <w:rPr>
      <w:rFonts w:asciiTheme="minorHAnsi" w:hAnsiTheme="minorHAnsi" w:cstheme="minorHAnsi"/>
      <w:bCs/>
      <w:sz w:val="18"/>
      <w:szCs w:val="18"/>
    </w:rPr>
  </w:style>
  <w:style w:type="paragraph" w:customStyle="1" w:styleId="Style247">
    <w:name w:val="_Style 247"/>
    <w:basedOn w:val="Style159"/>
    <w:next w:val="a"/>
    <w:autoRedefine/>
    <w:uiPriority w:val="39"/>
    <w:unhideWhenUsed/>
    <w:qFormat/>
    <w:pPr>
      <w:ind w:left="1050"/>
    </w:pPr>
    <w:rPr>
      <w:rFonts w:asciiTheme="minorHAnsi" w:hAnsiTheme="minorHAnsi" w:cstheme="minorHAnsi"/>
      <w:bCs/>
      <w:sz w:val="18"/>
      <w:szCs w:val="18"/>
    </w:rPr>
  </w:style>
  <w:style w:type="paragraph" w:customStyle="1" w:styleId="Style248">
    <w:name w:val="_Style 248"/>
    <w:basedOn w:val="Style159"/>
    <w:next w:val="a"/>
    <w:autoRedefine/>
    <w:uiPriority w:val="39"/>
    <w:qFormat/>
    <w:pPr>
      <w:ind w:left="210"/>
    </w:pPr>
    <w:rPr>
      <w:rFonts w:asciiTheme="minorHAnsi" w:hAnsiTheme="minorHAnsi" w:cstheme="minorHAnsi"/>
      <w:bCs/>
      <w:smallCaps/>
      <w:sz w:val="20"/>
      <w:szCs w:val="20"/>
    </w:rPr>
  </w:style>
  <w:style w:type="paragraph" w:customStyle="1" w:styleId="Style249">
    <w:name w:val="_Style 249"/>
    <w:basedOn w:val="Style159"/>
    <w:next w:val="a"/>
    <w:autoRedefine/>
    <w:uiPriority w:val="39"/>
    <w:unhideWhenUsed/>
    <w:qFormat/>
    <w:pPr>
      <w:ind w:left="1680"/>
    </w:pPr>
    <w:rPr>
      <w:rFonts w:asciiTheme="minorHAnsi" w:hAnsiTheme="minorHAnsi" w:cstheme="minorHAnsi"/>
      <w:bCs/>
      <w:sz w:val="18"/>
      <w:szCs w:val="18"/>
    </w:rPr>
  </w:style>
  <w:style w:type="paragraph" w:customStyle="1" w:styleId="Style250">
    <w:name w:val="_Style 250"/>
    <w:basedOn w:val="Style159"/>
    <w:uiPriority w:val="99"/>
    <w:qFormat/>
    <w:pPr>
      <w:spacing w:before="100" w:beforeAutospacing="1" w:after="100" w:afterAutospacing="1"/>
    </w:pPr>
    <w:rPr>
      <w:sz w:val="24"/>
    </w:rPr>
  </w:style>
  <w:style w:type="paragraph" w:customStyle="1" w:styleId="Style251">
    <w:name w:val="_Style 251"/>
    <w:basedOn w:val="Style159"/>
    <w:next w:val="a"/>
    <w:autoRedefine/>
    <w:semiHidden/>
    <w:qFormat/>
    <w:pPr>
      <w:ind w:firstLineChars="200" w:firstLine="420"/>
    </w:pPr>
    <w:rPr>
      <w:rFonts w:cs="Times New Roman"/>
      <w:color w:val="000000"/>
    </w:rPr>
  </w:style>
  <w:style w:type="paragraph" w:customStyle="1" w:styleId="Style252">
    <w:name w:val="_Style 252"/>
    <w:basedOn w:val="Style239"/>
    <w:uiPriority w:val="99"/>
    <w:unhideWhenUsed/>
    <w:qFormat/>
    <w:rPr>
      <w:rFonts w:ascii="Calibri" w:hAnsi="Calibri"/>
      <w:b/>
      <w:bCs/>
      <w:szCs w:val="22"/>
    </w:rPr>
  </w:style>
  <w:style w:type="character" w:customStyle="1" w:styleId="Style253">
    <w:name w:val="_Style 253"/>
    <w:basedOn w:val="Style234"/>
    <w:uiPriority w:val="99"/>
    <w:semiHidden/>
    <w:unhideWhenUsed/>
    <w:qFormat/>
    <w:rPr>
      <w:vertAlign w:val="superscript"/>
    </w:rPr>
  </w:style>
  <w:style w:type="character" w:customStyle="1" w:styleId="Style254">
    <w:name w:val="_Style 254"/>
    <w:basedOn w:val="Style234"/>
    <w:uiPriority w:val="99"/>
    <w:qFormat/>
    <w:rPr>
      <w:rFonts w:cs="Times New Roman"/>
      <w:color w:val="0000FF"/>
      <w:u w:val="single"/>
    </w:rPr>
  </w:style>
  <w:style w:type="character" w:customStyle="1" w:styleId="Style255">
    <w:name w:val="_Style 255"/>
    <w:basedOn w:val="Style234"/>
    <w:uiPriority w:val="99"/>
    <w:qFormat/>
    <w:rPr>
      <w:rFonts w:eastAsia="宋体" w:cs="Times New Roman"/>
      <w:kern w:val="2"/>
      <w:sz w:val="21"/>
      <w:szCs w:val="21"/>
      <w:lang w:val="en-US" w:eastAsia="zh-CN" w:bidi="ar-SA"/>
    </w:rPr>
  </w:style>
  <w:style w:type="character" w:customStyle="1" w:styleId="Style256">
    <w:name w:val="_Style 256"/>
    <w:uiPriority w:val="99"/>
    <w:semiHidden/>
    <w:unhideWhenUsed/>
    <w:qFormat/>
    <w:rPr>
      <w:vertAlign w:val="superscript"/>
    </w:rPr>
  </w:style>
  <w:style w:type="character" w:customStyle="1" w:styleId="Style257">
    <w:name w:val="_Style 257"/>
    <w:basedOn w:val="Style234"/>
    <w:uiPriority w:val="99"/>
    <w:qFormat/>
    <w:rPr>
      <w:rFonts w:eastAsia="黑体"/>
      <w:b/>
      <w:bCs/>
      <w:kern w:val="44"/>
      <w:sz w:val="28"/>
      <w:szCs w:val="44"/>
    </w:rPr>
  </w:style>
  <w:style w:type="character" w:customStyle="1" w:styleId="Style258">
    <w:name w:val="_Style 258"/>
    <w:basedOn w:val="Style234"/>
    <w:qFormat/>
    <w:rPr>
      <w:rFonts w:ascii="Arial" w:hAnsi="Arial"/>
      <w:b/>
      <w:bCs/>
      <w:kern w:val="2"/>
      <w:sz w:val="21"/>
      <w:szCs w:val="21"/>
    </w:rPr>
  </w:style>
  <w:style w:type="character" w:customStyle="1" w:styleId="Style259">
    <w:name w:val="_Style 259"/>
    <w:basedOn w:val="Style234"/>
    <w:uiPriority w:val="9"/>
    <w:qFormat/>
    <w:rPr>
      <w:b/>
      <w:bCs/>
      <w:kern w:val="2"/>
      <w:sz w:val="21"/>
      <w:szCs w:val="32"/>
    </w:rPr>
  </w:style>
  <w:style w:type="character" w:customStyle="1" w:styleId="Style260">
    <w:name w:val="_Style 260"/>
    <w:basedOn w:val="Style234"/>
    <w:uiPriority w:val="9"/>
    <w:qFormat/>
    <w:rPr>
      <w:rFonts w:ascii="Cambria" w:hAnsi="Cambria"/>
      <w:b/>
      <w:bCs/>
      <w:kern w:val="2"/>
      <w:sz w:val="21"/>
      <w:szCs w:val="28"/>
    </w:rPr>
  </w:style>
  <w:style w:type="character" w:customStyle="1" w:styleId="Style261">
    <w:name w:val="_Style 261"/>
    <w:basedOn w:val="Style234"/>
    <w:uiPriority w:val="9"/>
    <w:qFormat/>
    <w:rPr>
      <w:b/>
      <w:bCs/>
      <w:kern w:val="2"/>
      <w:sz w:val="21"/>
      <w:szCs w:val="28"/>
    </w:rPr>
  </w:style>
  <w:style w:type="paragraph" w:customStyle="1" w:styleId="Style262">
    <w:name w:val="_Style 262"/>
    <w:basedOn w:val="Style158"/>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Style263">
    <w:name w:val="_Style 263"/>
    <w:basedOn w:val="Style234"/>
    <w:qFormat/>
    <w:rPr>
      <w:rFonts w:ascii="Times New Roman" w:eastAsia="宋体" w:hAnsi="Times New Roman" w:cs="Times New Roman"/>
      <w:szCs w:val="21"/>
    </w:rPr>
  </w:style>
  <w:style w:type="character" w:customStyle="1" w:styleId="Style264">
    <w:name w:val="_Style 264"/>
    <w:basedOn w:val="Style234"/>
    <w:uiPriority w:val="99"/>
    <w:qFormat/>
    <w:rPr>
      <w:rFonts w:ascii="Calibri" w:eastAsia="宋体" w:hAnsi="Calibri" w:cs="Times New Roman"/>
      <w:sz w:val="18"/>
      <w:szCs w:val="18"/>
    </w:rPr>
  </w:style>
  <w:style w:type="character" w:customStyle="1" w:styleId="Style265">
    <w:name w:val="_Style 265"/>
    <w:basedOn w:val="Style234"/>
    <w:uiPriority w:val="99"/>
    <w:qFormat/>
    <w:rPr>
      <w:rFonts w:ascii="Times New Roman" w:eastAsia="宋体" w:hAnsi="Times New Roman" w:cs="Times New Roman"/>
      <w:szCs w:val="21"/>
    </w:rPr>
  </w:style>
  <w:style w:type="character" w:customStyle="1" w:styleId="Style266">
    <w:name w:val="_Style 266"/>
    <w:basedOn w:val="Style234"/>
    <w:uiPriority w:val="99"/>
    <w:qFormat/>
    <w:rPr>
      <w:rFonts w:eastAsia="宋体" w:cs="Times New Roman"/>
      <w:color w:val="FF0000"/>
      <w:kern w:val="2"/>
      <w:sz w:val="24"/>
      <w:szCs w:val="24"/>
      <w:lang w:val="en-US" w:eastAsia="zh-CN" w:bidi="ar-SA"/>
    </w:rPr>
  </w:style>
  <w:style w:type="paragraph" w:customStyle="1" w:styleId="Style267">
    <w:name w:val="_Style 267"/>
    <w:basedOn w:val="Style159"/>
    <w:uiPriority w:val="99"/>
    <w:qFormat/>
    <w:pPr>
      <w:spacing w:before="100" w:after="100"/>
      <w:jc w:val="right"/>
    </w:pPr>
    <w:rPr>
      <w:rFonts w:ascii="Arial Unicode MS" w:eastAsia="Arial Unicode MS" w:hAnsi="Times New Roman" w:cs="Times New Roman"/>
      <w:sz w:val="18"/>
      <w:szCs w:val="18"/>
    </w:rPr>
  </w:style>
  <w:style w:type="paragraph" w:customStyle="1" w:styleId="Style268">
    <w:name w:val="_Style 268"/>
    <w:basedOn w:val="Style159"/>
    <w:uiPriority w:val="34"/>
    <w:qFormat/>
    <w:pPr>
      <w:widowControl w:val="0"/>
      <w:ind w:firstLineChars="200" w:firstLine="420"/>
      <w:jc w:val="both"/>
    </w:pPr>
    <w:rPr>
      <w:rFonts w:ascii="Calibri" w:hAnsi="Calibri" w:cs="Times New Roman"/>
      <w:kern w:val="2"/>
      <w:szCs w:val="22"/>
    </w:rPr>
  </w:style>
  <w:style w:type="character" w:customStyle="1" w:styleId="Style269">
    <w:name w:val="_Style 269"/>
    <w:basedOn w:val="Style263"/>
    <w:uiPriority w:val="99"/>
    <w:qFormat/>
    <w:rPr>
      <w:rFonts w:ascii="Calibri" w:eastAsia="宋体" w:hAnsi="Calibri" w:cs="Times New Roman"/>
      <w:b/>
      <w:bCs/>
      <w:szCs w:val="21"/>
    </w:rPr>
  </w:style>
  <w:style w:type="character" w:customStyle="1" w:styleId="Style270">
    <w:name w:val="_Style 270"/>
    <w:basedOn w:val="Style234"/>
    <w:uiPriority w:val="99"/>
    <w:qFormat/>
    <w:rPr>
      <w:rFonts w:ascii="Calibri" w:eastAsia="宋体" w:hAnsi="Calibri" w:cs="Times New Roman"/>
      <w:sz w:val="18"/>
      <w:szCs w:val="18"/>
    </w:rPr>
  </w:style>
  <w:style w:type="character" w:customStyle="1" w:styleId="Style271">
    <w:name w:val="_Style 271"/>
    <w:basedOn w:val="Style234"/>
    <w:uiPriority w:val="99"/>
    <w:qFormat/>
    <w:rPr>
      <w:rFonts w:ascii="Calibri" w:eastAsia="宋体" w:hAnsi="Calibri" w:cs="Times New Roman"/>
      <w:sz w:val="18"/>
      <w:szCs w:val="18"/>
    </w:rPr>
  </w:style>
  <w:style w:type="character" w:customStyle="1" w:styleId="Style272">
    <w:name w:val="_Style 272"/>
    <w:basedOn w:val="Style234"/>
    <w:qFormat/>
    <w:rPr>
      <w:rFonts w:ascii="宋体" w:eastAsia="宋体" w:hAnsi="Courier New" w:cs="Times New Roman"/>
      <w:szCs w:val="20"/>
    </w:rPr>
  </w:style>
  <w:style w:type="character" w:customStyle="1" w:styleId="Style273">
    <w:name w:val="_Style 273"/>
    <w:basedOn w:val="Style234"/>
    <w:qFormat/>
    <w:rPr>
      <w:rFonts w:eastAsia="宋体" w:cs="Times New Roman"/>
      <w:kern w:val="2"/>
      <w:sz w:val="24"/>
      <w:szCs w:val="24"/>
      <w:lang w:val="en-US" w:eastAsia="zh-CN" w:bidi="ar-SA"/>
    </w:rPr>
  </w:style>
  <w:style w:type="character" w:customStyle="1" w:styleId="Style274">
    <w:name w:val="_Style 274"/>
    <w:basedOn w:val="Style234"/>
    <w:uiPriority w:val="99"/>
    <w:qFormat/>
    <w:rPr>
      <w:rFonts w:ascii="Times New Roman" w:eastAsia="宋体" w:hAnsi="Times New Roman" w:cs="Times New Roman"/>
      <w:szCs w:val="21"/>
    </w:rPr>
  </w:style>
  <w:style w:type="paragraph" w:customStyle="1" w:styleId="Style275">
    <w:name w:val="_Style 275"/>
    <w:basedOn w:val="Style159"/>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Style276">
    <w:name w:val="_Style 276"/>
    <w:basedOn w:val="Style234"/>
    <w:uiPriority w:val="99"/>
    <w:qFormat/>
    <w:rPr>
      <w:rFonts w:ascii="Times New Roman" w:eastAsia="宋体" w:hAnsi="Times New Roman" w:cs="Times New Roman"/>
      <w:szCs w:val="21"/>
    </w:rPr>
  </w:style>
  <w:style w:type="character" w:customStyle="1" w:styleId="Style277">
    <w:name w:val="_Style 277"/>
    <w:basedOn w:val="Style234"/>
    <w:uiPriority w:val="99"/>
    <w:qFormat/>
    <w:rPr>
      <w:rFonts w:ascii="Times New Roman" w:eastAsia="宋体" w:hAnsi="Times New Roman" w:cs="Times New Roman"/>
      <w:szCs w:val="21"/>
    </w:rPr>
  </w:style>
  <w:style w:type="paragraph" w:customStyle="1" w:styleId="Style278">
    <w:name w:val="_Style 278"/>
    <w:basedOn w:val="Style159"/>
    <w:qFormat/>
    <w:pPr>
      <w:keepNext/>
      <w:keepLines/>
      <w:widowControl w:val="0"/>
      <w:spacing w:before="60" w:after="60"/>
      <w:ind w:hangingChars="200" w:hanging="420"/>
      <w:jc w:val="both"/>
      <w:outlineLvl w:val="4"/>
    </w:pPr>
    <w:rPr>
      <w:rFonts w:cs="Times New Roman"/>
      <w:b/>
      <w:bCs/>
      <w:kern w:val="2"/>
    </w:rPr>
  </w:style>
  <w:style w:type="paragraph" w:customStyle="1" w:styleId="Style279">
    <w:name w:val="_Style 279"/>
    <w:hidden/>
    <w:uiPriority w:val="99"/>
    <w:semiHidden/>
    <w:qFormat/>
    <w:rPr>
      <w:rFonts w:ascii="宋体" w:hAnsi="宋体" w:cs="宋体"/>
      <w:kern w:val="2"/>
      <w:sz w:val="21"/>
      <w:szCs w:val="22"/>
    </w:rPr>
  </w:style>
  <w:style w:type="character" w:customStyle="1" w:styleId="Style280">
    <w:name w:val="_Style 280"/>
    <w:basedOn w:val="Style234"/>
    <w:qFormat/>
    <w:rPr>
      <w:kern w:val="2"/>
      <w:sz w:val="21"/>
      <w:szCs w:val="24"/>
    </w:rPr>
  </w:style>
  <w:style w:type="paragraph" w:customStyle="1" w:styleId="Style281">
    <w:name w:val="_Style 281"/>
    <w:basedOn w:val="Style159"/>
    <w:qFormat/>
    <w:pPr>
      <w:widowControl w:val="0"/>
      <w:spacing w:before="100" w:after="100"/>
      <w:jc w:val="both"/>
    </w:pPr>
    <w:rPr>
      <w:rFonts w:ascii="Calibri" w:hAnsi="Calibri" w:cs="Times New Roman"/>
      <w:kern w:val="2"/>
    </w:rPr>
  </w:style>
  <w:style w:type="character" w:customStyle="1" w:styleId="Style282">
    <w:name w:val="_Style 282"/>
    <w:basedOn w:val="Style234"/>
    <w:uiPriority w:val="99"/>
    <w:semiHidden/>
    <w:qFormat/>
    <w:rPr>
      <w:rFonts w:ascii="宋体"/>
      <w:kern w:val="2"/>
      <w:sz w:val="18"/>
      <w:szCs w:val="18"/>
    </w:rPr>
  </w:style>
  <w:style w:type="character" w:customStyle="1" w:styleId="Style283">
    <w:name w:val="_Style 283"/>
    <w:basedOn w:val="Style234"/>
    <w:uiPriority w:val="99"/>
    <w:semiHidden/>
    <w:qFormat/>
    <w:rPr>
      <w:color w:val="auto"/>
    </w:rPr>
  </w:style>
  <w:style w:type="character" w:customStyle="1" w:styleId="Style284">
    <w:name w:val="_Style 284"/>
    <w:basedOn w:val="Style234"/>
    <w:uiPriority w:val="10"/>
    <w:qFormat/>
    <w:rPr>
      <w:rFonts w:asciiTheme="majorHAnsi" w:hAnsiTheme="majorHAnsi" w:cstheme="majorBidi"/>
      <w:b/>
      <w:bCs/>
      <w:kern w:val="2"/>
      <w:sz w:val="32"/>
      <w:szCs w:val="32"/>
    </w:rPr>
  </w:style>
  <w:style w:type="paragraph" w:customStyle="1" w:styleId="Style285">
    <w:name w:val="_Style 285"/>
    <w:uiPriority w:val="1"/>
    <w:qFormat/>
    <w:pPr>
      <w:widowControl w:val="0"/>
      <w:jc w:val="both"/>
    </w:pPr>
    <w:rPr>
      <w:rFonts w:ascii="宋体" w:hAnsi="宋体" w:cs="宋体"/>
      <w:kern w:val="2"/>
      <w:sz w:val="21"/>
      <w:szCs w:val="22"/>
    </w:rPr>
  </w:style>
  <w:style w:type="character" w:customStyle="1" w:styleId="Style286">
    <w:name w:val="_Style 286"/>
    <w:basedOn w:val="Style234"/>
    <w:uiPriority w:val="9"/>
    <w:qFormat/>
    <w:rPr>
      <w:rFonts w:asciiTheme="majorHAnsi" w:hAnsiTheme="majorHAnsi" w:cstheme="majorBidi"/>
      <w:b/>
      <w:bCs/>
      <w:sz w:val="21"/>
      <w:szCs w:val="24"/>
    </w:rPr>
  </w:style>
  <w:style w:type="character" w:customStyle="1" w:styleId="aff8">
    <w:name w:val="列出段落 字符"/>
    <w:basedOn w:val="Style234"/>
    <w:link w:val="aff7"/>
    <w:uiPriority w:val="99"/>
    <w:semiHidden/>
    <w:qFormat/>
    <w:rPr>
      <w:rFonts w:ascii="宋体" w:hAnsi="宋体" w:cs="宋体"/>
      <w:sz w:val="21"/>
      <w:szCs w:val="24"/>
    </w:rPr>
  </w:style>
  <w:style w:type="character" w:customStyle="1" w:styleId="Style288">
    <w:name w:val="_Style 288"/>
    <w:basedOn w:val="Style263"/>
    <w:uiPriority w:val="99"/>
    <w:semiHidden/>
    <w:qFormat/>
    <w:rPr>
      <w:rFonts w:ascii="Times New Roman" w:eastAsia="宋体" w:hAnsi="Times New Roman" w:cs="Times New Roman"/>
      <w:b/>
      <w:bCs/>
      <w:szCs w:val="21"/>
    </w:rPr>
  </w:style>
  <w:style w:type="paragraph" w:customStyle="1" w:styleId="Style289">
    <w:name w:val="_Style 289"/>
    <w:basedOn w:val="Style159"/>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290">
    <w:name w:val="_Style 290"/>
    <w:basedOn w:val="Style234"/>
    <w:qFormat/>
    <w:rPr>
      <w:rFonts w:ascii="Times New Roman" w:hAnsi="Times New Roman"/>
      <w:b/>
      <w:kern w:val="2"/>
      <w:sz w:val="21"/>
      <w:szCs w:val="24"/>
    </w:rPr>
  </w:style>
  <w:style w:type="character" w:customStyle="1" w:styleId="Style291">
    <w:name w:val="_Style 291"/>
    <w:basedOn w:val="Style263"/>
    <w:uiPriority w:val="99"/>
    <w:semiHidden/>
    <w:qFormat/>
    <w:rPr>
      <w:rFonts w:ascii="Times New Roman" w:eastAsia="宋体" w:hAnsi="Times New Roman" w:cs="Times New Roman"/>
      <w:b/>
      <w:bCs/>
      <w:szCs w:val="21"/>
    </w:rPr>
  </w:style>
  <w:style w:type="character" w:customStyle="1" w:styleId="Style292">
    <w:name w:val="_Style 292"/>
    <w:basedOn w:val="Style234"/>
    <w:uiPriority w:val="9"/>
    <w:qFormat/>
    <w:rPr>
      <w:rFonts w:ascii="宋体" w:hAnsi="宋体" w:cs="宋体"/>
      <w:b/>
      <w:bCs/>
      <w:sz w:val="24"/>
      <w:szCs w:val="24"/>
    </w:rPr>
  </w:style>
  <w:style w:type="character" w:customStyle="1" w:styleId="Style293">
    <w:name w:val="_Style 293"/>
    <w:basedOn w:val="Style234"/>
    <w:qFormat/>
  </w:style>
  <w:style w:type="character" w:customStyle="1" w:styleId="Style294">
    <w:name w:val="_Style 294"/>
    <w:uiPriority w:val="9"/>
    <w:qFormat/>
    <w:rPr>
      <w:rFonts w:ascii="Cambria" w:hAnsi="Cambria"/>
      <w:b/>
      <w:bCs/>
      <w:kern w:val="2"/>
      <w:sz w:val="21"/>
      <w:szCs w:val="28"/>
    </w:rPr>
  </w:style>
  <w:style w:type="paragraph" w:customStyle="1" w:styleId="Style295">
    <w:name w:val="_Style 295"/>
    <w:basedOn w:val="Style159"/>
    <w:next w:val="xl61"/>
    <w:uiPriority w:val="34"/>
    <w:qFormat/>
    <w:pPr>
      <w:widowControl w:val="0"/>
      <w:ind w:firstLineChars="200" w:firstLine="420"/>
      <w:jc w:val="both"/>
    </w:pPr>
    <w:rPr>
      <w:rFonts w:ascii="Calibri" w:hAnsi="Calibri" w:cs="Times New Roman"/>
      <w:kern w:val="2"/>
      <w:szCs w:val="22"/>
    </w:rPr>
  </w:style>
  <w:style w:type="paragraph" w:customStyle="1" w:styleId="Style296">
    <w:name w:val="_Style 296"/>
    <w:basedOn w:val="Style159"/>
    <w:next w:val="xl61"/>
    <w:uiPriority w:val="34"/>
    <w:qFormat/>
    <w:pPr>
      <w:widowControl w:val="0"/>
      <w:ind w:firstLineChars="200" w:firstLine="420"/>
      <w:jc w:val="both"/>
    </w:pPr>
    <w:rPr>
      <w:rFonts w:ascii="Calibri" w:hAnsi="Calibri" w:cs="Times New Roman"/>
      <w:kern w:val="2"/>
      <w:szCs w:val="22"/>
    </w:rPr>
  </w:style>
  <w:style w:type="character" w:customStyle="1" w:styleId="Style297">
    <w:name w:val="_Style 297"/>
    <w:uiPriority w:val="9"/>
    <w:qFormat/>
    <w:rPr>
      <w:b/>
      <w:bCs/>
      <w:kern w:val="2"/>
      <w:sz w:val="21"/>
      <w:szCs w:val="32"/>
    </w:rPr>
  </w:style>
  <w:style w:type="paragraph" w:customStyle="1" w:styleId="Style298">
    <w:name w:val="_Style 298"/>
    <w:basedOn w:val="Style159"/>
    <w:next w:val="xl61"/>
    <w:uiPriority w:val="34"/>
    <w:qFormat/>
    <w:pPr>
      <w:widowControl w:val="0"/>
      <w:ind w:firstLineChars="200" w:firstLine="420"/>
      <w:jc w:val="both"/>
    </w:pPr>
    <w:rPr>
      <w:rFonts w:ascii="Calibri" w:hAnsi="Calibri" w:cs="Times New Roman"/>
      <w:kern w:val="2"/>
      <w:szCs w:val="22"/>
    </w:rPr>
  </w:style>
  <w:style w:type="paragraph" w:customStyle="1" w:styleId="Style299">
    <w:name w:val="_Style 299"/>
    <w:basedOn w:val="Style159"/>
    <w:next w:val="xl61"/>
    <w:uiPriority w:val="34"/>
    <w:qFormat/>
    <w:pPr>
      <w:widowControl w:val="0"/>
      <w:ind w:firstLineChars="200" w:firstLine="420"/>
      <w:jc w:val="both"/>
    </w:pPr>
    <w:rPr>
      <w:rFonts w:ascii="Calibri" w:hAnsi="Calibri" w:cs="Times New Roman"/>
      <w:kern w:val="2"/>
      <w:szCs w:val="22"/>
    </w:rPr>
  </w:style>
  <w:style w:type="paragraph" w:customStyle="1" w:styleId="Style300">
    <w:name w:val="_Style 300"/>
    <w:basedOn w:val="Style159"/>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301">
    <w:name w:val="_Style 301"/>
    <w:qFormat/>
    <w:rPr>
      <w:rFonts w:ascii="Times New Roman" w:hAnsi="Times New Roman"/>
      <w:kern w:val="2"/>
      <w:sz w:val="21"/>
      <w:szCs w:val="21"/>
    </w:rPr>
  </w:style>
  <w:style w:type="character" w:customStyle="1" w:styleId="Style302">
    <w:name w:val="_Style 302"/>
    <w:uiPriority w:val="9"/>
    <w:qFormat/>
    <w:rPr>
      <w:b/>
      <w:bCs/>
      <w:kern w:val="2"/>
      <w:sz w:val="21"/>
      <w:szCs w:val="28"/>
    </w:rPr>
  </w:style>
  <w:style w:type="paragraph" w:customStyle="1" w:styleId="Style303">
    <w:name w:val="_Style 303"/>
    <w:basedOn w:val="Style159"/>
    <w:next w:val="xl61"/>
    <w:uiPriority w:val="34"/>
    <w:qFormat/>
    <w:pPr>
      <w:widowControl w:val="0"/>
      <w:ind w:firstLineChars="200" w:firstLine="420"/>
      <w:jc w:val="both"/>
    </w:pPr>
    <w:rPr>
      <w:rFonts w:ascii="Calibri" w:hAnsi="Calibri" w:cs="Times New Roman"/>
      <w:kern w:val="2"/>
      <w:szCs w:val="22"/>
    </w:rPr>
  </w:style>
  <w:style w:type="character" w:customStyle="1" w:styleId="Style304">
    <w:name w:val="_Style 304"/>
    <w:uiPriority w:val="99"/>
    <w:qFormat/>
    <w:rPr>
      <w:rFonts w:ascii="Times New Roman" w:hAnsi="Times New Roman"/>
      <w:kern w:val="2"/>
      <w:sz w:val="21"/>
      <w:szCs w:val="21"/>
    </w:rPr>
  </w:style>
  <w:style w:type="character" w:customStyle="1" w:styleId="Style305">
    <w:name w:val="_Style 305"/>
    <w:uiPriority w:val="9"/>
    <w:qFormat/>
    <w:rPr>
      <w:b/>
      <w:bCs/>
      <w:kern w:val="2"/>
      <w:sz w:val="21"/>
      <w:szCs w:val="32"/>
    </w:rPr>
  </w:style>
  <w:style w:type="character" w:customStyle="1" w:styleId="Style306">
    <w:name w:val="_Style 306"/>
    <w:qFormat/>
    <w:rPr>
      <w:rFonts w:ascii="Arial" w:hAnsi="Arial"/>
      <w:b/>
      <w:bCs/>
      <w:kern w:val="2"/>
      <w:sz w:val="21"/>
      <w:szCs w:val="21"/>
    </w:rPr>
  </w:style>
  <w:style w:type="character" w:customStyle="1" w:styleId="Style307">
    <w:name w:val="_Style 307"/>
    <w:uiPriority w:val="9"/>
    <w:qFormat/>
    <w:rPr>
      <w:rFonts w:ascii="Cambria" w:hAnsi="Cambria"/>
      <w:b/>
      <w:bCs/>
      <w:kern w:val="2"/>
      <w:sz w:val="21"/>
      <w:szCs w:val="28"/>
    </w:rPr>
  </w:style>
  <w:style w:type="character" w:customStyle="1" w:styleId="Style308">
    <w:name w:val="_Style 308"/>
    <w:uiPriority w:val="9"/>
    <w:qFormat/>
    <w:rPr>
      <w:b/>
      <w:bCs/>
      <w:kern w:val="2"/>
      <w:sz w:val="21"/>
      <w:szCs w:val="28"/>
    </w:rPr>
  </w:style>
  <w:style w:type="paragraph" w:customStyle="1" w:styleId="Style309">
    <w:name w:val="_Style 309"/>
    <w:basedOn w:val="Style159"/>
    <w:next w:val="xl61"/>
    <w:uiPriority w:val="34"/>
    <w:qFormat/>
    <w:pPr>
      <w:widowControl w:val="0"/>
      <w:ind w:firstLineChars="200" w:firstLine="420"/>
      <w:jc w:val="both"/>
    </w:pPr>
    <w:rPr>
      <w:rFonts w:ascii="Calibri" w:hAnsi="Calibri" w:cs="Times New Roman"/>
      <w:kern w:val="2"/>
      <w:szCs w:val="22"/>
    </w:rPr>
  </w:style>
  <w:style w:type="character" w:customStyle="1" w:styleId="Style310">
    <w:name w:val="_Style 310"/>
    <w:uiPriority w:val="99"/>
    <w:qFormat/>
    <w:rPr>
      <w:rFonts w:ascii="Times New Roman" w:hAnsi="Times New Roman"/>
      <w:kern w:val="2"/>
      <w:sz w:val="21"/>
      <w:szCs w:val="21"/>
    </w:rPr>
  </w:style>
  <w:style w:type="character" w:customStyle="1" w:styleId="Style311">
    <w:name w:val="_Style 311"/>
    <w:qFormat/>
    <w:rPr>
      <w:rFonts w:ascii="Times New Roman" w:hAnsi="Times New Roman" w:cs="Times New Roman"/>
      <w:bCs/>
      <w:kern w:val="2"/>
      <w:sz w:val="21"/>
      <w:szCs w:val="21"/>
    </w:rPr>
  </w:style>
  <w:style w:type="character" w:customStyle="1" w:styleId="Style312">
    <w:name w:val="_Style 312"/>
    <w:uiPriority w:val="99"/>
    <w:qFormat/>
    <w:rPr>
      <w:rFonts w:ascii="Times New Roman" w:hAnsi="Times New Roman"/>
      <w:kern w:val="2"/>
      <w:sz w:val="21"/>
      <w:szCs w:val="21"/>
    </w:rPr>
  </w:style>
  <w:style w:type="character" w:customStyle="1" w:styleId="Style313">
    <w:name w:val="_Style 313"/>
    <w:qFormat/>
    <w:rPr>
      <w:rFonts w:ascii="FZLTSK--GBK1-0" w:hAnsi="FZLTSK--GBK1-0" w:hint="default"/>
      <w:color w:val="000000"/>
      <w:sz w:val="20"/>
      <w:szCs w:val="20"/>
    </w:rPr>
  </w:style>
  <w:style w:type="character" w:customStyle="1" w:styleId="Style314">
    <w:name w:val="_Style 314"/>
    <w:uiPriority w:val="99"/>
    <w:semiHidden/>
    <w:qFormat/>
    <w:locked/>
    <w:rPr>
      <w:rFonts w:ascii="Times New Roman" w:hAnsi="Times New Roman"/>
      <w:kern w:val="2"/>
      <w:sz w:val="21"/>
      <w:szCs w:val="21"/>
    </w:rPr>
  </w:style>
  <w:style w:type="character" w:customStyle="1" w:styleId="Style315">
    <w:name w:val="_Style 315"/>
    <w:qFormat/>
    <w:rPr>
      <w:rFonts w:ascii="Arial" w:hAnsi="Arial"/>
      <w:b/>
      <w:bCs/>
      <w:kern w:val="2"/>
      <w:sz w:val="21"/>
      <w:szCs w:val="21"/>
    </w:rPr>
  </w:style>
  <w:style w:type="character" w:customStyle="1" w:styleId="Style316">
    <w:name w:val="_Style 316"/>
    <w:uiPriority w:val="9"/>
    <w:qFormat/>
    <w:rPr>
      <w:b/>
      <w:bCs/>
      <w:kern w:val="2"/>
      <w:sz w:val="21"/>
      <w:szCs w:val="28"/>
    </w:rPr>
  </w:style>
  <w:style w:type="character" w:customStyle="1" w:styleId="Style317">
    <w:name w:val="_Style 317"/>
    <w:uiPriority w:val="9"/>
    <w:qFormat/>
    <w:rPr>
      <w:b/>
      <w:bCs/>
      <w:kern w:val="2"/>
      <w:sz w:val="21"/>
      <w:szCs w:val="32"/>
    </w:rPr>
  </w:style>
  <w:style w:type="character" w:customStyle="1" w:styleId="Style318">
    <w:name w:val="_Style 318"/>
    <w:uiPriority w:val="9"/>
    <w:qFormat/>
    <w:rPr>
      <w:b/>
      <w:bCs/>
      <w:kern w:val="2"/>
      <w:sz w:val="21"/>
      <w:szCs w:val="32"/>
    </w:rPr>
  </w:style>
  <w:style w:type="character" w:customStyle="1" w:styleId="Style319">
    <w:name w:val="_Style 319"/>
    <w:basedOn w:val="Style234"/>
    <w:uiPriority w:val="99"/>
    <w:semiHidden/>
    <w:qFormat/>
    <w:rPr>
      <w:rFonts w:ascii="Calibri" w:hAnsi="Calibri" w:cs="Times New Roman"/>
      <w:bCs/>
      <w:kern w:val="2"/>
      <w:sz w:val="18"/>
      <w:szCs w:val="18"/>
    </w:rPr>
  </w:style>
  <w:style w:type="paragraph" w:customStyle="1" w:styleId="Style320">
    <w:name w:val="_Style 320"/>
    <w:autoRedefine/>
    <w:qFormat/>
    <w:pPr>
      <w:widowControl w:val="0"/>
      <w:tabs>
        <w:tab w:val="left" w:pos="0"/>
      </w:tabs>
      <w:adjustRightInd w:val="0"/>
      <w:snapToGrid w:val="0"/>
      <w:spacing w:line="240" w:lineRule="atLeast"/>
      <w:jc w:val="both"/>
    </w:pPr>
    <w:rPr>
      <w:rFonts w:ascii="宋体" w:hAnsi="宋体" w:cs="宋体"/>
      <w:color w:val="000000"/>
      <w:kern w:val="2"/>
      <w:sz w:val="21"/>
      <w:szCs w:val="21"/>
    </w:rPr>
  </w:style>
  <w:style w:type="paragraph" w:customStyle="1" w:styleId="Style321">
    <w:name w:val="_Style 321"/>
    <w:autoRedefine/>
    <w:qFormat/>
    <w:rPr>
      <w:rFonts w:ascii="宋体" w:hAnsi="宋体" w:cs="宋体"/>
      <w:sz w:val="21"/>
      <w:szCs w:val="24"/>
    </w:rPr>
  </w:style>
  <w:style w:type="paragraph" w:customStyle="1" w:styleId="Style322">
    <w:name w:val="_Style 322"/>
    <w:autoRedefine/>
    <w:qFormat/>
    <w:pPr>
      <w:widowControl w:val="0"/>
      <w:tabs>
        <w:tab w:val="left" w:pos="0"/>
      </w:tabs>
      <w:adjustRightInd w:val="0"/>
      <w:snapToGrid w:val="0"/>
      <w:spacing w:line="400" w:lineRule="atLeast"/>
      <w:ind w:left="1276"/>
      <w:jc w:val="both"/>
    </w:pPr>
    <w:rPr>
      <w:rFonts w:ascii="宋体" w:hAnsi="宋体" w:cs="宋体"/>
      <w:color w:val="000000"/>
      <w:kern w:val="2"/>
      <w:sz w:val="21"/>
      <w:szCs w:val="21"/>
    </w:rPr>
  </w:style>
  <w:style w:type="paragraph" w:customStyle="1" w:styleId="Style323">
    <w:name w:val="_Style 323"/>
    <w:autoRedefine/>
    <w:qFormat/>
    <w:pPr>
      <w:widowControl w:val="0"/>
      <w:tabs>
        <w:tab w:val="left" w:pos="0"/>
      </w:tabs>
      <w:adjustRightInd w:val="0"/>
      <w:snapToGrid w:val="0"/>
      <w:spacing w:line="240" w:lineRule="atLeast"/>
      <w:jc w:val="both"/>
    </w:pPr>
    <w:rPr>
      <w:rFonts w:ascii="宋体" w:hAnsi="宋体" w:cs="宋体"/>
      <w:b/>
      <w:color w:val="000000"/>
      <w:sz w:val="21"/>
      <w:szCs w:val="21"/>
    </w:rPr>
  </w:style>
  <w:style w:type="paragraph" w:customStyle="1" w:styleId="Style324">
    <w:name w:val="_Style 324"/>
    <w:autoRedefine/>
    <w:qFormat/>
    <w:pPr>
      <w:widowControl w:val="0"/>
      <w:tabs>
        <w:tab w:val="left" w:pos="0"/>
      </w:tabs>
      <w:adjustRightInd w:val="0"/>
      <w:snapToGrid w:val="0"/>
      <w:spacing w:line="400" w:lineRule="atLeast"/>
      <w:ind w:left="714"/>
      <w:jc w:val="both"/>
    </w:pPr>
    <w:rPr>
      <w:rFonts w:ascii="宋体" w:hAnsi="宋体" w:cs="宋体"/>
      <w:color w:val="000000"/>
      <w:sz w:val="21"/>
      <w:szCs w:val="21"/>
    </w:rPr>
  </w:style>
  <w:style w:type="paragraph" w:customStyle="1" w:styleId="Style325">
    <w:name w:val="_Style 325"/>
    <w:qFormat/>
    <w:rPr>
      <w:rFonts w:ascii="宋体" w:hAnsi="宋体" w:cs="宋体"/>
      <w:sz w:val="21"/>
      <w:szCs w:val="21"/>
    </w:rPr>
  </w:style>
  <w:style w:type="paragraph" w:customStyle="1" w:styleId="Style326">
    <w:name w:val="_Style 326"/>
    <w:basedOn w:val="Style325"/>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327">
    <w:name w:val="_Style 327"/>
    <w:basedOn w:val="Style325"/>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Style328">
    <w:name w:val="_Style 328"/>
    <w:basedOn w:val="Style325"/>
    <w:uiPriority w:val="9"/>
    <w:qFormat/>
    <w:pPr>
      <w:keepNext/>
      <w:keepLines/>
      <w:widowControl w:val="0"/>
      <w:spacing w:before="60" w:after="60"/>
      <w:jc w:val="both"/>
      <w:outlineLvl w:val="2"/>
    </w:pPr>
    <w:rPr>
      <w:rFonts w:ascii="Calibri" w:hAnsi="Calibri" w:cs="Times New Roman"/>
      <w:b/>
      <w:bCs/>
      <w:kern w:val="2"/>
      <w:szCs w:val="32"/>
    </w:rPr>
  </w:style>
  <w:style w:type="paragraph" w:customStyle="1" w:styleId="Style329">
    <w:name w:val="_Style 329"/>
    <w:basedOn w:val="Style325"/>
    <w:uiPriority w:val="9"/>
    <w:qFormat/>
    <w:pPr>
      <w:keepNext/>
      <w:keepLines/>
      <w:widowControl w:val="0"/>
      <w:spacing w:before="60" w:after="60"/>
      <w:jc w:val="both"/>
      <w:outlineLvl w:val="3"/>
    </w:pPr>
    <w:rPr>
      <w:rFonts w:ascii="Cambria" w:hAnsi="Cambria" w:cs="Times New Roman"/>
      <w:b/>
      <w:bCs/>
      <w:kern w:val="2"/>
      <w:szCs w:val="28"/>
    </w:rPr>
  </w:style>
  <w:style w:type="paragraph" w:customStyle="1" w:styleId="Style330">
    <w:name w:val="_Style 330"/>
    <w:basedOn w:val="Style325"/>
    <w:uiPriority w:val="9"/>
    <w:qFormat/>
    <w:pPr>
      <w:keepNext/>
      <w:keepLines/>
      <w:widowControl w:val="0"/>
      <w:spacing w:before="60" w:after="60"/>
      <w:jc w:val="both"/>
      <w:outlineLvl w:val="4"/>
    </w:pPr>
    <w:rPr>
      <w:rFonts w:ascii="Calibri" w:hAnsi="Calibri" w:cs="Times New Roman"/>
      <w:b/>
      <w:bCs/>
      <w:kern w:val="2"/>
      <w:szCs w:val="28"/>
    </w:rPr>
  </w:style>
  <w:style w:type="paragraph" w:customStyle="1" w:styleId="Style331">
    <w:name w:val="_Style 331"/>
    <w:basedOn w:val="Style325"/>
    <w:uiPriority w:val="9"/>
    <w:unhideWhenUsed/>
    <w:qFormat/>
    <w:pPr>
      <w:keepNext/>
      <w:keepLines/>
      <w:spacing w:before="60" w:after="60"/>
      <w:outlineLvl w:val="5"/>
    </w:pPr>
    <w:rPr>
      <w:rFonts w:asciiTheme="majorHAnsi" w:hAnsiTheme="majorHAnsi" w:cstheme="majorBidi"/>
      <w:b/>
      <w:bCs/>
    </w:rPr>
  </w:style>
  <w:style w:type="paragraph" w:customStyle="1" w:styleId="Style332">
    <w:name w:val="_Style 332"/>
    <w:basedOn w:val="Style325"/>
    <w:uiPriority w:val="9"/>
    <w:unhideWhenUsed/>
    <w:qFormat/>
    <w:pPr>
      <w:keepNext/>
      <w:keepLines/>
      <w:spacing w:before="240" w:after="64" w:line="320" w:lineRule="auto"/>
      <w:outlineLvl w:val="6"/>
    </w:pPr>
    <w:rPr>
      <w:b/>
      <w:bCs/>
      <w:sz w:val="24"/>
    </w:rPr>
  </w:style>
  <w:style w:type="character" w:customStyle="1" w:styleId="Style333">
    <w:name w:val="_Style 333"/>
    <w:uiPriority w:val="1"/>
    <w:semiHidden/>
    <w:unhideWhenUsed/>
    <w:qFormat/>
  </w:style>
  <w:style w:type="paragraph" w:customStyle="1" w:styleId="Style334">
    <w:name w:val="_Style 334"/>
    <w:basedOn w:val="Style325"/>
    <w:autoRedefine/>
    <w:uiPriority w:val="39"/>
    <w:unhideWhenUsed/>
    <w:qFormat/>
    <w:pPr>
      <w:ind w:left="1260"/>
    </w:pPr>
    <w:rPr>
      <w:rFonts w:asciiTheme="minorHAnsi" w:hAnsiTheme="minorHAnsi" w:cstheme="minorHAnsi"/>
      <w:bCs/>
      <w:sz w:val="18"/>
      <w:szCs w:val="18"/>
    </w:rPr>
  </w:style>
  <w:style w:type="paragraph" w:customStyle="1" w:styleId="Style335">
    <w:name w:val="_Style 335"/>
    <w:basedOn w:val="Style325"/>
    <w:uiPriority w:val="99"/>
    <w:qFormat/>
    <w:pPr>
      <w:widowControl w:val="0"/>
      <w:jc w:val="center"/>
    </w:pPr>
    <w:rPr>
      <w:rFonts w:ascii="Times New Roman" w:hAnsi="Times New Roman" w:cs="Times New Roman"/>
      <w:kern w:val="2"/>
    </w:rPr>
  </w:style>
  <w:style w:type="paragraph" w:customStyle="1" w:styleId="Style336">
    <w:name w:val="_Style 336"/>
    <w:basedOn w:val="Style325"/>
    <w:qFormat/>
    <w:pPr>
      <w:widowControl w:val="0"/>
      <w:ind w:firstLineChars="200" w:firstLine="420"/>
      <w:jc w:val="both"/>
    </w:pPr>
    <w:rPr>
      <w:rFonts w:ascii="Times New Roman" w:hAnsi="Times New Roman" w:cs="Times New Roman"/>
      <w:kern w:val="2"/>
    </w:rPr>
  </w:style>
  <w:style w:type="paragraph" w:customStyle="1" w:styleId="Style337">
    <w:name w:val="_Style 337"/>
    <w:basedOn w:val="Style325"/>
    <w:uiPriority w:val="99"/>
    <w:semiHidden/>
    <w:unhideWhenUsed/>
    <w:qFormat/>
    <w:pPr>
      <w:widowControl w:val="0"/>
      <w:jc w:val="both"/>
    </w:pPr>
    <w:rPr>
      <w:rFonts w:hAnsi="Calibri" w:cs="Times New Roman"/>
      <w:kern w:val="2"/>
      <w:sz w:val="18"/>
      <w:szCs w:val="18"/>
    </w:rPr>
  </w:style>
  <w:style w:type="paragraph" w:customStyle="1" w:styleId="Style338">
    <w:name w:val="_Style 338"/>
    <w:basedOn w:val="Style325"/>
    <w:semiHidden/>
    <w:qFormat/>
    <w:pPr>
      <w:widowControl w:val="0"/>
      <w:spacing w:before="120"/>
      <w:jc w:val="both"/>
    </w:pPr>
    <w:rPr>
      <w:rFonts w:ascii="Arial" w:hAnsi="Arial" w:cs="Times New Roman"/>
      <w:b/>
      <w:bCs/>
      <w:kern w:val="2"/>
    </w:rPr>
  </w:style>
  <w:style w:type="paragraph" w:customStyle="1" w:styleId="Style339">
    <w:name w:val="_Style 339"/>
    <w:basedOn w:val="Style325"/>
    <w:qFormat/>
    <w:pPr>
      <w:widowControl w:val="0"/>
    </w:pPr>
    <w:rPr>
      <w:rFonts w:ascii="Times New Roman" w:hAnsi="Times New Roman" w:cs="Times New Roman"/>
      <w:kern w:val="2"/>
    </w:rPr>
  </w:style>
  <w:style w:type="paragraph" w:customStyle="1" w:styleId="Style340">
    <w:name w:val="_Style 340"/>
    <w:basedOn w:val="Style325"/>
    <w:uiPriority w:val="99"/>
    <w:qFormat/>
    <w:pPr>
      <w:widowControl w:val="0"/>
      <w:jc w:val="both"/>
    </w:pPr>
    <w:rPr>
      <w:rFonts w:ascii="Times New Roman" w:hAnsi="Times New Roman" w:cs="Times New Roman"/>
      <w:kern w:val="2"/>
    </w:rPr>
  </w:style>
  <w:style w:type="paragraph" w:customStyle="1" w:styleId="Style341">
    <w:name w:val="_Style 341"/>
    <w:basedOn w:val="Style325"/>
    <w:qFormat/>
    <w:pPr>
      <w:widowControl w:val="0"/>
      <w:tabs>
        <w:tab w:val="left" w:pos="1200"/>
      </w:tabs>
      <w:jc w:val="both"/>
    </w:pPr>
    <w:rPr>
      <w:rFonts w:ascii="Times New Roman" w:hAnsi="Times New Roman" w:cs="Times New Roman"/>
      <w:kern w:val="2"/>
    </w:rPr>
  </w:style>
  <w:style w:type="paragraph" w:customStyle="1" w:styleId="Style342">
    <w:name w:val="_Style 342"/>
    <w:basedOn w:val="Style325"/>
    <w:uiPriority w:val="99"/>
    <w:qFormat/>
    <w:pPr>
      <w:widowControl w:val="0"/>
      <w:spacing w:after="120"/>
      <w:jc w:val="both"/>
    </w:pPr>
    <w:rPr>
      <w:rFonts w:ascii="Times New Roman" w:hAnsi="Times New Roman" w:cs="Times New Roman"/>
      <w:kern w:val="2"/>
    </w:rPr>
  </w:style>
  <w:style w:type="paragraph" w:customStyle="1" w:styleId="Style343">
    <w:name w:val="_Style 343"/>
    <w:basedOn w:val="Style325"/>
    <w:autoRedefine/>
    <w:uiPriority w:val="39"/>
    <w:unhideWhenUsed/>
    <w:qFormat/>
    <w:pPr>
      <w:ind w:left="840"/>
    </w:pPr>
    <w:rPr>
      <w:rFonts w:asciiTheme="minorHAnsi" w:hAnsiTheme="minorHAnsi" w:cstheme="minorHAnsi"/>
      <w:bCs/>
      <w:sz w:val="18"/>
      <w:szCs w:val="18"/>
    </w:rPr>
  </w:style>
  <w:style w:type="paragraph" w:customStyle="1" w:styleId="Style344">
    <w:name w:val="_Style 344"/>
    <w:basedOn w:val="Style325"/>
    <w:autoRedefine/>
    <w:uiPriority w:val="39"/>
    <w:unhideWhenUsed/>
    <w:qFormat/>
    <w:pPr>
      <w:ind w:left="420"/>
    </w:pPr>
    <w:rPr>
      <w:rFonts w:asciiTheme="minorHAnsi" w:hAnsiTheme="minorHAnsi" w:cstheme="minorHAnsi"/>
      <w:bCs/>
      <w:i/>
      <w:iCs/>
      <w:sz w:val="20"/>
      <w:szCs w:val="20"/>
    </w:rPr>
  </w:style>
  <w:style w:type="paragraph" w:customStyle="1" w:styleId="Style345">
    <w:name w:val="_Style 345"/>
    <w:basedOn w:val="Style325"/>
    <w:qFormat/>
    <w:pPr>
      <w:widowControl w:val="0"/>
      <w:jc w:val="both"/>
    </w:pPr>
    <w:rPr>
      <w:rFonts w:hAnsi="Courier New" w:cs="Times New Roman"/>
      <w:kern w:val="2"/>
      <w:szCs w:val="20"/>
    </w:rPr>
  </w:style>
  <w:style w:type="paragraph" w:customStyle="1" w:styleId="Style346">
    <w:name w:val="_Style 346"/>
    <w:basedOn w:val="Style325"/>
    <w:autoRedefine/>
    <w:uiPriority w:val="39"/>
    <w:unhideWhenUsed/>
    <w:qFormat/>
    <w:pPr>
      <w:ind w:left="1470"/>
    </w:pPr>
    <w:rPr>
      <w:rFonts w:asciiTheme="minorHAnsi" w:hAnsiTheme="minorHAnsi" w:cstheme="minorHAnsi"/>
      <w:bCs/>
      <w:sz w:val="18"/>
      <w:szCs w:val="18"/>
    </w:rPr>
  </w:style>
  <w:style w:type="paragraph" w:customStyle="1" w:styleId="Style347">
    <w:name w:val="_Style 347"/>
    <w:basedOn w:val="Style325"/>
    <w:uiPriority w:val="99"/>
    <w:qFormat/>
    <w:pPr>
      <w:widowControl w:val="0"/>
      <w:ind w:leftChars="2500" w:left="100"/>
      <w:jc w:val="both"/>
    </w:pPr>
    <w:rPr>
      <w:rFonts w:ascii="Times New Roman" w:hAnsi="Times New Roman" w:cs="Times New Roman"/>
      <w:kern w:val="2"/>
    </w:rPr>
  </w:style>
  <w:style w:type="paragraph" w:customStyle="1" w:styleId="Style348">
    <w:name w:val="_Style 348"/>
    <w:basedOn w:val="Style325"/>
    <w:uiPriority w:val="99"/>
    <w:semiHidden/>
    <w:unhideWhenUsed/>
    <w:qFormat/>
    <w:pPr>
      <w:snapToGrid w:val="0"/>
    </w:pPr>
  </w:style>
  <w:style w:type="paragraph" w:customStyle="1" w:styleId="Style349">
    <w:name w:val="_Style 349"/>
    <w:basedOn w:val="Style325"/>
    <w:uiPriority w:val="99"/>
    <w:unhideWhenUsed/>
    <w:qFormat/>
    <w:pPr>
      <w:widowControl w:val="0"/>
      <w:jc w:val="both"/>
    </w:pPr>
    <w:rPr>
      <w:rFonts w:ascii="Calibri" w:hAnsi="Calibri" w:cs="Times New Roman"/>
      <w:kern w:val="2"/>
      <w:sz w:val="18"/>
      <w:szCs w:val="18"/>
    </w:rPr>
  </w:style>
  <w:style w:type="paragraph" w:customStyle="1" w:styleId="Style350">
    <w:name w:val="_Style 350"/>
    <w:basedOn w:val="Style325"/>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Style351">
    <w:name w:val="_Style 351"/>
    <w:basedOn w:val="Style325"/>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352">
    <w:name w:val="_Style 352"/>
    <w:basedOn w:val="Style325"/>
    <w:autoRedefine/>
    <w:uiPriority w:val="39"/>
    <w:qFormat/>
    <w:pPr>
      <w:spacing w:line="360" w:lineRule="auto"/>
      <w:ind w:left="200" w:hangingChars="200" w:hanging="200"/>
    </w:pPr>
    <w:rPr>
      <w:rFonts w:ascii="Times New Roman" w:hAnsi="Times New Roman" w:cstheme="minorHAnsi"/>
      <w:b/>
      <w:caps/>
      <w:szCs w:val="20"/>
    </w:rPr>
  </w:style>
  <w:style w:type="paragraph" w:customStyle="1" w:styleId="Style353">
    <w:name w:val="_Style 353"/>
    <w:basedOn w:val="Style325"/>
    <w:autoRedefine/>
    <w:uiPriority w:val="39"/>
    <w:unhideWhenUsed/>
    <w:qFormat/>
    <w:pPr>
      <w:ind w:left="630"/>
    </w:pPr>
    <w:rPr>
      <w:rFonts w:asciiTheme="minorHAnsi" w:hAnsiTheme="minorHAnsi" w:cstheme="minorHAnsi"/>
      <w:bCs/>
      <w:sz w:val="18"/>
      <w:szCs w:val="18"/>
    </w:rPr>
  </w:style>
  <w:style w:type="paragraph" w:customStyle="1" w:styleId="Style354">
    <w:name w:val="_Style 354"/>
    <w:basedOn w:val="Style325"/>
    <w:uiPriority w:val="99"/>
    <w:semiHidden/>
    <w:unhideWhenUsed/>
    <w:qFormat/>
    <w:pPr>
      <w:widowControl w:val="0"/>
      <w:snapToGrid w:val="0"/>
    </w:pPr>
    <w:rPr>
      <w:rFonts w:ascii="Calibri" w:hAnsi="Calibri" w:cs="Times New Roman"/>
      <w:bCs/>
      <w:kern w:val="2"/>
      <w:sz w:val="18"/>
      <w:szCs w:val="18"/>
    </w:rPr>
  </w:style>
  <w:style w:type="paragraph" w:customStyle="1" w:styleId="Style355">
    <w:name w:val="_Style 355"/>
    <w:basedOn w:val="Style325"/>
    <w:autoRedefine/>
    <w:uiPriority w:val="39"/>
    <w:unhideWhenUsed/>
    <w:qFormat/>
    <w:pPr>
      <w:ind w:left="1050"/>
    </w:pPr>
    <w:rPr>
      <w:rFonts w:asciiTheme="minorHAnsi" w:hAnsiTheme="minorHAnsi" w:cstheme="minorHAnsi"/>
      <w:bCs/>
      <w:sz w:val="18"/>
      <w:szCs w:val="18"/>
    </w:rPr>
  </w:style>
  <w:style w:type="paragraph" w:customStyle="1" w:styleId="Style356">
    <w:name w:val="_Style 356"/>
    <w:basedOn w:val="Style325"/>
    <w:autoRedefine/>
    <w:uiPriority w:val="39"/>
    <w:qFormat/>
    <w:pPr>
      <w:ind w:left="210"/>
    </w:pPr>
    <w:rPr>
      <w:rFonts w:asciiTheme="minorHAnsi" w:hAnsiTheme="minorHAnsi" w:cstheme="minorHAnsi"/>
      <w:bCs/>
      <w:smallCaps/>
      <w:sz w:val="20"/>
      <w:szCs w:val="20"/>
    </w:rPr>
  </w:style>
  <w:style w:type="paragraph" w:customStyle="1" w:styleId="Style357">
    <w:name w:val="_Style 357"/>
    <w:basedOn w:val="Style325"/>
    <w:autoRedefine/>
    <w:uiPriority w:val="39"/>
    <w:unhideWhenUsed/>
    <w:qFormat/>
    <w:pPr>
      <w:ind w:left="1680"/>
    </w:pPr>
    <w:rPr>
      <w:rFonts w:asciiTheme="minorHAnsi" w:hAnsiTheme="minorHAnsi" w:cstheme="minorHAnsi"/>
      <w:bCs/>
      <w:sz w:val="18"/>
      <w:szCs w:val="18"/>
    </w:rPr>
  </w:style>
  <w:style w:type="paragraph" w:customStyle="1" w:styleId="Style358">
    <w:name w:val="_Style 358"/>
    <w:basedOn w:val="Style325"/>
    <w:uiPriority w:val="99"/>
    <w:qFormat/>
    <w:pPr>
      <w:spacing w:before="100" w:beforeAutospacing="1" w:after="100" w:afterAutospacing="1"/>
    </w:pPr>
    <w:rPr>
      <w:sz w:val="24"/>
    </w:rPr>
  </w:style>
  <w:style w:type="paragraph" w:customStyle="1" w:styleId="Style359">
    <w:name w:val="_Style 359"/>
    <w:basedOn w:val="Style325"/>
    <w:autoRedefine/>
    <w:semiHidden/>
    <w:qFormat/>
    <w:pPr>
      <w:ind w:firstLineChars="200" w:firstLine="420"/>
    </w:pPr>
    <w:rPr>
      <w:rFonts w:cs="Times New Roman"/>
      <w:color w:val="000000"/>
    </w:rPr>
  </w:style>
  <w:style w:type="paragraph" w:customStyle="1" w:styleId="Style360">
    <w:name w:val="_Style 360"/>
    <w:basedOn w:val="Style325"/>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361">
    <w:name w:val="_Style 361"/>
    <w:basedOn w:val="Style339"/>
    <w:uiPriority w:val="99"/>
    <w:unhideWhenUsed/>
    <w:qFormat/>
    <w:rPr>
      <w:rFonts w:ascii="Calibri" w:hAnsi="Calibri"/>
      <w:b/>
      <w:bCs/>
      <w:szCs w:val="22"/>
    </w:rPr>
  </w:style>
  <w:style w:type="character" w:customStyle="1" w:styleId="Style362">
    <w:name w:val="_Style 362"/>
    <w:basedOn w:val="Style333"/>
    <w:uiPriority w:val="99"/>
    <w:semiHidden/>
    <w:unhideWhenUsed/>
    <w:qFormat/>
    <w:rPr>
      <w:vertAlign w:val="superscript"/>
    </w:rPr>
  </w:style>
  <w:style w:type="character" w:customStyle="1" w:styleId="Style363">
    <w:name w:val="_Style 363"/>
    <w:basedOn w:val="Style333"/>
    <w:uiPriority w:val="99"/>
    <w:qFormat/>
    <w:rPr>
      <w:rFonts w:cs="Times New Roman"/>
      <w:color w:val="0000FF"/>
      <w:u w:val="single"/>
    </w:rPr>
  </w:style>
  <w:style w:type="character" w:customStyle="1" w:styleId="Style364">
    <w:name w:val="_Style 364"/>
    <w:basedOn w:val="Style333"/>
    <w:uiPriority w:val="99"/>
    <w:qFormat/>
    <w:rPr>
      <w:rFonts w:eastAsia="宋体" w:cs="Times New Roman"/>
      <w:kern w:val="2"/>
      <w:sz w:val="21"/>
      <w:szCs w:val="21"/>
      <w:lang w:val="en-US" w:eastAsia="zh-CN" w:bidi="ar-SA"/>
    </w:rPr>
  </w:style>
  <w:style w:type="character" w:customStyle="1" w:styleId="Style365">
    <w:name w:val="_Style 365"/>
    <w:uiPriority w:val="99"/>
    <w:semiHidden/>
    <w:unhideWhenUsed/>
    <w:qFormat/>
    <w:rPr>
      <w:vertAlign w:val="superscript"/>
    </w:rPr>
  </w:style>
  <w:style w:type="character" w:customStyle="1" w:styleId="Style366">
    <w:name w:val="_Style 366"/>
    <w:basedOn w:val="Style333"/>
    <w:uiPriority w:val="99"/>
    <w:qFormat/>
    <w:rPr>
      <w:rFonts w:eastAsia="黑体"/>
      <w:b/>
      <w:bCs/>
      <w:kern w:val="44"/>
      <w:sz w:val="28"/>
      <w:szCs w:val="44"/>
    </w:rPr>
  </w:style>
  <w:style w:type="character" w:customStyle="1" w:styleId="Style367">
    <w:name w:val="_Style 367"/>
    <w:basedOn w:val="Style333"/>
    <w:qFormat/>
    <w:rPr>
      <w:rFonts w:ascii="Arial" w:hAnsi="Arial"/>
      <w:b/>
      <w:bCs/>
      <w:kern w:val="2"/>
      <w:sz w:val="21"/>
      <w:szCs w:val="21"/>
    </w:rPr>
  </w:style>
  <w:style w:type="character" w:customStyle="1" w:styleId="Style368">
    <w:name w:val="_Style 368"/>
    <w:basedOn w:val="Style333"/>
    <w:uiPriority w:val="9"/>
    <w:qFormat/>
    <w:rPr>
      <w:b/>
      <w:bCs/>
      <w:kern w:val="2"/>
      <w:sz w:val="21"/>
      <w:szCs w:val="32"/>
    </w:rPr>
  </w:style>
  <w:style w:type="character" w:customStyle="1" w:styleId="Style369">
    <w:name w:val="_Style 369"/>
    <w:basedOn w:val="Style333"/>
    <w:uiPriority w:val="9"/>
    <w:qFormat/>
    <w:rPr>
      <w:rFonts w:ascii="Cambria" w:hAnsi="Cambria"/>
      <w:b/>
      <w:bCs/>
      <w:kern w:val="2"/>
      <w:sz w:val="21"/>
      <w:szCs w:val="28"/>
    </w:rPr>
  </w:style>
  <w:style w:type="character" w:customStyle="1" w:styleId="Style370">
    <w:name w:val="_Style 370"/>
    <w:basedOn w:val="Style333"/>
    <w:uiPriority w:val="9"/>
    <w:qFormat/>
    <w:rPr>
      <w:b/>
      <w:bCs/>
      <w:kern w:val="2"/>
      <w:sz w:val="21"/>
      <w:szCs w:val="28"/>
    </w:rPr>
  </w:style>
  <w:style w:type="paragraph" w:customStyle="1" w:styleId="Style371">
    <w:name w:val="_Style 371"/>
    <w:basedOn w:val="Style326"/>
    <w:uiPriority w:val="39"/>
    <w:qFormat/>
    <w:pPr>
      <w:widowControl/>
      <w:spacing w:before="480" w:after="0" w:line="276" w:lineRule="auto"/>
      <w:outlineLvl w:val="9"/>
    </w:pPr>
    <w:rPr>
      <w:rFonts w:ascii="Cambria" w:eastAsia="宋体" w:hAnsi="Cambria"/>
      <w:color w:val="365F91"/>
      <w:kern w:val="0"/>
      <w:szCs w:val="28"/>
    </w:rPr>
  </w:style>
  <w:style w:type="character" w:customStyle="1" w:styleId="Style372">
    <w:name w:val="_Style 372"/>
    <w:basedOn w:val="Style333"/>
    <w:qFormat/>
    <w:rPr>
      <w:rFonts w:ascii="Times New Roman" w:eastAsia="宋体" w:hAnsi="Times New Roman" w:cs="Times New Roman"/>
      <w:szCs w:val="21"/>
    </w:rPr>
  </w:style>
  <w:style w:type="character" w:customStyle="1" w:styleId="Style373">
    <w:name w:val="_Style 373"/>
    <w:basedOn w:val="Style333"/>
    <w:uiPriority w:val="99"/>
    <w:qFormat/>
    <w:rPr>
      <w:rFonts w:ascii="Calibri" w:eastAsia="宋体" w:hAnsi="Calibri" w:cs="Times New Roman"/>
      <w:sz w:val="18"/>
      <w:szCs w:val="18"/>
    </w:rPr>
  </w:style>
  <w:style w:type="character" w:customStyle="1" w:styleId="Style374">
    <w:name w:val="_Style 374"/>
    <w:basedOn w:val="Style333"/>
    <w:uiPriority w:val="99"/>
    <w:qFormat/>
    <w:rPr>
      <w:rFonts w:ascii="Times New Roman" w:eastAsia="宋体" w:hAnsi="Times New Roman" w:cs="Times New Roman"/>
      <w:szCs w:val="21"/>
    </w:rPr>
  </w:style>
  <w:style w:type="character" w:customStyle="1" w:styleId="Style375">
    <w:name w:val="_Style 375"/>
    <w:basedOn w:val="Style333"/>
    <w:uiPriority w:val="99"/>
    <w:qFormat/>
    <w:rPr>
      <w:rFonts w:eastAsia="宋体" w:cs="Times New Roman"/>
      <w:color w:val="FF0000"/>
      <w:kern w:val="2"/>
      <w:sz w:val="24"/>
      <w:szCs w:val="24"/>
      <w:lang w:val="en-US" w:eastAsia="zh-CN" w:bidi="ar-SA"/>
    </w:rPr>
  </w:style>
  <w:style w:type="paragraph" w:customStyle="1" w:styleId="Style376">
    <w:name w:val="_Style 376"/>
    <w:basedOn w:val="Style325"/>
    <w:uiPriority w:val="99"/>
    <w:qFormat/>
    <w:pPr>
      <w:spacing w:before="100" w:after="100"/>
      <w:jc w:val="right"/>
    </w:pPr>
    <w:rPr>
      <w:rFonts w:ascii="Arial Unicode MS" w:eastAsia="Arial Unicode MS" w:hAnsi="Times New Roman" w:cs="Times New Roman"/>
      <w:sz w:val="18"/>
      <w:szCs w:val="18"/>
    </w:rPr>
  </w:style>
  <w:style w:type="paragraph" w:customStyle="1" w:styleId="Style377">
    <w:name w:val="_Style 377"/>
    <w:basedOn w:val="Style325"/>
    <w:uiPriority w:val="34"/>
    <w:qFormat/>
    <w:pPr>
      <w:widowControl w:val="0"/>
      <w:ind w:firstLineChars="200" w:firstLine="420"/>
      <w:jc w:val="both"/>
    </w:pPr>
    <w:rPr>
      <w:rFonts w:ascii="Calibri" w:hAnsi="Calibri" w:cs="Times New Roman"/>
      <w:kern w:val="2"/>
      <w:szCs w:val="22"/>
    </w:rPr>
  </w:style>
  <w:style w:type="character" w:customStyle="1" w:styleId="Style378">
    <w:name w:val="_Style 378"/>
    <w:basedOn w:val="Style372"/>
    <w:uiPriority w:val="99"/>
    <w:qFormat/>
    <w:rPr>
      <w:rFonts w:ascii="Calibri" w:eastAsia="宋体" w:hAnsi="Calibri" w:cs="Times New Roman"/>
      <w:b/>
      <w:bCs/>
      <w:szCs w:val="21"/>
    </w:rPr>
  </w:style>
  <w:style w:type="character" w:customStyle="1" w:styleId="Style379">
    <w:name w:val="_Style 379"/>
    <w:basedOn w:val="Style333"/>
    <w:uiPriority w:val="99"/>
    <w:qFormat/>
    <w:rPr>
      <w:rFonts w:ascii="Calibri" w:eastAsia="宋体" w:hAnsi="Calibri" w:cs="Times New Roman"/>
      <w:sz w:val="18"/>
      <w:szCs w:val="18"/>
    </w:rPr>
  </w:style>
  <w:style w:type="character" w:customStyle="1" w:styleId="Style380">
    <w:name w:val="_Style 380"/>
    <w:basedOn w:val="Style333"/>
    <w:uiPriority w:val="99"/>
    <w:qFormat/>
    <w:rPr>
      <w:rFonts w:ascii="Calibri" w:eastAsia="宋体" w:hAnsi="Calibri" w:cs="Times New Roman"/>
      <w:sz w:val="18"/>
      <w:szCs w:val="18"/>
    </w:rPr>
  </w:style>
  <w:style w:type="character" w:customStyle="1" w:styleId="Style381">
    <w:name w:val="_Style 381"/>
    <w:basedOn w:val="Style333"/>
    <w:qFormat/>
    <w:rPr>
      <w:rFonts w:ascii="宋体" w:eastAsia="宋体" w:hAnsi="Courier New" w:cs="Times New Roman"/>
      <w:szCs w:val="20"/>
    </w:rPr>
  </w:style>
  <w:style w:type="character" w:customStyle="1" w:styleId="Style382">
    <w:name w:val="_Style 382"/>
    <w:basedOn w:val="Style333"/>
    <w:qFormat/>
    <w:rPr>
      <w:rFonts w:eastAsia="宋体" w:cs="Times New Roman"/>
      <w:kern w:val="2"/>
      <w:sz w:val="24"/>
      <w:szCs w:val="24"/>
      <w:lang w:val="en-US" w:eastAsia="zh-CN" w:bidi="ar-SA"/>
    </w:rPr>
  </w:style>
  <w:style w:type="character" w:customStyle="1" w:styleId="Style383">
    <w:name w:val="_Style 383"/>
    <w:basedOn w:val="Style333"/>
    <w:uiPriority w:val="99"/>
    <w:qFormat/>
    <w:rPr>
      <w:rFonts w:ascii="Times New Roman" w:eastAsia="宋体" w:hAnsi="Times New Roman" w:cs="Times New Roman"/>
      <w:szCs w:val="21"/>
    </w:rPr>
  </w:style>
  <w:style w:type="paragraph" w:customStyle="1" w:styleId="Style384">
    <w:name w:val="_Style 384"/>
    <w:basedOn w:val="Style325"/>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Style385">
    <w:name w:val="_Style 385"/>
    <w:basedOn w:val="Style333"/>
    <w:link w:val="22"/>
    <w:uiPriority w:val="99"/>
    <w:qFormat/>
    <w:rPr>
      <w:rFonts w:ascii="Times New Roman" w:eastAsia="宋体" w:hAnsi="Times New Roman" w:cs="Times New Roman"/>
      <w:szCs w:val="21"/>
    </w:rPr>
  </w:style>
  <w:style w:type="character" w:customStyle="1" w:styleId="Style386">
    <w:name w:val="_Style 386"/>
    <w:basedOn w:val="Style333"/>
    <w:uiPriority w:val="99"/>
    <w:qFormat/>
    <w:rPr>
      <w:rFonts w:ascii="Times New Roman" w:eastAsia="宋体" w:hAnsi="Times New Roman" w:cs="Times New Roman"/>
      <w:szCs w:val="21"/>
    </w:rPr>
  </w:style>
  <w:style w:type="paragraph" w:customStyle="1" w:styleId="Style387">
    <w:name w:val="_Style 387"/>
    <w:basedOn w:val="Style325"/>
    <w:qFormat/>
    <w:pPr>
      <w:keepNext/>
      <w:keepLines/>
      <w:widowControl w:val="0"/>
      <w:spacing w:before="60" w:after="60"/>
      <w:ind w:hangingChars="200" w:hanging="420"/>
      <w:jc w:val="both"/>
      <w:outlineLvl w:val="4"/>
    </w:pPr>
    <w:rPr>
      <w:rFonts w:cs="Times New Roman"/>
      <w:b/>
      <w:bCs/>
      <w:kern w:val="2"/>
    </w:rPr>
  </w:style>
  <w:style w:type="paragraph" w:customStyle="1" w:styleId="Style388">
    <w:name w:val="_Style 388"/>
    <w:hidden/>
    <w:uiPriority w:val="99"/>
    <w:semiHidden/>
    <w:qFormat/>
    <w:rPr>
      <w:rFonts w:ascii="宋体" w:hAnsi="宋体" w:cs="宋体"/>
      <w:kern w:val="2"/>
      <w:sz w:val="21"/>
      <w:szCs w:val="22"/>
    </w:rPr>
  </w:style>
  <w:style w:type="character" w:customStyle="1" w:styleId="Style389">
    <w:name w:val="_Style 389"/>
    <w:basedOn w:val="Style333"/>
    <w:qFormat/>
    <w:rPr>
      <w:kern w:val="2"/>
      <w:sz w:val="21"/>
      <w:szCs w:val="24"/>
    </w:rPr>
  </w:style>
  <w:style w:type="paragraph" w:customStyle="1" w:styleId="Style390">
    <w:name w:val="_Style 390"/>
    <w:basedOn w:val="Style325"/>
    <w:qFormat/>
    <w:pPr>
      <w:widowControl w:val="0"/>
      <w:spacing w:before="100" w:after="100"/>
      <w:jc w:val="both"/>
    </w:pPr>
    <w:rPr>
      <w:rFonts w:ascii="Calibri" w:hAnsi="Calibri" w:cs="Times New Roman"/>
      <w:kern w:val="2"/>
    </w:rPr>
  </w:style>
  <w:style w:type="character" w:customStyle="1" w:styleId="Style391">
    <w:name w:val="_Style 391"/>
    <w:basedOn w:val="Style333"/>
    <w:uiPriority w:val="99"/>
    <w:semiHidden/>
    <w:qFormat/>
    <w:rPr>
      <w:rFonts w:ascii="宋体"/>
      <w:kern w:val="2"/>
      <w:sz w:val="18"/>
      <w:szCs w:val="18"/>
    </w:rPr>
  </w:style>
  <w:style w:type="character" w:customStyle="1" w:styleId="Style392">
    <w:name w:val="_Style 392"/>
    <w:basedOn w:val="Style333"/>
    <w:uiPriority w:val="99"/>
    <w:semiHidden/>
    <w:qFormat/>
    <w:rPr>
      <w:color w:val="auto"/>
    </w:rPr>
  </w:style>
  <w:style w:type="character" w:customStyle="1" w:styleId="Style393">
    <w:name w:val="_Style 393"/>
    <w:basedOn w:val="Style333"/>
    <w:uiPriority w:val="10"/>
    <w:qFormat/>
    <w:rPr>
      <w:rFonts w:asciiTheme="majorHAnsi" w:hAnsiTheme="majorHAnsi" w:cstheme="majorBidi"/>
      <w:b/>
      <w:bCs/>
      <w:kern w:val="2"/>
      <w:sz w:val="32"/>
      <w:szCs w:val="32"/>
    </w:rPr>
  </w:style>
  <w:style w:type="paragraph" w:customStyle="1" w:styleId="Style394">
    <w:name w:val="_Style 394"/>
    <w:uiPriority w:val="1"/>
    <w:qFormat/>
    <w:pPr>
      <w:widowControl w:val="0"/>
      <w:jc w:val="both"/>
    </w:pPr>
    <w:rPr>
      <w:rFonts w:ascii="宋体" w:hAnsi="宋体" w:cs="宋体"/>
      <w:kern w:val="2"/>
      <w:sz w:val="21"/>
      <w:szCs w:val="22"/>
    </w:rPr>
  </w:style>
  <w:style w:type="character" w:customStyle="1" w:styleId="Style395">
    <w:name w:val="_Style 395"/>
    <w:basedOn w:val="Style333"/>
    <w:uiPriority w:val="9"/>
    <w:qFormat/>
    <w:rPr>
      <w:rFonts w:asciiTheme="majorHAnsi" w:hAnsiTheme="majorHAnsi" w:cstheme="majorBidi"/>
      <w:b/>
      <w:bCs/>
      <w:sz w:val="21"/>
      <w:szCs w:val="24"/>
    </w:rPr>
  </w:style>
  <w:style w:type="character" w:customStyle="1" w:styleId="Style396">
    <w:name w:val="_Style 396"/>
    <w:basedOn w:val="Style333"/>
    <w:uiPriority w:val="99"/>
    <w:semiHidden/>
    <w:qFormat/>
    <w:rPr>
      <w:rFonts w:ascii="宋体" w:hAnsi="宋体" w:cs="宋体"/>
      <w:sz w:val="21"/>
      <w:szCs w:val="24"/>
    </w:rPr>
  </w:style>
  <w:style w:type="character" w:customStyle="1" w:styleId="Style397">
    <w:name w:val="_Style 397"/>
    <w:basedOn w:val="Style372"/>
    <w:uiPriority w:val="99"/>
    <w:semiHidden/>
    <w:qFormat/>
    <w:rPr>
      <w:rFonts w:ascii="Times New Roman" w:eastAsia="宋体" w:hAnsi="Times New Roman" w:cs="Times New Roman"/>
      <w:b/>
      <w:bCs/>
      <w:szCs w:val="21"/>
    </w:rPr>
  </w:style>
  <w:style w:type="paragraph" w:customStyle="1" w:styleId="Style398">
    <w:name w:val="_Style 398"/>
    <w:basedOn w:val="Style325"/>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399">
    <w:name w:val="_Style 399"/>
    <w:basedOn w:val="Style333"/>
    <w:qFormat/>
    <w:rPr>
      <w:rFonts w:ascii="Times New Roman" w:hAnsi="Times New Roman"/>
      <w:b/>
      <w:kern w:val="2"/>
      <w:sz w:val="21"/>
      <w:szCs w:val="24"/>
    </w:rPr>
  </w:style>
  <w:style w:type="character" w:customStyle="1" w:styleId="Style400">
    <w:name w:val="_Style 400"/>
    <w:basedOn w:val="Style372"/>
    <w:uiPriority w:val="99"/>
    <w:semiHidden/>
    <w:qFormat/>
    <w:rPr>
      <w:rFonts w:ascii="Times New Roman" w:eastAsia="宋体" w:hAnsi="Times New Roman" w:cs="Times New Roman"/>
      <w:b/>
      <w:bCs/>
      <w:szCs w:val="21"/>
    </w:rPr>
  </w:style>
  <w:style w:type="character" w:customStyle="1" w:styleId="80">
    <w:name w:val="目录 8 字符"/>
    <w:basedOn w:val="Style333"/>
    <w:link w:val="8"/>
    <w:uiPriority w:val="9"/>
    <w:qFormat/>
    <w:rPr>
      <w:rFonts w:ascii="宋体" w:hAnsi="宋体" w:cs="宋体"/>
      <w:b/>
      <w:bCs/>
      <w:sz w:val="24"/>
      <w:szCs w:val="24"/>
    </w:rPr>
  </w:style>
  <w:style w:type="character" w:customStyle="1" w:styleId="Style402">
    <w:name w:val="_Style 402"/>
    <w:basedOn w:val="Style333"/>
    <w:qFormat/>
  </w:style>
  <w:style w:type="character" w:customStyle="1" w:styleId="Style403">
    <w:name w:val="_Style 403"/>
    <w:uiPriority w:val="9"/>
    <w:qFormat/>
    <w:rPr>
      <w:rFonts w:ascii="Cambria" w:hAnsi="Cambria"/>
      <w:b/>
      <w:bCs/>
      <w:kern w:val="2"/>
      <w:sz w:val="21"/>
      <w:szCs w:val="28"/>
    </w:rPr>
  </w:style>
  <w:style w:type="paragraph" w:customStyle="1" w:styleId="Style404">
    <w:name w:val="_Style 404"/>
    <w:basedOn w:val="Style325"/>
    <w:uiPriority w:val="34"/>
    <w:qFormat/>
    <w:pPr>
      <w:widowControl w:val="0"/>
      <w:ind w:firstLineChars="200" w:firstLine="420"/>
      <w:jc w:val="both"/>
    </w:pPr>
    <w:rPr>
      <w:rFonts w:ascii="Calibri" w:hAnsi="Calibri" w:cs="Times New Roman"/>
      <w:kern w:val="2"/>
      <w:szCs w:val="22"/>
    </w:rPr>
  </w:style>
  <w:style w:type="paragraph" w:customStyle="1" w:styleId="Style405">
    <w:name w:val="_Style 405"/>
    <w:basedOn w:val="Style325"/>
    <w:uiPriority w:val="34"/>
    <w:qFormat/>
    <w:pPr>
      <w:widowControl w:val="0"/>
      <w:ind w:firstLineChars="200" w:firstLine="420"/>
      <w:jc w:val="both"/>
    </w:pPr>
    <w:rPr>
      <w:rFonts w:ascii="Calibri" w:hAnsi="Calibri" w:cs="Times New Roman"/>
      <w:kern w:val="2"/>
      <w:szCs w:val="22"/>
    </w:rPr>
  </w:style>
  <w:style w:type="character" w:customStyle="1" w:styleId="Style406">
    <w:name w:val="_Style 406"/>
    <w:uiPriority w:val="9"/>
    <w:qFormat/>
    <w:rPr>
      <w:b/>
      <w:bCs/>
      <w:kern w:val="2"/>
      <w:sz w:val="21"/>
      <w:szCs w:val="32"/>
    </w:rPr>
  </w:style>
  <w:style w:type="paragraph" w:customStyle="1" w:styleId="Style407">
    <w:name w:val="_Style 407"/>
    <w:basedOn w:val="Style325"/>
    <w:uiPriority w:val="34"/>
    <w:qFormat/>
    <w:pPr>
      <w:widowControl w:val="0"/>
      <w:ind w:firstLineChars="200" w:firstLine="420"/>
      <w:jc w:val="both"/>
    </w:pPr>
    <w:rPr>
      <w:rFonts w:ascii="Calibri" w:hAnsi="Calibri" w:cs="Times New Roman"/>
      <w:kern w:val="2"/>
      <w:szCs w:val="22"/>
    </w:rPr>
  </w:style>
  <w:style w:type="paragraph" w:customStyle="1" w:styleId="Style408">
    <w:name w:val="_Style 408"/>
    <w:basedOn w:val="Style325"/>
    <w:uiPriority w:val="34"/>
    <w:qFormat/>
    <w:pPr>
      <w:widowControl w:val="0"/>
      <w:ind w:firstLineChars="200" w:firstLine="420"/>
      <w:jc w:val="both"/>
    </w:pPr>
    <w:rPr>
      <w:rFonts w:ascii="Calibri" w:hAnsi="Calibri" w:cs="Times New Roman"/>
      <w:kern w:val="2"/>
      <w:szCs w:val="22"/>
    </w:rPr>
  </w:style>
  <w:style w:type="paragraph" w:customStyle="1" w:styleId="Style409">
    <w:name w:val="_Style 409"/>
    <w:basedOn w:val="Style325"/>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410">
    <w:name w:val="_Style 410"/>
    <w:qFormat/>
    <w:rPr>
      <w:rFonts w:ascii="Times New Roman" w:hAnsi="Times New Roman"/>
      <w:kern w:val="2"/>
      <w:sz w:val="21"/>
      <w:szCs w:val="21"/>
    </w:rPr>
  </w:style>
  <w:style w:type="character" w:customStyle="1" w:styleId="Style411">
    <w:name w:val="_Style 411"/>
    <w:uiPriority w:val="9"/>
    <w:qFormat/>
    <w:rPr>
      <w:b/>
      <w:bCs/>
      <w:kern w:val="2"/>
      <w:sz w:val="21"/>
      <w:szCs w:val="28"/>
    </w:rPr>
  </w:style>
  <w:style w:type="paragraph" w:customStyle="1" w:styleId="Style412">
    <w:name w:val="_Style 412"/>
    <w:basedOn w:val="Style325"/>
    <w:uiPriority w:val="34"/>
    <w:qFormat/>
    <w:pPr>
      <w:widowControl w:val="0"/>
      <w:ind w:firstLineChars="200" w:firstLine="420"/>
      <w:jc w:val="both"/>
    </w:pPr>
    <w:rPr>
      <w:rFonts w:ascii="Calibri" w:hAnsi="Calibri" w:cs="Times New Roman"/>
      <w:kern w:val="2"/>
      <w:szCs w:val="22"/>
    </w:rPr>
  </w:style>
  <w:style w:type="character" w:customStyle="1" w:styleId="Style413">
    <w:name w:val="_Style 413"/>
    <w:uiPriority w:val="99"/>
    <w:qFormat/>
    <w:rPr>
      <w:rFonts w:ascii="Times New Roman" w:hAnsi="Times New Roman"/>
      <w:kern w:val="2"/>
      <w:sz w:val="21"/>
      <w:szCs w:val="21"/>
    </w:rPr>
  </w:style>
  <w:style w:type="character" w:customStyle="1" w:styleId="Style414">
    <w:name w:val="_Style 414"/>
    <w:uiPriority w:val="9"/>
    <w:qFormat/>
    <w:rPr>
      <w:b/>
      <w:bCs/>
      <w:kern w:val="2"/>
      <w:sz w:val="21"/>
      <w:szCs w:val="32"/>
    </w:rPr>
  </w:style>
  <w:style w:type="character" w:customStyle="1" w:styleId="Style415">
    <w:name w:val="_Style 415"/>
    <w:qFormat/>
    <w:rPr>
      <w:rFonts w:ascii="Arial" w:hAnsi="Arial"/>
      <w:b/>
      <w:bCs/>
      <w:kern w:val="2"/>
      <w:sz w:val="21"/>
      <w:szCs w:val="21"/>
    </w:rPr>
  </w:style>
  <w:style w:type="character" w:customStyle="1" w:styleId="Style416">
    <w:name w:val="_Style 416"/>
    <w:uiPriority w:val="9"/>
    <w:qFormat/>
    <w:rPr>
      <w:rFonts w:ascii="Cambria" w:hAnsi="Cambria"/>
      <w:b/>
      <w:bCs/>
      <w:kern w:val="2"/>
      <w:sz w:val="21"/>
      <w:szCs w:val="28"/>
    </w:rPr>
  </w:style>
  <w:style w:type="character" w:customStyle="1" w:styleId="Style417">
    <w:name w:val="_Style 417"/>
    <w:uiPriority w:val="9"/>
    <w:qFormat/>
    <w:rPr>
      <w:b/>
      <w:bCs/>
      <w:kern w:val="2"/>
      <w:sz w:val="21"/>
      <w:szCs w:val="28"/>
    </w:rPr>
  </w:style>
  <w:style w:type="paragraph" w:customStyle="1" w:styleId="Style418">
    <w:name w:val="_Style 418"/>
    <w:basedOn w:val="Style325"/>
    <w:uiPriority w:val="34"/>
    <w:qFormat/>
    <w:pPr>
      <w:widowControl w:val="0"/>
      <w:ind w:firstLineChars="200" w:firstLine="420"/>
      <w:jc w:val="both"/>
    </w:pPr>
    <w:rPr>
      <w:rFonts w:ascii="Calibri" w:hAnsi="Calibri" w:cs="Times New Roman"/>
      <w:kern w:val="2"/>
      <w:szCs w:val="22"/>
    </w:rPr>
  </w:style>
  <w:style w:type="character" w:customStyle="1" w:styleId="Style419">
    <w:name w:val="_Style 419"/>
    <w:uiPriority w:val="99"/>
    <w:qFormat/>
    <w:rPr>
      <w:rFonts w:ascii="Times New Roman" w:hAnsi="Times New Roman"/>
      <w:kern w:val="2"/>
      <w:sz w:val="21"/>
      <w:szCs w:val="21"/>
    </w:rPr>
  </w:style>
  <w:style w:type="character" w:customStyle="1" w:styleId="Style420">
    <w:name w:val="_Style 420"/>
    <w:qFormat/>
    <w:rPr>
      <w:rFonts w:ascii="Times New Roman" w:hAnsi="Times New Roman" w:cs="Times New Roman"/>
      <w:bCs/>
      <w:kern w:val="2"/>
      <w:sz w:val="21"/>
      <w:szCs w:val="21"/>
    </w:rPr>
  </w:style>
  <w:style w:type="character" w:customStyle="1" w:styleId="Style421">
    <w:name w:val="_Style 421"/>
    <w:uiPriority w:val="99"/>
    <w:qFormat/>
    <w:rPr>
      <w:rFonts w:ascii="Times New Roman" w:hAnsi="Times New Roman"/>
      <w:kern w:val="2"/>
      <w:sz w:val="21"/>
      <w:szCs w:val="21"/>
    </w:rPr>
  </w:style>
  <w:style w:type="character" w:customStyle="1" w:styleId="Style422">
    <w:name w:val="_Style 422"/>
    <w:qFormat/>
    <w:rPr>
      <w:rFonts w:ascii="FZLTSK--GBK1-0" w:hAnsi="FZLTSK--GBK1-0" w:hint="default"/>
      <w:color w:val="000000"/>
      <w:sz w:val="20"/>
      <w:szCs w:val="20"/>
    </w:rPr>
  </w:style>
  <w:style w:type="character" w:customStyle="1" w:styleId="Style423">
    <w:name w:val="_Style 423"/>
    <w:uiPriority w:val="99"/>
    <w:semiHidden/>
    <w:qFormat/>
    <w:locked/>
    <w:rPr>
      <w:rFonts w:ascii="Times New Roman" w:hAnsi="Times New Roman"/>
      <w:kern w:val="2"/>
      <w:sz w:val="21"/>
      <w:szCs w:val="21"/>
    </w:rPr>
  </w:style>
  <w:style w:type="character" w:customStyle="1" w:styleId="Style424">
    <w:name w:val="_Style 424"/>
    <w:qFormat/>
    <w:rPr>
      <w:rFonts w:ascii="Arial" w:hAnsi="Arial"/>
      <w:b/>
      <w:bCs/>
      <w:kern w:val="2"/>
      <w:sz w:val="21"/>
      <w:szCs w:val="21"/>
    </w:rPr>
  </w:style>
  <w:style w:type="character" w:customStyle="1" w:styleId="Style425">
    <w:name w:val="_Style 425"/>
    <w:uiPriority w:val="9"/>
    <w:qFormat/>
    <w:rPr>
      <w:b/>
      <w:bCs/>
      <w:kern w:val="2"/>
      <w:sz w:val="21"/>
      <w:szCs w:val="28"/>
    </w:rPr>
  </w:style>
  <w:style w:type="character" w:customStyle="1" w:styleId="Style426">
    <w:name w:val="_Style 426"/>
    <w:uiPriority w:val="9"/>
    <w:qFormat/>
    <w:rPr>
      <w:b/>
      <w:bCs/>
      <w:kern w:val="2"/>
      <w:sz w:val="21"/>
      <w:szCs w:val="32"/>
    </w:rPr>
  </w:style>
  <w:style w:type="character" w:customStyle="1" w:styleId="Style427">
    <w:name w:val="_Style 427"/>
    <w:uiPriority w:val="9"/>
    <w:qFormat/>
    <w:rPr>
      <w:b/>
      <w:bCs/>
      <w:kern w:val="2"/>
      <w:sz w:val="21"/>
      <w:szCs w:val="32"/>
    </w:rPr>
  </w:style>
  <w:style w:type="character" w:customStyle="1" w:styleId="Style428">
    <w:name w:val="_Style 428"/>
    <w:basedOn w:val="Style333"/>
    <w:uiPriority w:val="99"/>
    <w:semiHidden/>
    <w:qFormat/>
    <w:rPr>
      <w:rFonts w:ascii="Calibri" w:hAnsi="Calibri" w:cs="Times New Roman"/>
      <w:bCs/>
      <w:kern w:val="2"/>
      <w:sz w:val="18"/>
      <w:szCs w:val="18"/>
    </w:rPr>
  </w:style>
  <w:style w:type="paragraph" w:customStyle="1" w:styleId="Style429">
    <w:name w:val="_Style 429"/>
    <w:autoRedefine/>
    <w:qFormat/>
    <w:pPr>
      <w:widowControl w:val="0"/>
      <w:tabs>
        <w:tab w:val="left" w:pos="0"/>
      </w:tabs>
      <w:adjustRightInd w:val="0"/>
      <w:snapToGrid w:val="0"/>
      <w:spacing w:line="240" w:lineRule="atLeast"/>
      <w:jc w:val="both"/>
    </w:pPr>
    <w:rPr>
      <w:rFonts w:ascii="宋体" w:hAnsi="宋体" w:cs="宋体"/>
      <w:color w:val="000000"/>
      <w:kern w:val="2"/>
      <w:sz w:val="21"/>
      <w:szCs w:val="21"/>
    </w:rPr>
  </w:style>
  <w:style w:type="paragraph" w:customStyle="1" w:styleId="Style430">
    <w:name w:val="_Style 430"/>
    <w:autoRedefine/>
    <w:qFormat/>
    <w:rPr>
      <w:rFonts w:ascii="宋体" w:hAnsi="宋体" w:cs="宋体"/>
      <w:sz w:val="21"/>
      <w:szCs w:val="24"/>
    </w:rPr>
  </w:style>
  <w:style w:type="paragraph" w:customStyle="1" w:styleId="Style431">
    <w:name w:val="_Style 431"/>
    <w:autoRedefine/>
    <w:qFormat/>
    <w:pPr>
      <w:widowControl w:val="0"/>
      <w:tabs>
        <w:tab w:val="left" w:pos="0"/>
      </w:tabs>
      <w:adjustRightInd w:val="0"/>
      <w:snapToGrid w:val="0"/>
      <w:spacing w:line="400" w:lineRule="atLeast"/>
      <w:ind w:left="1276"/>
      <w:jc w:val="both"/>
    </w:pPr>
    <w:rPr>
      <w:rFonts w:ascii="宋体" w:hAnsi="宋体" w:cs="宋体"/>
      <w:color w:val="000000"/>
      <w:kern w:val="2"/>
      <w:sz w:val="21"/>
      <w:szCs w:val="21"/>
    </w:rPr>
  </w:style>
  <w:style w:type="paragraph" w:customStyle="1" w:styleId="Style432">
    <w:name w:val="_Style 432"/>
    <w:autoRedefine/>
    <w:qFormat/>
    <w:pPr>
      <w:widowControl w:val="0"/>
      <w:tabs>
        <w:tab w:val="left" w:pos="0"/>
      </w:tabs>
      <w:adjustRightInd w:val="0"/>
      <w:snapToGrid w:val="0"/>
      <w:spacing w:line="240" w:lineRule="atLeast"/>
      <w:jc w:val="both"/>
    </w:pPr>
    <w:rPr>
      <w:rFonts w:ascii="宋体" w:hAnsi="宋体" w:cs="宋体"/>
      <w:b/>
      <w:color w:val="000000"/>
      <w:sz w:val="21"/>
      <w:szCs w:val="21"/>
    </w:rPr>
  </w:style>
  <w:style w:type="paragraph" w:customStyle="1" w:styleId="Style433">
    <w:name w:val="_Style 433"/>
    <w:autoRedefine/>
    <w:qFormat/>
    <w:pPr>
      <w:widowControl w:val="0"/>
      <w:tabs>
        <w:tab w:val="left" w:pos="0"/>
      </w:tabs>
      <w:adjustRightInd w:val="0"/>
      <w:snapToGrid w:val="0"/>
      <w:spacing w:line="400" w:lineRule="atLeast"/>
      <w:ind w:left="714"/>
      <w:jc w:val="both"/>
    </w:pPr>
    <w:rPr>
      <w:rFonts w:ascii="宋体" w:hAnsi="宋体" w:cs="宋体"/>
      <w:color w:val="000000"/>
      <w:sz w:val="21"/>
      <w:szCs w:val="21"/>
    </w:rPr>
  </w:style>
  <w:style w:type="paragraph" w:customStyle="1" w:styleId="Style434">
    <w:name w:val="_Style 434"/>
    <w:qFormat/>
    <w:pPr>
      <w:widowControl w:val="0"/>
      <w:autoSpaceDE w:val="0"/>
      <w:autoSpaceDN w:val="0"/>
      <w:adjustRightInd w:val="0"/>
    </w:pPr>
    <w:rPr>
      <w:rFonts w:ascii="宋体" w:hAnsi="宋体" w:cs="宋体"/>
      <w:color w:val="000000"/>
      <w:sz w:val="24"/>
      <w:szCs w:val="24"/>
    </w:rPr>
  </w:style>
  <w:style w:type="paragraph" w:customStyle="1" w:styleId="TOC2">
    <w:name w:val="TOC 标题2"/>
    <w:basedOn w:val="1"/>
    <w:next w:val="a"/>
    <w:uiPriority w:val="39"/>
    <w:qFormat/>
    <w:pPr>
      <w:widowControl/>
      <w:spacing w:before="480" w:after="0" w:line="276" w:lineRule="auto"/>
      <w:outlineLvl w:val="9"/>
    </w:pPr>
    <w:rPr>
      <w:rFonts w:ascii="Cambria" w:eastAsia="宋体" w:hAnsi="Cambria"/>
      <w:bCs w:val="0"/>
      <w:color w:val="365F91"/>
      <w:kern w:val="0"/>
      <w:szCs w:val="28"/>
    </w:rPr>
  </w:style>
  <w:style w:type="paragraph" w:customStyle="1" w:styleId="24">
    <w:name w:val="修订2"/>
    <w:hidden/>
    <w:uiPriority w:val="99"/>
    <w:semiHidden/>
    <w:qFormat/>
    <w:rPr>
      <w:rFonts w:ascii="宋体" w:hAnsi="宋体" w:cs="宋体"/>
      <w:bCs/>
      <w:kern w:val="2"/>
      <w:sz w:val="21"/>
      <w:szCs w:val="22"/>
    </w:r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88">
    <w:name w:val="_Style 88"/>
    <w:basedOn w:val="a"/>
    <w:next w:val="aff7"/>
    <w:uiPriority w:val="34"/>
    <w:qFormat/>
    <w:pPr>
      <w:widowControl w:val="0"/>
      <w:ind w:firstLineChars="200" w:firstLine="420"/>
      <w:jc w:val="both"/>
    </w:pPr>
    <w:rPr>
      <w:rFonts w:ascii="Calibri" w:hAnsi="Calibri" w:cs="Times New Roman"/>
      <w:bCs/>
      <w:kern w:val="2"/>
      <w:szCs w:val="22"/>
    </w:rPr>
  </w:style>
  <w:style w:type="paragraph" w:customStyle="1" w:styleId="Style94">
    <w:name w:val="_Style 94"/>
    <w:basedOn w:val="a"/>
    <w:next w:val="aff7"/>
    <w:uiPriority w:val="34"/>
    <w:qFormat/>
    <w:pPr>
      <w:widowControl w:val="0"/>
      <w:ind w:firstLineChars="200" w:firstLine="420"/>
      <w:jc w:val="both"/>
    </w:pPr>
    <w:rPr>
      <w:rFonts w:ascii="Calibri" w:hAnsi="Calibri" w:cs="Times New Roman"/>
      <w:bCs/>
      <w:kern w:val="2"/>
      <w:szCs w:val="22"/>
    </w:rPr>
  </w:style>
  <w:style w:type="table" w:customStyle="1" w:styleId="g12">
    <w:name w:val="g1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fff0">
    <w:name w:val="样式 四号"/>
    <w:rsid w:val="00D7346F"/>
    <w:rPr>
      <w:rFonts w:eastAsia="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b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553E72" w:rsidRDefault="00553E72">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553E72" w:rsidRDefault="00553E72">
          <w:r>
            <w:rPr>
              <w:rStyle w:val="a3"/>
              <w:rFonts w:hint="eastAsia"/>
              <w:color w:val="333399"/>
              <w:u w:val="single"/>
            </w:rPr>
            <w:t xml:space="preserve">　　　</w:t>
          </w:r>
        </w:p>
      </w:docPartBody>
    </w:docPart>
    <w:docPart>
      <w:docPartPr>
        <w:name w:val="423BC4DF14E946DCAECB21B331FD0E9E"/>
        <w:category>
          <w:name w:val="常规"/>
          <w:gallery w:val="placeholder"/>
        </w:category>
        <w:types>
          <w:type w:val="bbPlcHdr"/>
        </w:types>
        <w:behaviors>
          <w:behavior w:val="content"/>
        </w:behaviors>
        <w:guid w:val="{4E12122E-5217-4A79-AF41-121DEDB3463D}"/>
      </w:docPartPr>
      <w:docPartBody>
        <w:p w:rsidR="00553E72" w:rsidRDefault="00553E72">
          <w:pPr>
            <w:pStyle w:val="423BC4DF14E946DCAECB21B331FD0E9E"/>
          </w:pPr>
          <w:r>
            <w:rPr>
              <w:rStyle w:val="a3"/>
              <w:rFonts w:hint="eastAsia"/>
              <w:color w:val="333399"/>
              <w:u w:val="single"/>
            </w:rPr>
            <w:t xml:space="preserve">　　　</w:t>
          </w:r>
        </w:p>
      </w:docPartBody>
    </w:docPart>
    <w:docPart>
      <w:docPartPr>
        <w:name w:val="A61D047E9E7349BD98DF9D28355456A2"/>
        <w:category>
          <w:name w:val="常规"/>
          <w:gallery w:val="placeholder"/>
        </w:category>
        <w:types>
          <w:type w:val="bbPlcHdr"/>
        </w:types>
        <w:behaviors>
          <w:behavior w:val="content"/>
        </w:behaviors>
        <w:guid w:val="{2175DB4B-3CBD-4D2D-806C-3F7E03758254}"/>
      </w:docPartPr>
      <w:docPartBody>
        <w:p w:rsidR="00553E72" w:rsidRDefault="00553E72">
          <w:pPr>
            <w:pStyle w:val="A61D047E9E7349BD98DF9D28355456A2"/>
          </w:pPr>
          <w:r>
            <w:rPr>
              <w:rStyle w:val="a3"/>
              <w:rFonts w:hint="eastAsia"/>
              <w:color w:val="333399"/>
              <w:u w:val="single"/>
            </w:rPr>
            <w:t xml:space="preserve">　　　</w:t>
          </w:r>
        </w:p>
      </w:docPartBody>
    </w:docPart>
    <w:docPart>
      <w:docPartPr>
        <w:name w:val="DF91B4601F5D4544B8EFC94F2A9690A9"/>
        <w:category>
          <w:name w:val="常规"/>
          <w:gallery w:val="placeholder"/>
        </w:category>
        <w:types>
          <w:type w:val="bbPlcHdr"/>
        </w:types>
        <w:behaviors>
          <w:behavior w:val="content"/>
        </w:behaviors>
        <w:guid w:val="{00F36250-EF6B-4F47-BA08-DFDCEA77D9BA}"/>
      </w:docPartPr>
      <w:docPartBody>
        <w:p w:rsidR="00553E72" w:rsidRDefault="00553E72">
          <w:pPr>
            <w:pStyle w:val="DF91B4601F5D4544B8EFC94F2A9690A9"/>
          </w:pPr>
          <w:r>
            <w:rPr>
              <w:rStyle w:val="a3"/>
              <w:rFonts w:hint="eastAsia"/>
              <w:color w:val="333399"/>
              <w:u w:val="single"/>
            </w:rPr>
            <w:t xml:space="preserve">　　　</w:t>
          </w:r>
        </w:p>
      </w:docPartBody>
    </w:docPart>
    <w:docPart>
      <w:docPartPr>
        <w:name w:val="489100DB019745D4AA8F1504D4A792B1"/>
        <w:category>
          <w:name w:val="常规"/>
          <w:gallery w:val="placeholder"/>
        </w:category>
        <w:types>
          <w:type w:val="bbPlcHdr"/>
        </w:types>
        <w:behaviors>
          <w:behavior w:val="content"/>
        </w:behaviors>
        <w:guid w:val="{2ED2DE5B-1884-41F6-B896-EFCBE53155E2}"/>
      </w:docPartPr>
      <w:docPartBody>
        <w:p w:rsidR="00553E72" w:rsidRDefault="00553E72">
          <w:pPr>
            <w:pStyle w:val="489100DB019745D4AA8F1504D4A792B1"/>
          </w:pPr>
          <w:r>
            <w:rPr>
              <w:rStyle w:val="a3"/>
              <w:rFonts w:hint="eastAsia"/>
              <w:color w:val="333399"/>
              <w:u w:val="single"/>
            </w:rPr>
            <w:t xml:space="preserve">　　　</w:t>
          </w:r>
        </w:p>
      </w:docPartBody>
    </w:docPart>
    <w:docPart>
      <w:docPartPr>
        <w:name w:val="DD2A81682CF54531BCEFC8E1FB25D842"/>
        <w:category>
          <w:name w:val="常规"/>
          <w:gallery w:val="placeholder"/>
        </w:category>
        <w:types>
          <w:type w:val="bbPlcHdr"/>
        </w:types>
        <w:behaviors>
          <w:behavior w:val="content"/>
        </w:behaviors>
        <w:guid w:val="{7D3ADF02-1FB8-4010-9BAA-5D7E17B129B6}"/>
      </w:docPartPr>
      <w:docPartBody>
        <w:p w:rsidR="00553E72" w:rsidRDefault="00553E72">
          <w:pPr>
            <w:pStyle w:val="DD2A81682CF54531BCEFC8E1FB25D842"/>
          </w:pPr>
          <w:r>
            <w:rPr>
              <w:rStyle w:val="a3"/>
              <w:rFonts w:hint="eastAsia"/>
              <w:color w:val="333399"/>
              <w:u w:val="single"/>
            </w:rPr>
            <w:t xml:space="preserve">　　　</w:t>
          </w:r>
        </w:p>
      </w:docPartBody>
    </w:docPart>
    <w:docPart>
      <w:docPartPr>
        <w:name w:val="BDDD5562FF3440CAA632659A3A379C04"/>
        <w:category>
          <w:name w:val="常规"/>
          <w:gallery w:val="placeholder"/>
        </w:category>
        <w:types>
          <w:type w:val="bbPlcHdr"/>
        </w:types>
        <w:behaviors>
          <w:behavior w:val="content"/>
        </w:behaviors>
        <w:guid w:val="{BEB7CC6A-C851-449F-9754-A339E8DFE194}"/>
      </w:docPartPr>
      <w:docPartBody>
        <w:p w:rsidR="00553E72" w:rsidRDefault="00553E72">
          <w:pPr>
            <w:pStyle w:val="BDDD5562FF3440CAA632659A3A379C04"/>
          </w:pPr>
          <w:r>
            <w:rPr>
              <w:rStyle w:val="a3"/>
              <w:rFonts w:hint="eastAsia"/>
              <w:color w:val="333399"/>
              <w:u w:val="single"/>
            </w:rPr>
            <w:t xml:space="preserve">　　　</w:t>
          </w:r>
        </w:p>
      </w:docPartBody>
    </w:docPart>
    <w:docPart>
      <w:docPartPr>
        <w:name w:val="A2DC8444E65143E5AE945BE2A9864A01"/>
        <w:category>
          <w:name w:val="常规"/>
          <w:gallery w:val="placeholder"/>
        </w:category>
        <w:types>
          <w:type w:val="bbPlcHdr"/>
        </w:types>
        <w:behaviors>
          <w:behavior w:val="content"/>
        </w:behaviors>
        <w:guid w:val="{8C3312F8-745D-4E04-9860-2148EAE66ED9}"/>
      </w:docPartPr>
      <w:docPartBody>
        <w:p w:rsidR="00553E72" w:rsidRDefault="00553E72">
          <w:pPr>
            <w:pStyle w:val="A2DC8444E65143E5AE945BE2A9864A01"/>
          </w:pPr>
          <w:r>
            <w:rPr>
              <w:rStyle w:val="a3"/>
              <w:rFonts w:hint="eastAsia"/>
              <w:color w:val="333399"/>
              <w:u w:val="single"/>
            </w:rPr>
            <w:t xml:space="preserve">　　　</w:t>
          </w:r>
        </w:p>
      </w:docPartBody>
    </w:docPart>
    <w:docPart>
      <w:docPartPr>
        <w:name w:val="B4D2B78D7BEB40E88EAE6A3DB36D7891"/>
        <w:category>
          <w:name w:val="常规"/>
          <w:gallery w:val="placeholder"/>
        </w:category>
        <w:types>
          <w:type w:val="bbPlcHdr"/>
        </w:types>
        <w:behaviors>
          <w:behavior w:val="content"/>
        </w:behaviors>
        <w:guid w:val="{4A4E2CE3-E1D2-40B9-833F-CD815FC5018A}"/>
      </w:docPartPr>
      <w:docPartBody>
        <w:p w:rsidR="00553E72" w:rsidRDefault="00553E72">
          <w:pPr>
            <w:pStyle w:val="B4D2B78D7BEB40E88EAE6A3DB36D7891"/>
          </w:pPr>
          <w:r>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3A4CA22E-1476-4F6C-AFF1-553FF40A1542}"/>
      </w:docPartPr>
      <w:docPartBody>
        <w:p w:rsidR="00553E72" w:rsidRDefault="00553E72">
          <w:r>
            <w:rPr>
              <w:rStyle w:val="a3"/>
              <w:rFonts w:hint="eastAsia"/>
            </w:rPr>
            <w:t>单击或点击此处输入文字。</w:t>
          </w:r>
        </w:p>
      </w:docPartBody>
    </w:docPart>
    <w:docPart>
      <w:docPartPr>
        <w:name w:val="727AC9DA5E884386A2ECF7924A34EA63"/>
        <w:category>
          <w:name w:val="常规"/>
          <w:gallery w:val="placeholder"/>
        </w:category>
        <w:types>
          <w:type w:val="bbPlcHdr"/>
        </w:types>
        <w:behaviors>
          <w:behavior w:val="content"/>
        </w:behaviors>
        <w:guid w:val="{5B2D2C73-FED5-4223-BBDA-CA2F331A8A02}"/>
      </w:docPartPr>
      <w:docPartBody>
        <w:p w:rsidR="00553E72" w:rsidRDefault="00553E72">
          <w:pPr>
            <w:pStyle w:val="727AC9DA5E884386A2ECF7924A34EA63"/>
          </w:pPr>
          <w:r>
            <w:rPr>
              <w:rStyle w:val="a3"/>
              <w:rFonts w:hint="eastAsia"/>
              <w:color w:val="333399"/>
              <w:u w:val="single"/>
            </w:rPr>
            <w:t xml:space="preserve">　　　</w:t>
          </w:r>
        </w:p>
      </w:docPartBody>
    </w:docPart>
    <w:docPart>
      <w:docPartPr>
        <w:name w:val="3BCFC6FCD5F44BD88EA148BB4C95C927"/>
        <w:category>
          <w:name w:val="常规"/>
          <w:gallery w:val="placeholder"/>
        </w:category>
        <w:types>
          <w:type w:val="bbPlcHdr"/>
        </w:types>
        <w:behaviors>
          <w:behavior w:val="content"/>
        </w:behaviors>
        <w:guid w:val="{161003A0-B2C7-40CA-94A1-D046EF35630E}"/>
      </w:docPartPr>
      <w:docPartBody>
        <w:p w:rsidR="00553E72" w:rsidRDefault="00553E72">
          <w:pPr>
            <w:pStyle w:val="3BCFC6FCD5F44BD88EA148BB4C95C927"/>
          </w:pPr>
          <w:r>
            <w:rPr>
              <w:rStyle w:val="a3"/>
              <w:rFonts w:hint="eastAsia"/>
              <w:color w:val="333399"/>
              <w:u w:val="single"/>
            </w:rPr>
            <w:t xml:space="preserve">　　　</w:t>
          </w:r>
        </w:p>
      </w:docPartBody>
    </w:docPart>
    <w:docPart>
      <w:docPartPr>
        <w:name w:val="{ea5d074c-0e72-49b2-acdc-0257bb670355}"/>
        <w:category>
          <w:name w:val="常规"/>
          <w:gallery w:val="placeholder"/>
        </w:category>
        <w:types>
          <w:type w:val="bbPlcHdr"/>
        </w:types>
        <w:behaviors>
          <w:behavior w:val="content"/>
        </w:behaviors>
        <w:guid w:val="{EA5D074C-0E72-49B2-ACDC-0257BB670355}"/>
      </w:docPartPr>
      <w:docPartBody>
        <w:p w:rsidR="00553E72" w:rsidRDefault="00553E72">
          <w:r>
            <w:rPr>
              <w:rStyle w:val="a3"/>
              <w:rFonts w:hint="eastAsia"/>
              <w:color w:val="333399"/>
              <w:u w:val="single"/>
            </w:rPr>
            <w:t xml:space="preserve">　　　</w:t>
          </w:r>
        </w:p>
      </w:docPartBody>
    </w:docPart>
    <w:docPart>
      <w:docPartPr>
        <w:name w:val="03268A9CACAF4CA587A5C736276A03ED"/>
        <w:category>
          <w:name w:val="常规"/>
          <w:gallery w:val="placeholder"/>
        </w:category>
        <w:types>
          <w:type w:val="bbPlcHdr"/>
        </w:types>
        <w:behaviors>
          <w:behavior w:val="content"/>
        </w:behaviors>
        <w:guid w:val="{72FA4F0F-A46B-4413-99B4-D431C9CC1E7E}"/>
      </w:docPartPr>
      <w:docPartBody>
        <w:p w:rsidR="00553E72" w:rsidRDefault="00553E72">
          <w:pPr>
            <w:pStyle w:val="03268A9CACAF4CA587A5C736276A03ED"/>
          </w:pPr>
          <w:r>
            <w:rPr>
              <w:rStyle w:val="a3"/>
              <w:rFonts w:hint="eastAsia"/>
              <w:color w:val="333399"/>
              <w:u w:val="single"/>
            </w:rPr>
            <w:t xml:space="preserve">　　　</w:t>
          </w:r>
        </w:p>
      </w:docPartBody>
    </w:docPart>
    <w:docPart>
      <w:docPartPr>
        <w:name w:val="ADE28485113B4767BDEF7BF0331B7A16"/>
        <w:category>
          <w:name w:val="常规"/>
          <w:gallery w:val="placeholder"/>
        </w:category>
        <w:types>
          <w:type w:val="bbPlcHdr"/>
        </w:types>
        <w:behaviors>
          <w:behavior w:val="content"/>
        </w:behaviors>
        <w:guid w:val="{8DAFCC6F-961F-4003-956D-6DAA027D2303}"/>
      </w:docPartPr>
      <w:docPartBody>
        <w:p w:rsidR="00FE4AA6" w:rsidRDefault="00031DA7" w:rsidP="00031DA7">
          <w:pPr>
            <w:pStyle w:val="ADE28485113B4767BDEF7BF0331B7A16"/>
          </w:pPr>
          <w:r>
            <w:rPr>
              <w:rStyle w:val="a3"/>
              <w:rFonts w:hint="eastAsia"/>
              <w:color w:val="333399"/>
              <w:u w:val="single"/>
            </w:rPr>
            <w:t xml:space="preserve">　　　</w:t>
          </w:r>
        </w:p>
      </w:docPartBody>
    </w:docPart>
    <w:docPart>
      <w:docPartPr>
        <w:name w:val="E7477B8AF30F4EC4A4DB132C7468E6A5"/>
        <w:category>
          <w:name w:val="常规"/>
          <w:gallery w:val="placeholder"/>
        </w:category>
        <w:types>
          <w:type w:val="bbPlcHdr"/>
        </w:types>
        <w:behaviors>
          <w:behavior w:val="content"/>
        </w:behaviors>
        <w:guid w:val="{CE629D75-E06F-4EB6-930A-2CB837B1DA5C}"/>
      </w:docPartPr>
      <w:docPartBody>
        <w:p w:rsidR="00B0722C" w:rsidRDefault="00B0722C" w:rsidP="00B0722C">
          <w:pPr>
            <w:pStyle w:val="E7477B8AF30F4EC4A4DB132C7468E6A5"/>
          </w:pPr>
          <w:r w:rsidRPr="002524F4">
            <w:rPr>
              <w:rStyle w:val="a3"/>
              <w:rFonts w:hint="eastAsia"/>
              <w:color w:val="333399"/>
              <w:u w:val="single"/>
            </w:rPr>
            <w:t xml:space="preserve">　　　</w:t>
          </w:r>
        </w:p>
      </w:docPartBody>
    </w:docPart>
    <w:docPart>
      <w:docPartPr>
        <w:name w:val="9AF7C9BB72994BC39548669CFD7BE684"/>
        <w:category>
          <w:name w:val="常规"/>
          <w:gallery w:val="placeholder"/>
        </w:category>
        <w:types>
          <w:type w:val="bbPlcHdr"/>
        </w:types>
        <w:behaviors>
          <w:behavior w:val="content"/>
        </w:behaviors>
        <w:guid w:val="{199ADD68-69C8-4E92-AA7B-F752738E93E0}"/>
      </w:docPartPr>
      <w:docPartBody>
        <w:p w:rsidR="00B0722C" w:rsidRDefault="00B0722C" w:rsidP="00B0722C">
          <w:pPr>
            <w:pStyle w:val="9AF7C9BB72994BC39548669CFD7BE684"/>
          </w:pPr>
          <w:r>
            <w:rPr>
              <w:rStyle w:val="a3"/>
              <w:rFonts w:hint="eastAsia"/>
              <w:color w:val="333399"/>
              <w:u w:val="single"/>
            </w:rPr>
            <w:t xml:space="preserve">　　　</w:t>
          </w:r>
        </w:p>
      </w:docPartBody>
    </w:docPart>
    <w:docPart>
      <w:docPartPr>
        <w:name w:val="FC2BC4A6BCD240A099DE10B0EE2E6A22"/>
        <w:category>
          <w:name w:val="常规"/>
          <w:gallery w:val="placeholder"/>
        </w:category>
        <w:types>
          <w:type w:val="bbPlcHdr"/>
        </w:types>
        <w:behaviors>
          <w:behavior w:val="content"/>
        </w:behaviors>
        <w:guid w:val="{CF6ED716-30AC-4861-90AA-E1B44AE585A0}"/>
      </w:docPartPr>
      <w:docPartBody>
        <w:p w:rsidR="00B0722C" w:rsidRDefault="00B0722C" w:rsidP="00B0722C">
          <w:pPr>
            <w:pStyle w:val="FC2BC4A6BCD240A099DE10B0EE2E6A22"/>
          </w:pPr>
          <w:r>
            <w:rPr>
              <w:rStyle w:val="a3"/>
              <w:rFonts w:hint="eastAsia"/>
              <w:color w:val="333399"/>
              <w:u w:val="single"/>
            </w:rPr>
            <w:t xml:space="preserve">　　　</w:t>
          </w:r>
        </w:p>
      </w:docPartBody>
    </w:docPart>
    <w:docPart>
      <w:docPartPr>
        <w:name w:val="B13A217E0DAB450BAA4E1068227F051B"/>
        <w:category>
          <w:name w:val="常规"/>
          <w:gallery w:val="placeholder"/>
        </w:category>
        <w:types>
          <w:type w:val="bbPlcHdr"/>
        </w:types>
        <w:behaviors>
          <w:behavior w:val="content"/>
        </w:behaviors>
        <w:guid w:val="{5E430893-F16A-42B7-8F8A-3821F01757F4}"/>
      </w:docPartPr>
      <w:docPartBody>
        <w:p w:rsidR="00B0722C" w:rsidRDefault="00B0722C" w:rsidP="00B0722C">
          <w:pPr>
            <w:pStyle w:val="B13A217E0DAB450BAA4E1068227F051B"/>
          </w:pPr>
          <w:r>
            <w:rPr>
              <w:rStyle w:val="a3"/>
              <w:rFonts w:hint="eastAsia"/>
              <w:color w:val="333399"/>
              <w:u w:val="single"/>
            </w:rPr>
            <w:t xml:space="preserve">　　　</w:t>
          </w:r>
        </w:p>
      </w:docPartBody>
    </w:docPart>
    <w:docPart>
      <w:docPartPr>
        <w:name w:val="52BD6B2BFAA942BC992C6163AFFF0835"/>
        <w:category>
          <w:name w:val="常规"/>
          <w:gallery w:val="placeholder"/>
        </w:category>
        <w:types>
          <w:type w:val="bbPlcHdr"/>
        </w:types>
        <w:behaviors>
          <w:behavior w:val="content"/>
        </w:behaviors>
        <w:guid w:val="{484FA06B-51D3-4113-828C-954551A19616}"/>
      </w:docPartPr>
      <w:docPartBody>
        <w:p w:rsidR="006C10E9" w:rsidRDefault="00863780" w:rsidP="00863780">
          <w:pPr>
            <w:pStyle w:val="52BD6B2BFAA942BC992C6163AFFF0835"/>
          </w:pPr>
          <w:r>
            <w:rPr>
              <w:rStyle w:val="a3"/>
              <w:rFonts w:hint="eastAsia"/>
              <w:color w:val="333399"/>
              <w:u w:val="single"/>
            </w:rPr>
            <w:t xml:space="preserve">　　　</w:t>
          </w:r>
        </w:p>
      </w:docPartBody>
    </w:docPart>
    <w:docPart>
      <w:docPartPr>
        <w:name w:val="11977DD635A04512A697885C49BF4772"/>
        <w:category>
          <w:name w:val="常规"/>
          <w:gallery w:val="placeholder"/>
        </w:category>
        <w:types>
          <w:type w:val="bbPlcHdr"/>
        </w:types>
        <w:behaviors>
          <w:behavior w:val="content"/>
        </w:behaviors>
        <w:guid w:val="{7BB82A01-9ACC-4100-AB9B-BD4690D7D025}"/>
      </w:docPartPr>
      <w:docPartBody>
        <w:p w:rsidR="003A6634" w:rsidRDefault="006C10E9" w:rsidP="006C10E9">
          <w:pPr>
            <w:pStyle w:val="11977DD635A04512A697885C49BF4772"/>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002E0107" w:csb1="00000000"/>
  </w:font>
  <w:font w:name="FZLTSK--GBK1-0">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default"/>
    <w:sig w:usb0="00000000" w:usb1="00000000" w:usb2="00000010" w:usb3="00000000" w:csb0="00040000" w:csb1="00000000"/>
  </w:font>
  <w:font w:name="仿宋_GB2312">
    <w:altName w:val="仿宋"/>
    <w:charset w:val="86"/>
    <w:family w:val="modern"/>
    <w:pitch w:val="default"/>
    <w:sig w:usb0="00000000" w:usb1="0000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revisionView w:comments="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78B"/>
    <w:rsid w:val="00006480"/>
    <w:rsid w:val="00006B48"/>
    <w:rsid w:val="00011C18"/>
    <w:rsid w:val="00011E75"/>
    <w:rsid w:val="00012653"/>
    <w:rsid w:val="00012A0F"/>
    <w:rsid w:val="00013B71"/>
    <w:rsid w:val="00013C02"/>
    <w:rsid w:val="00015FD3"/>
    <w:rsid w:val="000171D4"/>
    <w:rsid w:val="00020357"/>
    <w:rsid w:val="00020790"/>
    <w:rsid w:val="00020D37"/>
    <w:rsid w:val="00021BC4"/>
    <w:rsid w:val="000234EA"/>
    <w:rsid w:val="0002361B"/>
    <w:rsid w:val="000236A0"/>
    <w:rsid w:val="0002605F"/>
    <w:rsid w:val="000278B2"/>
    <w:rsid w:val="00031DA7"/>
    <w:rsid w:val="00031EC1"/>
    <w:rsid w:val="00032504"/>
    <w:rsid w:val="00032ECB"/>
    <w:rsid w:val="000336AB"/>
    <w:rsid w:val="000353DC"/>
    <w:rsid w:val="0003608F"/>
    <w:rsid w:val="000373E9"/>
    <w:rsid w:val="000403D5"/>
    <w:rsid w:val="00040A6F"/>
    <w:rsid w:val="00044179"/>
    <w:rsid w:val="00044916"/>
    <w:rsid w:val="00045444"/>
    <w:rsid w:val="000457A0"/>
    <w:rsid w:val="00051760"/>
    <w:rsid w:val="000554CD"/>
    <w:rsid w:val="00055561"/>
    <w:rsid w:val="000565A1"/>
    <w:rsid w:val="000568BD"/>
    <w:rsid w:val="0005740A"/>
    <w:rsid w:val="00060E7E"/>
    <w:rsid w:val="00061F65"/>
    <w:rsid w:val="000633F4"/>
    <w:rsid w:val="0006350E"/>
    <w:rsid w:val="00063874"/>
    <w:rsid w:val="00063A46"/>
    <w:rsid w:val="00063CC6"/>
    <w:rsid w:val="00065B5A"/>
    <w:rsid w:val="000667C2"/>
    <w:rsid w:val="00067DCC"/>
    <w:rsid w:val="00070ACB"/>
    <w:rsid w:val="00070BF0"/>
    <w:rsid w:val="000714A0"/>
    <w:rsid w:val="00076D57"/>
    <w:rsid w:val="0007717F"/>
    <w:rsid w:val="00077530"/>
    <w:rsid w:val="000802FD"/>
    <w:rsid w:val="00081D6E"/>
    <w:rsid w:val="00082580"/>
    <w:rsid w:val="00083A50"/>
    <w:rsid w:val="00083B00"/>
    <w:rsid w:val="00083C63"/>
    <w:rsid w:val="00084E8F"/>
    <w:rsid w:val="00085A90"/>
    <w:rsid w:val="00087193"/>
    <w:rsid w:val="00087F7B"/>
    <w:rsid w:val="0009029E"/>
    <w:rsid w:val="00090508"/>
    <w:rsid w:val="00090A6F"/>
    <w:rsid w:val="00091B0E"/>
    <w:rsid w:val="00093BE5"/>
    <w:rsid w:val="000958C3"/>
    <w:rsid w:val="00096466"/>
    <w:rsid w:val="000A1F58"/>
    <w:rsid w:val="000A31F9"/>
    <w:rsid w:val="000A5744"/>
    <w:rsid w:val="000A5E4D"/>
    <w:rsid w:val="000B3464"/>
    <w:rsid w:val="000B513A"/>
    <w:rsid w:val="000B5761"/>
    <w:rsid w:val="000B5C82"/>
    <w:rsid w:val="000B644E"/>
    <w:rsid w:val="000C50BC"/>
    <w:rsid w:val="000C5E8F"/>
    <w:rsid w:val="000C5F2F"/>
    <w:rsid w:val="000C656D"/>
    <w:rsid w:val="000D0276"/>
    <w:rsid w:val="000D0BC7"/>
    <w:rsid w:val="000E18BB"/>
    <w:rsid w:val="000E3728"/>
    <w:rsid w:val="000E438B"/>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3648"/>
    <w:rsid w:val="00104269"/>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0AC4"/>
    <w:rsid w:val="0014233D"/>
    <w:rsid w:val="00142487"/>
    <w:rsid w:val="001425FD"/>
    <w:rsid w:val="00142BBE"/>
    <w:rsid w:val="00143BEA"/>
    <w:rsid w:val="00144665"/>
    <w:rsid w:val="00145233"/>
    <w:rsid w:val="001500BB"/>
    <w:rsid w:val="00150BE7"/>
    <w:rsid w:val="00151EE9"/>
    <w:rsid w:val="00152DC3"/>
    <w:rsid w:val="00152F0F"/>
    <w:rsid w:val="0015578A"/>
    <w:rsid w:val="00156761"/>
    <w:rsid w:val="00157128"/>
    <w:rsid w:val="00162B35"/>
    <w:rsid w:val="001641D0"/>
    <w:rsid w:val="00164B05"/>
    <w:rsid w:val="00165D2C"/>
    <w:rsid w:val="00166273"/>
    <w:rsid w:val="00167914"/>
    <w:rsid w:val="00167B4F"/>
    <w:rsid w:val="001705F9"/>
    <w:rsid w:val="00171A7F"/>
    <w:rsid w:val="001722CC"/>
    <w:rsid w:val="00176958"/>
    <w:rsid w:val="001812E2"/>
    <w:rsid w:val="00181699"/>
    <w:rsid w:val="00182C09"/>
    <w:rsid w:val="00183634"/>
    <w:rsid w:val="00184093"/>
    <w:rsid w:val="0018427A"/>
    <w:rsid w:val="00184F9C"/>
    <w:rsid w:val="00186ABA"/>
    <w:rsid w:val="00190BFB"/>
    <w:rsid w:val="00191DA7"/>
    <w:rsid w:val="00191ED7"/>
    <w:rsid w:val="00192056"/>
    <w:rsid w:val="001940A4"/>
    <w:rsid w:val="001967D6"/>
    <w:rsid w:val="00197942"/>
    <w:rsid w:val="00197EE8"/>
    <w:rsid w:val="001A2D80"/>
    <w:rsid w:val="001A3E54"/>
    <w:rsid w:val="001A4390"/>
    <w:rsid w:val="001A4BF1"/>
    <w:rsid w:val="001A57A7"/>
    <w:rsid w:val="001A5C0B"/>
    <w:rsid w:val="001A79B6"/>
    <w:rsid w:val="001A7DCE"/>
    <w:rsid w:val="001B1217"/>
    <w:rsid w:val="001B2FBB"/>
    <w:rsid w:val="001B3DB4"/>
    <w:rsid w:val="001B40F8"/>
    <w:rsid w:val="001B64A1"/>
    <w:rsid w:val="001B7441"/>
    <w:rsid w:val="001B7812"/>
    <w:rsid w:val="001B7C3F"/>
    <w:rsid w:val="001C18E2"/>
    <w:rsid w:val="001C2312"/>
    <w:rsid w:val="001C6758"/>
    <w:rsid w:val="001D261F"/>
    <w:rsid w:val="001D2ED1"/>
    <w:rsid w:val="001D4F3B"/>
    <w:rsid w:val="001E2A87"/>
    <w:rsid w:val="001E649A"/>
    <w:rsid w:val="001E6954"/>
    <w:rsid w:val="001E7AC2"/>
    <w:rsid w:val="001F792E"/>
    <w:rsid w:val="001F7AEB"/>
    <w:rsid w:val="00202BF5"/>
    <w:rsid w:val="00203E4B"/>
    <w:rsid w:val="00204019"/>
    <w:rsid w:val="002040F5"/>
    <w:rsid w:val="00211471"/>
    <w:rsid w:val="002118F6"/>
    <w:rsid w:val="0021263E"/>
    <w:rsid w:val="00214451"/>
    <w:rsid w:val="002157E5"/>
    <w:rsid w:val="002203AB"/>
    <w:rsid w:val="00222C1F"/>
    <w:rsid w:val="00223F84"/>
    <w:rsid w:val="00224D2C"/>
    <w:rsid w:val="002309B5"/>
    <w:rsid w:val="002318AF"/>
    <w:rsid w:val="00235A03"/>
    <w:rsid w:val="00235CE8"/>
    <w:rsid w:val="00237E37"/>
    <w:rsid w:val="00237F24"/>
    <w:rsid w:val="00240BD1"/>
    <w:rsid w:val="00240E59"/>
    <w:rsid w:val="00241AA2"/>
    <w:rsid w:val="002424E5"/>
    <w:rsid w:val="00242BA5"/>
    <w:rsid w:val="00242E13"/>
    <w:rsid w:val="00245E71"/>
    <w:rsid w:val="00246DDB"/>
    <w:rsid w:val="00247189"/>
    <w:rsid w:val="00250F56"/>
    <w:rsid w:val="0025162E"/>
    <w:rsid w:val="00252183"/>
    <w:rsid w:val="0025254C"/>
    <w:rsid w:val="00255510"/>
    <w:rsid w:val="0026700C"/>
    <w:rsid w:val="00267758"/>
    <w:rsid w:val="0027269C"/>
    <w:rsid w:val="00275278"/>
    <w:rsid w:val="00277A8A"/>
    <w:rsid w:val="002806A5"/>
    <w:rsid w:val="00282709"/>
    <w:rsid w:val="00282C1A"/>
    <w:rsid w:val="00291691"/>
    <w:rsid w:val="002939B4"/>
    <w:rsid w:val="00295B2D"/>
    <w:rsid w:val="00296AA3"/>
    <w:rsid w:val="002A01D2"/>
    <w:rsid w:val="002A047F"/>
    <w:rsid w:val="002A133C"/>
    <w:rsid w:val="002A1B3D"/>
    <w:rsid w:val="002A3B78"/>
    <w:rsid w:val="002A3D43"/>
    <w:rsid w:val="002A71E8"/>
    <w:rsid w:val="002A7833"/>
    <w:rsid w:val="002A7F5F"/>
    <w:rsid w:val="002B0D5C"/>
    <w:rsid w:val="002B2E1D"/>
    <w:rsid w:val="002B6A1A"/>
    <w:rsid w:val="002B7219"/>
    <w:rsid w:val="002C052B"/>
    <w:rsid w:val="002C1384"/>
    <w:rsid w:val="002C1FA8"/>
    <w:rsid w:val="002C4EDD"/>
    <w:rsid w:val="002C60AD"/>
    <w:rsid w:val="002C74B0"/>
    <w:rsid w:val="002C7F45"/>
    <w:rsid w:val="002D1456"/>
    <w:rsid w:val="002D36DA"/>
    <w:rsid w:val="002D3F31"/>
    <w:rsid w:val="002D5902"/>
    <w:rsid w:val="002D5B51"/>
    <w:rsid w:val="002D6E4F"/>
    <w:rsid w:val="002D6EFF"/>
    <w:rsid w:val="002D76CF"/>
    <w:rsid w:val="002E51D6"/>
    <w:rsid w:val="002E52A1"/>
    <w:rsid w:val="002F2BCD"/>
    <w:rsid w:val="002F709A"/>
    <w:rsid w:val="003023FA"/>
    <w:rsid w:val="0030473E"/>
    <w:rsid w:val="003052E1"/>
    <w:rsid w:val="00305936"/>
    <w:rsid w:val="003076E0"/>
    <w:rsid w:val="003107C9"/>
    <w:rsid w:val="00311067"/>
    <w:rsid w:val="003129D9"/>
    <w:rsid w:val="00313916"/>
    <w:rsid w:val="003145A5"/>
    <w:rsid w:val="00314C36"/>
    <w:rsid w:val="003161CE"/>
    <w:rsid w:val="00317DF6"/>
    <w:rsid w:val="00321D6D"/>
    <w:rsid w:val="00323E29"/>
    <w:rsid w:val="0032625F"/>
    <w:rsid w:val="003262C7"/>
    <w:rsid w:val="00326ECB"/>
    <w:rsid w:val="00332387"/>
    <w:rsid w:val="003333AF"/>
    <w:rsid w:val="00335DE6"/>
    <w:rsid w:val="00342477"/>
    <w:rsid w:val="00343D04"/>
    <w:rsid w:val="00344D91"/>
    <w:rsid w:val="00347369"/>
    <w:rsid w:val="0035131C"/>
    <w:rsid w:val="00353AE0"/>
    <w:rsid w:val="00356A92"/>
    <w:rsid w:val="00357D61"/>
    <w:rsid w:val="00362478"/>
    <w:rsid w:val="0036347B"/>
    <w:rsid w:val="00363E3B"/>
    <w:rsid w:val="00371937"/>
    <w:rsid w:val="0037315D"/>
    <w:rsid w:val="00374D45"/>
    <w:rsid w:val="00377616"/>
    <w:rsid w:val="003804EA"/>
    <w:rsid w:val="00381BC0"/>
    <w:rsid w:val="00382F4F"/>
    <w:rsid w:val="00386864"/>
    <w:rsid w:val="00387003"/>
    <w:rsid w:val="0039064D"/>
    <w:rsid w:val="003908FA"/>
    <w:rsid w:val="00391982"/>
    <w:rsid w:val="0039324D"/>
    <w:rsid w:val="003962B1"/>
    <w:rsid w:val="003967B0"/>
    <w:rsid w:val="003A17E7"/>
    <w:rsid w:val="003A26AD"/>
    <w:rsid w:val="003A2DE3"/>
    <w:rsid w:val="003A3DBC"/>
    <w:rsid w:val="003A4370"/>
    <w:rsid w:val="003A5ECC"/>
    <w:rsid w:val="003A61DE"/>
    <w:rsid w:val="003A6634"/>
    <w:rsid w:val="003A738C"/>
    <w:rsid w:val="003B2E3D"/>
    <w:rsid w:val="003B4A6B"/>
    <w:rsid w:val="003B4D40"/>
    <w:rsid w:val="003B6680"/>
    <w:rsid w:val="003C0C12"/>
    <w:rsid w:val="003C1982"/>
    <w:rsid w:val="003C1EE8"/>
    <w:rsid w:val="003C5569"/>
    <w:rsid w:val="003C56E7"/>
    <w:rsid w:val="003D0725"/>
    <w:rsid w:val="003D26F4"/>
    <w:rsid w:val="003D3FEC"/>
    <w:rsid w:val="003D5E62"/>
    <w:rsid w:val="003D7851"/>
    <w:rsid w:val="003D7CE7"/>
    <w:rsid w:val="003E169C"/>
    <w:rsid w:val="003E248B"/>
    <w:rsid w:val="003E29F3"/>
    <w:rsid w:val="003E3750"/>
    <w:rsid w:val="003E4A55"/>
    <w:rsid w:val="003E7481"/>
    <w:rsid w:val="003F10C8"/>
    <w:rsid w:val="003F1975"/>
    <w:rsid w:val="003F208B"/>
    <w:rsid w:val="003F3961"/>
    <w:rsid w:val="003F3A03"/>
    <w:rsid w:val="003F409A"/>
    <w:rsid w:val="003F61C2"/>
    <w:rsid w:val="0040196D"/>
    <w:rsid w:val="0040199D"/>
    <w:rsid w:val="0040287B"/>
    <w:rsid w:val="004073B3"/>
    <w:rsid w:val="00410006"/>
    <w:rsid w:val="00410557"/>
    <w:rsid w:val="004140D9"/>
    <w:rsid w:val="00414CEC"/>
    <w:rsid w:val="004158B7"/>
    <w:rsid w:val="00415A60"/>
    <w:rsid w:val="004223B5"/>
    <w:rsid w:val="00424A0C"/>
    <w:rsid w:val="00425135"/>
    <w:rsid w:val="0043080F"/>
    <w:rsid w:val="00432A1F"/>
    <w:rsid w:val="004336EF"/>
    <w:rsid w:val="0043488A"/>
    <w:rsid w:val="00440F19"/>
    <w:rsid w:val="0044105B"/>
    <w:rsid w:val="00442316"/>
    <w:rsid w:val="00442E13"/>
    <w:rsid w:val="00447E3B"/>
    <w:rsid w:val="004506BE"/>
    <w:rsid w:val="00452790"/>
    <w:rsid w:val="004533D1"/>
    <w:rsid w:val="00455499"/>
    <w:rsid w:val="00455B73"/>
    <w:rsid w:val="00455C0C"/>
    <w:rsid w:val="00456406"/>
    <w:rsid w:val="004565C9"/>
    <w:rsid w:val="00457596"/>
    <w:rsid w:val="00462366"/>
    <w:rsid w:val="004629D5"/>
    <w:rsid w:val="00462C4D"/>
    <w:rsid w:val="004668C3"/>
    <w:rsid w:val="00470F61"/>
    <w:rsid w:val="004714A5"/>
    <w:rsid w:val="004714D5"/>
    <w:rsid w:val="004719CF"/>
    <w:rsid w:val="0047340A"/>
    <w:rsid w:val="00474B95"/>
    <w:rsid w:val="00475FC2"/>
    <w:rsid w:val="004808A5"/>
    <w:rsid w:val="00480CD1"/>
    <w:rsid w:val="004814D3"/>
    <w:rsid w:val="00482852"/>
    <w:rsid w:val="00482A9B"/>
    <w:rsid w:val="0048763F"/>
    <w:rsid w:val="00487A62"/>
    <w:rsid w:val="00491337"/>
    <w:rsid w:val="004920AA"/>
    <w:rsid w:val="0049223A"/>
    <w:rsid w:val="004923D4"/>
    <w:rsid w:val="00492496"/>
    <w:rsid w:val="00492A9F"/>
    <w:rsid w:val="00493BA3"/>
    <w:rsid w:val="00494271"/>
    <w:rsid w:val="004942F5"/>
    <w:rsid w:val="0049613F"/>
    <w:rsid w:val="0049694C"/>
    <w:rsid w:val="004A0313"/>
    <w:rsid w:val="004A20D7"/>
    <w:rsid w:val="004A65BD"/>
    <w:rsid w:val="004B03EC"/>
    <w:rsid w:val="004B276A"/>
    <w:rsid w:val="004B2FA4"/>
    <w:rsid w:val="004B3148"/>
    <w:rsid w:val="004B325E"/>
    <w:rsid w:val="004B44B8"/>
    <w:rsid w:val="004B4CFF"/>
    <w:rsid w:val="004B54E9"/>
    <w:rsid w:val="004B59D6"/>
    <w:rsid w:val="004B653C"/>
    <w:rsid w:val="004B6A92"/>
    <w:rsid w:val="004C0CD8"/>
    <w:rsid w:val="004C13E9"/>
    <w:rsid w:val="004C43A4"/>
    <w:rsid w:val="004C559B"/>
    <w:rsid w:val="004C7259"/>
    <w:rsid w:val="004C76CE"/>
    <w:rsid w:val="004D13C4"/>
    <w:rsid w:val="004D1741"/>
    <w:rsid w:val="004D20EE"/>
    <w:rsid w:val="004D2666"/>
    <w:rsid w:val="004D2E52"/>
    <w:rsid w:val="004D6AE4"/>
    <w:rsid w:val="004D7489"/>
    <w:rsid w:val="004D7840"/>
    <w:rsid w:val="004E04F7"/>
    <w:rsid w:val="004E19E9"/>
    <w:rsid w:val="004E1E50"/>
    <w:rsid w:val="004E23D9"/>
    <w:rsid w:val="004E3AF1"/>
    <w:rsid w:val="004E7288"/>
    <w:rsid w:val="004F009B"/>
    <w:rsid w:val="004F0706"/>
    <w:rsid w:val="004F207A"/>
    <w:rsid w:val="004F2904"/>
    <w:rsid w:val="004F401F"/>
    <w:rsid w:val="004F52CE"/>
    <w:rsid w:val="004F6AED"/>
    <w:rsid w:val="004F7002"/>
    <w:rsid w:val="005027B4"/>
    <w:rsid w:val="005027F0"/>
    <w:rsid w:val="00503995"/>
    <w:rsid w:val="00504773"/>
    <w:rsid w:val="00506383"/>
    <w:rsid w:val="005068BC"/>
    <w:rsid w:val="005127FE"/>
    <w:rsid w:val="00512EE4"/>
    <w:rsid w:val="00516D73"/>
    <w:rsid w:val="00520485"/>
    <w:rsid w:val="00520E6B"/>
    <w:rsid w:val="00522F6B"/>
    <w:rsid w:val="00523110"/>
    <w:rsid w:val="00523875"/>
    <w:rsid w:val="00524D62"/>
    <w:rsid w:val="00525721"/>
    <w:rsid w:val="005264DA"/>
    <w:rsid w:val="00526766"/>
    <w:rsid w:val="005268E0"/>
    <w:rsid w:val="00527DB2"/>
    <w:rsid w:val="005313CD"/>
    <w:rsid w:val="005335BB"/>
    <w:rsid w:val="00533650"/>
    <w:rsid w:val="00533F72"/>
    <w:rsid w:val="00536A57"/>
    <w:rsid w:val="00537979"/>
    <w:rsid w:val="005422E3"/>
    <w:rsid w:val="00542A0E"/>
    <w:rsid w:val="0054615B"/>
    <w:rsid w:val="00546194"/>
    <w:rsid w:val="005472A5"/>
    <w:rsid w:val="00550C78"/>
    <w:rsid w:val="00550DEC"/>
    <w:rsid w:val="00551DFD"/>
    <w:rsid w:val="00552952"/>
    <w:rsid w:val="00553E72"/>
    <w:rsid w:val="00556A44"/>
    <w:rsid w:val="0055746E"/>
    <w:rsid w:val="00560A87"/>
    <w:rsid w:val="00562685"/>
    <w:rsid w:val="00564CD3"/>
    <w:rsid w:val="0056541D"/>
    <w:rsid w:val="005654AC"/>
    <w:rsid w:val="00565C40"/>
    <w:rsid w:val="00565DA6"/>
    <w:rsid w:val="005670C9"/>
    <w:rsid w:val="00567462"/>
    <w:rsid w:val="00567CB4"/>
    <w:rsid w:val="00567D9E"/>
    <w:rsid w:val="00567F61"/>
    <w:rsid w:val="00571479"/>
    <w:rsid w:val="00573A32"/>
    <w:rsid w:val="005752A8"/>
    <w:rsid w:val="00575D97"/>
    <w:rsid w:val="00576019"/>
    <w:rsid w:val="005779AE"/>
    <w:rsid w:val="005821C1"/>
    <w:rsid w:val="005822A8"/>
    <w:rsid w:val="00582E12"/>
    <w:rsid w:val="0058466B"/>
    <w:rsid w:val="005856BC"/>
    <w:rsid w:val="0058588D"/>
    <w:rsid w:val="0059307E"/>
    <w:rsid w:val="0059545D"/>
    <w:rsid w:val="005A2E6F"/>
    <w:rsid w:val="005A6D6C"/>
    <w:rsid w:val="005A6ED8"/>
    <w:rsid w:val="005A7AAD"/>
    <w:rsid w:val="005B2C3C"/>
    <w:rsid w:val="005B3CB6"/>
    <w:rsid w:val="005B5439"/>
    <w:rsid w:val="005C028E"/>
    <w:rsid w:val="005C1A0D"/>
    <w:rsid w:val="005C2D90"/>
    <w:rsid w:val="005C46E9"/>
    <w:rsid w:val="005C4B09"/>
    <w:rsid w:val="005C5DA2"/>
    <w:rsid w:val="005D17C0"/>
    <w:rsid w:val="005D4530"/>
    <w:rsid w:val="005D64A0"/>
    <w:rsid w:val="005D6837"/>
    <w:rsid w:val="005D6C4C"/>
    <w:rsid w:val="005E287E"/>
    <w:rsid w:val="005E2D1E"/>
    <w:rsid w:val="005E3B88"/>
    <w:rsid w:val="005E4703"/>
    <w:rsid w:val="005E61F9"/>
    <w:rsid w:val="005E63F7"/>
    <w:rsid w:val="005E7CE3"/>
    <w:rsid w:val="005F0430"/>
    <w:rsid w:val="005F1E03"/>
    <w:rsid w:val="005F2F09"/>
    <w:rsid w:val="005F3BA5"/>
    <w:rsid w:val="005F50BA"/>
    <w:rsid w:val="005F589F"/>
    <w:rsid w:val="005F5B34"/>
    <w:rsid w:val="005F5C28"/>
    <w:rsid w:val="006008DC"/>
    <w:rsid w:val="00601FDC"/>
    <w:rsid w:val="00602D35"/>
    <w:rsid w:val="0060301F"/>
    <w:rsid w:val="00610B71"/>
    <w:rsid w:val="006126EC"/>
    <w:rsid w:val="00617EEA"/>
    <w:rsid w:val="0062450B"/>
    <w:rsid w:val="00624AF3"/>
    <w:rsid w:val="00626F2D"/>
    <w:rsid w:val="00626F33"/>
    <w:rsid w:val="006271F1"/>
    <w:rsid w:val="00627316"/>
    <w:rsid w:val="006273D5"/>
    <w:rsid w:val="00631F37"/>
    <w:rsid w:val="00632279"/>
    <w:rsid w:val="00635AC4"/>
    <w:rsid w:val="00636B84"/>
    <w:rsid w:val="00640DE1"/>
    <w:rsid w:val="0064157C"/>
    <w:rsid w:val="006416B8"/>
    <w:rsid w:val="00642AF3"/>
    <w:rsid w:val="00643180"/>
    <w:rsid w:val="006433CC"/>
    <w:rsid w:val="00643FA8"/>
    <w:rsid w:val="0064473F"/>
    <w:rsid w:val="00644CC2"/>
    <w:rsid w:val="00653689"/>
    <w:rsid w:val="00653904"/>
    <w:rsid w:val="00654ABD"/>
    <w:rsid w:val="0065606C"/>
    <w:rsid w:val="00664757"/>
    <w:rsid w:val="00664E7A"/>
    <w:rsid w:val="0066607A"/>
    <w:rsid w:val="006679B5"/>
    <w:rsid w:val="00667ED8"/>
    <w:rsid w:val="0067183E"/>
    <w:rsid w:val="00671DB1"/>
    <w:rsid w:val="00672440"/>
    <w:rsid w:val="00674B33"/>
    <w:rsid w:val="0067564A"/>
    <w:rsid w:val="00675684"/>
    <w:rsid w:val="00676119"/>
    <w:rsid w:val="0068287F"/>
    <w:rsid w:val="00683837"/>
    <w:rsid w:val="0069152F"/>
    <w:rsid w:val="00696D0B"/>
    <w:rsid w:val="006979F0"/>
    <w:rsid w:val="006A05A7"/>
    <w:rsid w:val="006A1BF7"/>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10E9"/>
    <w:rsid w:val="006C2254"/>
    <w:rsid w:val="006C425B"/>
    <w:rsid w:val="006C4D76"/>
    <w:rsid w:val="006C4F96"/>
    <w:rsid w:val="006C5037"/>
    <w:rsid w:val="006C59BD"/>
    <w:rsid w:val="006C7EDF"/>
    <w:rsid w:val="006D0081"/>
    <w:rsid w:val="006D0624"/>
    <w:rsid w:val="006D0751"/>
    <w:rsid w:val="006D2E8E"/>
    <w:rsid w:val="006D574F"/>
    <w:rsid w:val="006D61A3"/>
    <w:rsid w:val="006D7274"/>
    <w:rsid w:val="006D7649"/>
    <w:rsid w:val="006E5795"/>
    <w:rsid w:val="006E6B2E"/>
    <w:rsid w:val="006E7EC9"/>
    <w:rsid w:val="006F09DE"/>
    <w:rsid w:val="006F13FA"/>
    <w:rsid w:val="006F2F86"/>
    <w:rsid w:val="006F311E"/>
    <w:rsid w:val="006F39D6"/>
    <w:rsid w:val="006F4FF6"/>
    <w:rsid w:val="00703C57"/>
    <w:rsid w:val="00705C49"/>
    <w:rsid w:val="00710A14"/>
    <w:rsid w:val="00711502"/>
    <w:rsid w:val="00711627"/>
    <w:rsid w:val="00712509"/>
    <w:rsid w:val="0071327A"/>
    <w:rsid w:val="00717122"/>
    <w:rsid w:val="007172CA"/>
    <w:rsid w:val="00731723"/>
    <w:rsid w:val="00732BBD"/>
    <w:rsid w:val="0073333E"/>
    <w:rsid w:val="00734566"/>
    <w:rsid w:val="007355F3"/>
    <w:rsid w:val="00740175"/>
    <w:rsid w:val="00742B8F"/>
    <w:rsid w:val="0074334F"/>
    <w:rsid w:val="007433AC"/>
    <w:rsid w:val="00743F53"/>
    <w:rsid w:val="0074529C"/>
    <w:rsid w:val="0074600A"/>
    <w:rsid w:val="007534BD"/>
    <w:rsid w:val="00753789"/>
    <w:rsid w:val="0075396A"/>
    <w:rsid w:val="007559F3"/>
    <w:rsid w:val="007571F3"/>
    <w:rsid w:val="00760883"/>
    <w:rsid w:val="00764A07"/>
    <w:rsid w:val="00765FF6"/>
    <w:rsid w:val="007662F5"/>
    <w:rsid w:val="007675EA"/>
    <w:rsid w:val="00767CC2"/>
    <w:rsid w:val="007715AA"/>
    <w:rsid w:val="007729B5"/>
    <w:rsid w:val="00772AF0"/>
    <w:rsid w:val="0077360B"/>
    <w:rsid w:val="0077366C"/>
    <w:rsid w:val="007737FB"/>
    <w:rsid w:val="00774E2F"/>
    <w:rsid w:val="00775421"/>
    <w:rsid w:val="00776D56"/>
    <w:rsid w:val="00780475"/>
    <w:rsid w:val="007809A4"/>
    <w:rsid w:val="00781FC8"/>
    <w:rsid w:val="00782C46"/>
    <w:rsid w:val="007841EB"/>
    <w:rsid w:val="00784D7A"/>
    <w:rsid w:val="0079002E"/>
    <w:rsid w:val="00790D3F"/>
    <w:rsid w:val="007945B6"/>
    <w:rsid w:val="007967C1"/>
    <w:rsid w:val="007A0A96"/>
    <w:rsid w:val="007B135F"/>
    <w:rsid w:val="007B1B69"/>
    <w:rsid w:val="007B4384"/>
    <w:rsid w:val="007B5F58"/>
    <w:rsid w:val="007C0882"/>
    <w:rsid w:val="007C1043"/>
    <w:rsid w:val="007C4BE1"/>
    <w:rsid w:val="007C57B7"/>
    <w:rsid w:val="007D419F"/>
    <w:rsid w:val="007D6F29"/>
    <w:rsid w:val="007D735A"/>
    <w:rsid w:val="007E3A9C"/>
    <w:rsid w:val="007E4C54"/>
    <w:rsid w:val="007E5D8C"/>
    <w:rsid w:val="007F0584"/>
    <w:rsid w:val="007F11B8"/>
    <w:rsid w:val="007F3ADC"/>
    <w:rsid w:val="007F3EEA"/>
    <w:rsid w:val="007F776F"/>
    <w:rsid w:val="0080028E"/>
    <w:rsid w:val="008012B4"/>
    <w:rsid w:val="00801A03"/>
    <w:rsid w:val="00802845"/>
    <w:rsid w:val="00802CB7"/>
    <w:rsid w:val="00803299"/>
    <w:rsid w:val="00804F6D"/>
    <w:rsid w:val="00805068"/>
    <w:rsid w:val="00811EE1"/>
    <w:rsid w:val="008165EA"/>
    <w:rsid w:val="00816907"/>
    <w:rsid w:val="00816CF0"/>
    <w:rsid w:val="0081790A"/>
    <w:rsid w:val="008201BA"/>
    <w:rsid w:val="008213A0"/>
    <w:rsid w:val="00821CF3"/>
    <w:rsid w:val="00822E96"/>
    <w:rsid w:val="00823DE0"/>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2630"/>
    <w:rsid w:val="00863780"/>
    <w:rsid w:val="008657EC"/>
    <w:rsid w:val="00865910"/>
    <w:rsid w:val="00867369"/>
    <w:rsid w:val="00870DBE"/>
    <w:rsid w:val="0087109B"/>
    <w:rsid w:val="008718D8"/>
    <w:rsid w:val="00873818"/>
    <w:rsid w:val="00873F7F"/>
    <w:rsid w:val="00874239"/>
    <w:rsid w:val="00877A6D"/>
    <w:rsid w:val="00882006"/>
    <w:rsid w:val="00884630"/>
    <w:rsid w:val="00884EC1"/>
    <w:rsid w:val="00885BC5"/>
    <w:rsid w:val="00886903"/>
    <w:rsid w:val="00890F00"/>
    <w:rsid w:val="00891373"/>
    <w:rsid w:val="0089283A"/>
    <w:rsid w:val="00895BE2"/>
    <w:rsid w:val="0089696C"/>
    <w:rsid w:val="00897A46"/>
    <w:rsid w:val="008A06A1"/>
    <w:rsid w:val="008A1089"/>
    <w:rsid w:val="008A12DA"/>
    <w:rsid w:val="008A5DB2"/>
    <w:rsid w:val="008A6EC4"/>
    <w:rsid w:val="008A7249"/>
    <w:rsid w:val="008B1A1A"/>
    <w:rsid w:val="008B1FF2"/>
    <w:rsid w:val="008B231B"/>
    <w:rsid w:val="008B4BFE"/>
    <w:rsid w:val="008B6395"/>
    <w:rsid w:val="008B691B"/>
    <w:rsid w:val="008B7C13"/>
    <w:rsid w:val="008C255E"/>
    <w:rsid w:val="008C3D5E"/>
    <w:rsid w:val="008D4FC7"/>
    <w:rsid w:val="008D59A1"/>
    <w:rsid w:val="008E0178"/>
    <w:rsid w:val="008E0994"/>
    <w:rsid w:val="008E35F9"/>
    <w:rsid w:val="008E42C5"/>
    <w:rsid w:val="008E6DA5"/>
    <w:rsid w:val="008F0B49"/>
    <w:rsid w:val="008F16CD"/>
    <w:rsid w:val="008F3574"/>
    <w:rsid w:val="008F4EA3"/>
    <w:rsid w:val="009036E4"/>
    <w:rsid w:val="00904A3E"/>
    <w:rsid w:val="00904B95"/>
    <w:rsid w:val="009050AC"/>
    <w:rsid w:val="00906D82"/>
    <w:rsid w:val="009078EE"/>
    <w:rsid w:val="00907A65"/>
    <w:rsid w:val="00910497"/>
    <w:rsid w:val="00912BFA"/>
    <w:rsid w:val="00913362"/>
    <w:rsid w:val="00916593"/>
    <w:rsid w:val="00916DBA"/>
    <w:rsid w:val="009215B7"/>
    <w:rsid w:val="00921CE2"/>
    <w:rsid w:val="00922EF8"/>
    <w:rsid w:val="009242EA"/>
    <w:rsid w:val="00924381"/>
    <w:rsid w:val="0093045C"/>
    <w:rsid w:val="009314BE"/>
    <w:rsid w:val="00932281"/>
    <w:rsid w:val="00934443"/>
    <w:rsid w:val="00934D2C"/>
    <w:rsid w:val="00935407"/>
    <w:rsid w:val="009402A5"/>
    <w:rsid w:val="009406CA"/>
    <w:rsid w:val="00941494"/>
    <w:rsid w:val="00941728"/>
    <w:rsid w:val="009422D4"/>
    <w:rsid w:val="009450E7"/>
    <w:rsid w:val="00945106"/>
    <w:rsid w:val="009457DA"/>
    <w:rsid w:val="00945BA6"/>
    <w:rsid w:val="0095041C"/>
    <w:rsid w:val="00952BD6"/>
    <w:rsid w:val="00952EAE"/>
    <w:rsid w:val="009535A7"/>
    <w:rsid w:val="00953A46"/>
    <w:rsid w:val="0095529C"/>
    <w:rsid w:val="0096111A"/>
    <w:rsid w:val="00964E49"/>
    <w:rsid w:val="00967C28"/>
    <w:rsid w:val="00974A56"/>
    <w:rsid w:val="00976D34"/>
    <w:rsid w:val="00976D66"/>
    <w:rsid w:val="009779C3"/>
    <w:rsid w:val="009813BF"/>
    <w:rsid w:val="009862E9"/>
    <w:rsid w:val="00986A33"/>
    <w:rsid w:val="00991F79"/>
    <w:rsid w:val="00992658"/>
    <w:rsid w:val="009966D6"/>
    <w:rsid w:val="00996906"/>
    <w:rsid w:val="00997435"/>
    <w:rsid w:val="0099797C"/>
    <w:rsid w:val="009A550B"/>
    <w:rsid w:val="009A58AB"/>
    <w:rsid w:val="009A5B98"/>
    <w:rsid w:val="009A5C95"/>
    <w:rsid w:val="009A67AF"/>
    <w:rsid w:val="009A6C69"/>
    <w:rsid w:val="009A6CCE"/>
    <w:rsid w:val="009B293C"/>
    <w:rsid w:val="009B3A1B"/>
    <w:rsid w:val="009B472A"/>
    <w:rsid w:val="009B55CD"/>
    <w:rsid w:val="009C0F45"/>
    <w:rsid w:val="009C187A"/>
    <w:rsid w:val="009C20D0"/>
    <w:rsid w:val="009C2F06"/>
    <w:rsid w:val="009C64EC"/>
    <w:rsid w:val="009D05C1"/>
    <w:rsid w:val="009D15B0"/>
    <w:rsid w:val="009D2E2C"/>
    <w:rsid w:val="009D3FDD"/>
    <w:rsid w:val="009D55A7"/>
    <w:rsid w:val="009D62CB"/>
    <w:rsid w:val="009D6332"/>
    <w:rsid w:val="009D6F4A"/>
    <w:rsid w:val="009D79CD"/>
    <w:rsid w:val="009D7FA0"/>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36B3"/>
    <w:rsid w:val="00A144A5"/>
    <w:rsid w:val="00A15BB3"/>
    <w:rsid w:val="00A16D60"/>
    <w:rsid w:val="00A24107"/>
    <w:rsid w:val="00A24A10"/>
    <w:rsid w:val="00A262B8"/>
    <w:rsid w:val="00A270B9"/>
    <w:rsid w:val="00A27792"/>
    <w:rsid w:val="00A30A00"/>
    <w:rsid w:val="00A32526"/>
    <w:rsid w:val="00A3567A"/>
    <w:rsid w:val="00A3648F"/>
    <w:rsid w:val="00A41AB8"/>
    <w:rsid w:val="00A423C8"/>
    <w:rsid w:val="00A42B52"/>
    <w:rsid w:val="00A52BC4"/>
    <w:rsid w:val="00A5314E"/>
    <w:rsid w:val="00A54F3D"/>
    <w:rsid w:val="00A6203F"/>
    <w:rsid w:val="00A653BB"/>
    <w:rsid w:val="00A65574"/>
    <w:rsid w:val="00A677A4"/>
    <w:rsid w:val="00A70728"/>
    <w:rsid w:val="00A73492"/>
    <w:rsid w:val="00A74CBD"/>
    <w:rsid w:val="00A75E22"/>
    <w:rsid w:val="00A76206"/>
    <w:rsid w:val="00A80295"/>
    <w:rsid w:val="00A80F35"/>
    <w:rsid w:val="00A83E9B"/>
    <w:rsid w:val="00A85F54"/>
    <w:rsid w:val="00A93100"/>
    <w:rsid w:val="00A93989"/>
    <w:rsid w:val="00A97852"/>
    <w:rsid w:val="00AA1E6B"/>
    <w:rsid w:val="00AA2031"/>
    <w:rsid w:val="00AA2955"/>
    <w:rsid w:val="00AA407F"/>
    <w:rsid w:val="00AA4A42"/>
    <w:rsid w:val="00AA67B7"/>
    <w:rsid w:val="00AB22E0"/>
    <w:rsid w:val="00AB3FDB"/>
    <w:rsid w:val="00AB431D"/>
    <w:rsid w:val="00AB49FC"/>
    <w:rsid w:val="00AB4F81"/>
    <w:rsid w:val="00AB7DCC"/>
    <w:rsid w:val="00AC01DB"/>
    <w:rsid w:val="00AC106B"/>
    <w:rsid w:val="00AC3C53"/>
    <w:rsid w:val="00AC5F56"/>
    <w:rsid w:val="00AC65C2"/>
    <w:rsid w:val="00AC7870"/>
    <w:rsid w:val="00AD1DD9"/>
    <w:rsid w:val="00AD55AC"/>
    <w:rsid w:val="00AD7569"/>
    <w:rsid w:val="00AE09D4"/>
    <w:rsid w:val="00AE2C51"/>
    <w:rsid w:val="00AE33B7"/>
    <w:rsid w:val="00AE4374"/>
    <w:rsid w:val="00AE47A4"/>
    <w:rsid w:val="00AF2026"/>
    <w:rsid w:val="00AF2BB5"/>
    <w:rsid w:val="00AF3221"/>
    <w:rsid w:val="00AF3746"/>
    <w:rsid w:val="00AF4E8C"/>
    <w:rsid w:val="00AF514D"/>
    <w:rsid w:val="00AF7CDE"/>
    <w:rsid w:val="00B00E2E"/>
    <w:rsid w:val="00B018BE"/>
    <w:rsid w:val="00B02D4F"/>
    <w:rsid w:val="00B0308E"/>
    <w:rsid w:val="00B0508A"/>
    <w:rsid w:val="00B0575F"/>
    <w:rsid w:val="00B0722C"/>
    <w:rsid w:val="00B072FD"/>
    <w:rsid w:val="00B10F3E"/>
    <w:rsid w:val="00B116E7"/>
    <w:rsid w:val="00B1389C"/>
    <w:rsid w:val="00B235ED"/>
    <w:rsid w:val="00B24F71"/>
    <w:rsid w:val="00B251A2"/>
    <w:rsid w:val="00B259FF"/>
    <w:rsid w:val="00B25A6D"/>
    <w:rsid w:val="00B2605C"/>
    <w:rsid w:val="00B269B5"/>
    <w:rsid w:val="00B26BA7"/>
    <w:rsid w:val="00B27705"/>
    <w:rsid w:val="00B30435"/>
    <w:rsid w:val="00B314C5"/>
    <w:rsid w:val="00B317D1"/>
    <w:rsid w:val="00B331CF"/>
    <w:rsid w:val="00B347A2"/>
    <w:rsid w:val="00B355DA"/>
    <w:rsid w:val="00B35B8F"/>
    <w:rsid w:val="00B412B5"/>
    <w:rsid w:val="00B421E5"/>
    <w:rsid w:val="00B426EF"/>
    <w:rsid w:val="00B4425C"/>
    <w:rsid w:val="00B474C7"/>
    <w:rsid w:val="00B527DA"/>
    <w:rsid w:val="00B541D3"/>
    <w:rsid w:val="00B54516"/>
    <w:rsid w:val="00B5516C"/>
    <w:rsid w:val="00B5621E"/>
    <w:rsid w:val="00B56E85"/>
    <w:rsid w:val="00B57015"/>
    <w:rsid w:val="00B627D0"/>
    <w:rsid w:val="00B6456B"/>
    <w:rsid w:val="00B64A90"/>
    <w:rsid w:val="00B657AC"/>
    <w:rsid w:val="00B664BE"/>
    <w:rsid w:val="00B703D9"/>
    <w:rsid w:val="00B705F1"/>
    <w:rsid w:val="00B71517"/>
    <w:rsid w:val="00B719E8"/>
    <w:rsid w:val="00B72BF0"/>
    <w:rsid w:val="00B730A9"/>
    <w:rsid w:val="00B75B52"/>
    <w:rsid w:val="00B80537"/>
    <w:rsid w:val="00B81785"/>
    <w:rsid w:val="00B82959"/>
    <w:rsid w:val="00B84141"/>
    <w:rsid w:val="00B84645"/>
    <w:rsid w:val="00B85C61"/>
    <w:rsid w:val="00B917D9"/>
    <w:rsid w:val="00B94B8B"/>
    <w:rsid w:val="00B959B6"/>
    <w:rsid w:val="00BA1623"/>
    <w:rsid w:val="00BA3F3A"/>
    <w:rsid w:val="00BA45EF"/>
    <w:rsid w:val="00BA5607"/>
    <w:rsid w:val="00BB2D98"/>
    <w:rsid w:val="00BB2FE6"/>
    <w:rsid w:val="00BB64AF"/>
    <w:rsid w:val="00BC285D"/>
    <w:rsid w:val="00BC37E4"/>
    <w:rsid w:val="00BC44A2"/>
    <w:rsid w:val="00BC6582"/>
    <w:rsid w:val="00BD038E"/>
    <w:rsid w:val="00BD1760"/>
    <w:rsid w:val="00BD272F"/>
    <w:rsid w:val="00BD2DA7"/>
    <w:rsid w:val="00BE03CD"/>
    <w:rsid w:val="00BE0542"/>
    <w:rsid w:val="00BE326D"/>
    <w:rsid w:val="00BE4E3D"/>
    <w:rsid w:val="00BE5E61"/>
    <w:rsid w:val="00BE7E9E"/>
    <w:rsid w:val="00BF2329"/>
    <w:rsid w:val="00BF2714"/>
    <w:rsid w:val="00BF278F"/>
    <w:rsid w:val="00BF2A9F"/>
    <w:rsid w:val="00BF5D15"/>
    <w:rsid w:val="00BF7208"/>
    <w:rsid w:val="00C003A4"/>
    <w:rsid w:val="00C018C9"/>
    <w:rsid w:val="00C03C44"/>
    <w:rsid w:val="00C054C7"/>
    <w:rsid w:val="00C0767E"/>
    <w:rsid w:val="00C078B0"/>
    <w:rsid w:val="00C100A3"/>
    <w:rsid w:val="00C10164"/>
    <w:rsid w:val="00C15DC5"/>
    <w:rsid w:val="00C16784"/>
    <w:rsid w:val="00C16A2C"/>
    <w:rsid w:val="00C20CD3"/>
    <w:rsid w:val="00C23E2C"/>
    <w:rsid w:val="00C23EC6"/>
    <w:rsid w:val="00C2637F"/>
    <w:rsid w:val="00C3021A"/>
    <w:rsid w:val="00C307D6"/>
    <w:rsid w:val="00C30B4B"/>
    <w:rsid w:val="00C31799"/>
    <w:rsid w:val="00C3290A"/>
    <w:rsid w:val="00C345B5"/>
    <w:rsid w:val="00C360F6"/>
    <w:rsid w:val="00C36EEA"/>
    <w:rsid w:val="00C371D5"/>
    <w:rsid w:val="00C37396"/>
    <w:rsid w:val="00C41406"/>
    <w:rsid w:val="00C43F05"/>
    <w:rsid w:val="00C43FC2"/>
    <w:rsid w:val="00C446D0"/>
    <w:rsid w:val="00C4516C"/>
    <w:rsid w:val="00C4655D"/>
    <w:rsid w:val="00C50694"/>
    <w:rsid w:val="00C508E4"/>
    <w:rsid w:val="00C52C02"/>
    <w:rsid w:val="00C53EF3"/>
    <w:rsid w:val="00C5468E"/>
    <w:rsid w:val="00C54E4F"/>
    <w:rsid w:val="00C62834"/>
    <w:rsid w:val="00C63391"/>
    <w:rsid w:val="00C63576"/>
    <w:rsid w:val="00C63E3B"/>
    <w:rsid w:val="00C64B4D"/>
    <w:rsid w:val="00C653A2"/>
    <w:rsid w:val="00C66ECB"/>
    <w:rsid w:val="00C70AC4"/>
    <w:rsid w:val="00C70C3B"/>
    <w:rsid w:val="00C7241B"/>
    <w:rsid w:val="00C73005"/>
    <w:rsid w:val="00C73C46"/>
    <w:rsid w:val="00C746FA"/>
    <w:rsid w:val="00C74D21"/>
    <w:rsid w:val="00C82982"/>
    <w:rsid w:val="00C84339"/>
    <w:rsid w:val="00C846DB"/>
    <w:rsid w:val="00C84C56"/>
    <w:rsid w:val="00C85478"/>
    <w:rsid w:val="00C86118"/>
    <w:rsid w:val="00C86188"/>
    <w:rsid w:val="00C86AAC"/>
    <w:rsid w:val="00C87130"/>
    <w:rsid w:val="00C953FB"/>
    <w:rsid w:val="00CA08D7"/>
    <w:rsid w:val="00CA2544"/>
    <w:rsid w:val="00CA2B37"/>
    <w:rsid w:val="00CA3008"/>
    <w:rsid w:val="00CA5106"/>
    <w:rsid w:val="00CA73E8"/>
    <w:rsid w:val="00CB0F42"/>
    <w:rsid w:val="00CB3D3E"/>
    <w:rsid w:val="00CB55CF"/>
    <w:rsid w:val="00CB5A04"/>
    <w:rsid w:val="00CC224C"/>
    <w:rsid w:val="00CC2B0C"/>
    <w:rsid w:val="00CC4686"/>
    <w:rsid w:val="00CC71B4"/>
    <w:rsid w:val="00CD1620"/>
    <w:rsid w:val="00CD2A0D"/>
    <w:rsid w:val="00CD4579"/>
    <w:rsid w:val="00CD477E"/>
    <w:rsid w:val="00CD6909"/>
    <w:rsid w:val="00CE1EAA"/>
    <w:rsid w:val="00CE47FD"/>
    <w:rsid w:val="00CE4FC8"/>
    <w:rsid w:val="00CE6A40"/>
    <w:rsid w:val="00CE6C5B"/>
    <w:rsid w:val="00CF1B4D"/>
    <w:rsid w:val="00CF3CEB"/>
    <w:rsid w:val="00CF5F3A"/>
    <w:rsid w:val="00CF6280"/>
    <w:rsid w:val="00D00B95"/>
    <w:rsid w:val="00D039F0"/>
    <w:rsid w:val="00D0472A"/>
    <w:rsid w:val="00D049E9"/>
    <w:rsid w:val="00D059A8"/>
    <w:rsid w:val="00D05F1A"/>
    <w:rsid w:val="00D11BA0"/>
    <w:rsid w:val="00D12BB6"/>
    <w:rsid w:val="00D13563"/>
    <w:rsid w:val="00D13C3D"/>
    <w:rsid w:val="00D162E1"/>
    <w:rsid w:val="00D21CC4"/>
    <w:rsid w:val="00D21E95"/>
    <w:rsid w:val="00D22C1E"/>
    <w:rsid w:val="00D27E80"/>
    <w:rsid w:val="00D31746"/>
    <w:rsid w:val="00D323FD"/>
    <w:rsid w:val="00D3384A"/>
    <w:rsid w:val="00D346A9"/>
    <w:rsid w:val="00D347F3"/>
    <w:rsid w:val="00D3598B"/>
    <w:rsid w:val="00D40381"/>
    <w:rsid w:val="00D40765"/>
    <w:rsid w:val="00D411E6"/>
    <w:rsid w:val="00D44153"/>
    <w:rsid w:val="00D443FF"/>
    <w:rsid w:val="00D4672F"/>
    <w:rsid w:val="00D46FDF"/>
    <w:rsid w:val="00D514A5"/>
    <w:rsid w:val="00D52307"/>
    <w:rsid w:val="00D57F45"/>
    <w:rsid w:val="00D658E6"/>
    <w:rsid w:val="00D7004A"/>
    <w:rsid w:val="00D70462"/>
    <w:rsid w:val="00D725E7"/>
    <w:rsid w:val="00D727F0"/>
    <w:rsid w:val="00D749EE"/>
    <w:rsid w:val="00D753B1"/>
    <w:rsid w:val="00D75C3F"/>
    <w:rsid w:val="00D76320"/>
    <w:rsid w:val="00D77C39"/>
    <w:rsid w:val="00D81308"/>
    <w:rsid w:val="00D8279D"/>
    <w:rsid w:val="00D82E7A"/>
    <w:rsid w:val="00D8504A"/>
    <w:rsid w:val="00D866A6"/>
    <w:rsid w:val="00D87B29"/>
    <w:rsid w:val="00D94305"/>
    <w:rsid w:val="00D945A7"/>
    <w:rsid w:val="00D9649C"/>
    <w:rsid w:val="00DA16AE"/>
    <w:rsid w:val="00DA6EC7"/>
    <w:rsid w:val="00DA7FA8"/>
    <w:rsid w:val="00DB03AF"/>
    <w:rsid w:val="00DB1758"/>
    <w:rsid w:val="00DB2FA7"/>
    <w:rsid w:val="00DB64E6"/>
    <w:rsid w:val="00DC00ED"/>
    <w:rsid w:val="00DC08D5"/>
    <w:rsid w:val="00DC14D8"/>
    <w:rsid w:val="00DC1EB4"/>
    <w:rsid w:val="00DC1FE5"/>
    <w:rsid w:val="00DC5A17"/>
    <w:rsid w:val="00DC639E"/>
    <w:rsid w:val="00DC7D1C"/>
    <w:rsid w:val="00DD0A6A"/>
    <w:rsid w:val="00DD4CDB"/>
    <w:rsid w:val="00DD54F8"/>
    <w:rsid w:val="00DD6A35"/>
    <w:rsid w:val="00DD7C5E"/>
    <w:rsid w:val="00DE02C2"/>
    <w:rsid w:val="00DE3145"/>
    <w:rsid w:val="00DE534F"/>
    <w:rsid w:val="00DE68D4"/>
    <w:rsid w:val="00DE7148"/>
    <w:rsid w:val="00DF0AA5"/>
    <w:rsid w:val="00DF100E"/>
    <w:rsid w:val="00DF64A7"/>
    <w:rsid w:val="00DF6DB3"/>
    <w:rsid w:val="00DF7366"/>
    <w:rsid w:val="00DF7CA7"/>
    <w:rsid w:val="00E00C93"/>
    <w:rsid w:val="00E02E3F"/>
    <w:rsid w:val="00E02EBD"/>
    <w:rsid w:val="00E0415A"/>
    <w:rsid w:val="00E11CBA"/>
    <w:rsid w:val="00E1473C"/>
    <w:rsid w:val="00E1571C"/>
    <w:rsid w:val="00E15924"/>
    <w:rsid w:val="00E17B79"/>
    <w:rsid w:val="00E22694"/>
    <w:rsid w:val="00E22970"/>
    <w:rsid w:val="00E22EA6"/>
    <w:rsid w:val="00E260CE"/>
    <w:rsid w:val="00E26F3E"/>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54C5B"/>
    <w:rsid w:val="00E6177C"/>
    <w:rsid w:val="00E66266"/>
    <w:rsid w:val="00E70071"/>
    <w:rsid w:val="00E71DB2"/>
    <w:rsid w:val="00E750F1"/>
    <w:rsid w:val="00E75506"/>
    <w:rsid w:val="00E80852"/>
    <w:rsid w:val="00E822A7"/>
    <w:rsid w:val="00E83CCB"/>
    <w:rsid w:val="00E86DC6"/>
    <w:rsid w:val="00E87146"/>
    <w:rsid w:val="00E90610"/>
    <w:rsid w:val="00E918D2"/>
    <w:rsid w:val="00E91C6E"/>
    <w:rsid w:val="00E92645"/>
    <w:rsid w:val="00E928CB"/>
    <w:rsid w:val="00E93248"/>
    <w:rsid w:val="00EA2C2C"/>
    <w:rsid w:val="00EA35D2"/>
    <w:rsid w:val="00EA3BC2"/>
    <w:rsid w:val="00EA4000"/>
    <w:rsid w:val="00EA4F59"/>
    <w:rsid w:val="00EB0325"/>
    <w:rsid w:val="00EB03F0"/>
    <w:rsid w:val="00EB07C7"/>
    <w:rsid w:val="00EB271D"/>
    <w:rsid w:val="00EB5561"/>
    <w:rsid w:val="00EC07FA"/>
    <w:rsid w:val="00EC152B"/>
    <w:rsid w:val="00EC68A5"/>
    <w:rsid w:val="00EC7F75"/>
    <w:rsid w:val="00ED1BD9"/>
    <w:rsid w:val="00ED27AA"/>
    <w:rsid w:val="00ED4CA9"/>
    <w:rsid w:val="00EE14AE"/>
    <w:rsid w:val="00EE425E"/>
    <w:rsid w:val="00EE58C6"/>
    <w:rsid w:val="00EF24B9"/>
    <w:rsid w:val="00EF40AB"/>
    <w:rsid w:val="00EF5435"/>
    <w:rsid w:val="00EF5A56"/>
    <w:rsid w:val="00EF6749"/>
    <w:rsid w:val="00F002E1"/>
    <w:rsid w:val="00F00B5C"/>
    <w:rsid w:val="00F03828"/>
    <w:rsid w:val="00F04B76"/>
    <w:rsid w:val="00F06716"/>
    <w:rsid w:val="00F0728E"/>
    <w:rsid w:val="00F0755C"/>
    <w:rsid w:val="00F1025B"/>
    <w:rsid w:val="00F104E1"/>
    <w:rsid w:val="00F10C71"/>
    <w:rsid w:val="00F11BD4"/>
    <w:rsid w:val="00F12194"/>
    <w:rsid w:val="00F127D0"/>
    <w:rsid w:val="00F12DBC"/>
    <w:rsid w:val="00F139B0"/>
    <w:rsid w:val="00F14630"/>
    <w:rsid w:val="00F15795"/>
    <w:rsid w:val="00F1774F"/>
    <w:rsid w:val="00F22B4D"/>
    <w:rsid w:val="00F23E66"/>
    <w:rsid w:val="00F24689"/>
    <w:rsid w:val="00F2506E"/>
    <w:rsid w:val="00F25976"/>
    <w:rsid w:val="00F2609C"/>
    <w:rsid w:val="00F303F9"/>
    <w:rsid w:val="00F37A07"/>
    <w:rsid w:val="00F42EEF"/>
    <w:rsid w:val="00F44285"/>
    <w:rsid w:val="00F45171"/>
    <w:rsid w:val="00F476B3"/>
    <w:rsid w:val="00F47A33"/>
    <w:rsid w:val="00F47A48"/>
    <w:rsid w:val="00F51AA8"/>
    <w:rsid w:val="00F5460C"/>
    <w:rsid w:val="00F548A8"/>
    <w:rsid w:val="00F55406"/>
    <w:rsid w:val="00F55759"/>
    <w:rsid w:val="00F6039B"/>
    <w:rsid w:val="00F65EED"/>
    <w:rsid w:val="00F703C2"/>
    <w:rsid w:val="00F71FBE"/>
    <w:rsid w:val="00F73486"/>
    <w:rsid w:val="00F74180"/>
    <w:rsid w:val="00F76512"/>
    <w:rsid w:val="00F77164"/>
    <w:rsid w:val="00F775FB"/>
    <w:rsid w:val="00F80652"/>
    <w:rsid w:val="00F81367"/>
    <w:rsid w:val="00F838AC"/>
    <w:rsid w:val="00F83F69"/>
    <w:rsid w:val="00F8494E"/>
    <w:rsid w:val="00F8531C"/>
    <w:rsid w:val="00F87D02"/>
    <w:rsid w:val="00F9117D"/>
    <w:rsid w:val="00F912DD"/>
    <w:rsid w:val="00F94EB2"/>
    <w:rsid w:val="00F97F2E"/>
    <w:rsid w:val="00FA0FA6"/>
    <w:rsid w:val="00FA0FFF"/>
    <w:rsid w:val="00FA33ED"/>
    <w:rsid w:val="00FA410E"/>
    <w:rsid w:val="00FA5149"/>
    <w:rsid w:val="00FA688E"/>
    <w:rsid w:val="00FB17A2"/>
    <w:rsid w:val="00FB1807"/>
    <w:rsid w:val="00FB2B02"/>
    <w:rsid w:val="00FB3EC4"/>
    <w:rsid w:val="00FB4311"/>
    <w:rsid w:val="00FB43DA"/>
    <w:rsid w:val="00FB5A3B"/>
    <w:rsid w:val="00FB73D8"/>
    <w:rsid w:val="00FC0E7E"/>
    <w:rsid w:val="00FC1107"/>
    <w:rsid w:val="00FC19AC"/>
    <w:rsid w:val="00FC2DFF"/>
    <w:rsid w:val="00FC30EB"/>
    <w:rsid w:val="00FC382A"/>
    <w:rsid w:val="00FC3C8C"/>
    <w:rsid w:val="00FC5034"/>
    <w:rsid w:val="00FC5619"/>
    <w:rsid w:val="00FC786E"/>
    <w:rsid w:val="00FC7A92"/>
    <w:rsid w:val="00FE03EB"/>
    <w:rsid w:val="00FE125F"/>
    <w:rsid w:val="00FE4AA6"/>
    <w:rsid w:val="00FE508F"/>
    <w:rsid w:val="00FF064B"/>
    <w:rsid w:val="00FF1A62"/>
    <w:rsid w:val="00FF24FC"/>
    <w:rsid w:val="00FF28D2"/>
    <w:rsid w:val="00FF291E"/>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Style179"/>
    <w:uiPriority w:val="99"/>
    <w:rsid w:val="006C10E9"/>
    <w:rPr>
      <w:color w:val="808080"/>
    </w:rPr>
  </w:style>
  <w:style w:type="paragraph" w:customStyle="1" w:styleId="Style179">
    <w:name w:val="_Style 179"/>
    <w:basedOn w:val="a"/>
    <w:link w:val="a3"/>
    <w:uiPriority w:val="99"/>
    <w:unhideWhenUsed/>
    <w:qFormat/>
    <w:rsid w:val="006C10E9"/>
    <w:pPr>
      <w:tabs>
        <w:tab w:val="center" w:pos="4153"/>
        <w:tab w:val="right" w:pos="8306"/>
      </w:tabs>
      <w:snapToGrid w:val="0"/>
      <w:jc w:val="left"/>
    </w:pPr>
    <w:rPr>
      <w:color w:val="808080"/>
      <w:kern w:val="0"/>
      <w:sz w:val="20"/>
      <w:szCs w:val="20"/>
    </w:rPr>
  </w:style>
  <w:style w:type="paragraph" w:customStyle="1" w:styleId="423BC4DF14E946DCAECB21B331FD0E9E">
    <w:name w:val="423BC4DF14E946DCAECB21B331FD0E9E"/>
    <w:qFormat/>
    <w:pPr>
      <w:widowControl w:val="0"/>
      <w:jc w:val="both"/>
    </w:pPr>
    <w:rPr>
      <w:kern w:val="2"/>
      <w:sz w:val="21"/>
      <w:szCs w:val="22"/>
    </w:rPr>
  </w:style>
  <w:style w:type="paragraph" w:customStyle="1" w:styleId="A61D047E9E7349BD98DF9D28355456A2">
    <w:name w:val="A61D047E9E7349BD98DF9D28355456A2"/>
    <w:qFormat/>
    <w:pPr>
      <w:widowControl w:val="0"/>
      <w:jc w:val="both"/>
    </w:pPr>
    <w:rPr>
      <w:kern w:val="2"/>
      <w:sz w:val="21"/>
      <w:szCs w:val="22"/>
    </w:rPr>
  </w:style>
  <w:style w:type="paragraph" w:customStyle="1" w:styleId="DF91B4601F5D4544B8EFC94F2A9690A9">
    <w:name w:val="DF91B4601F5D4544B8EFC94F2A9690A9"/>
    <w:qFormat/>
    <w:pPr>
      <w:widowControl w:val="0"/>
      <w:jc w:val="both"/>
    </w:pPr>
    <w:rPr>
      <w:kern w:val="2"/>
      <w:sz w:val="21"/>
      <w:szCs w:val="22"/>
    </w:rPr>
  </w:style>
  <w:style w:type="paragraph" w:customStyle="1" w:styleId="489100DB019745D4AA8F1504D4A792B1">
    <w:name w:val="489100DB019745D4AA8F1504D4A792B1"/>
    <w:qFormat/>
    <w:pPr>
      <w:widowControl w:val="0"/>
      <w:jc w:val="both"/>
    </w:pPr>
    <w:rPr>
      <w:kern w:val="2"/>
      <w:sz w:val="21"/>
      <w:szCs w:val="22"/>
    </w:rPr>
  </w:style>
  <w:style w:type="paragraph" w:customStyle="1" w:styleId="A04C036640734077B4FAD1C708814BAE">
    <w:name w:val="A04C036640734077B4FAD1C708814BAE"/>
    <w:qFormat/>
    <w:pPr>
      <w:widowControl w:val="0"/>
      <w:jc w:val="both"/>
    </w:pPr>
    <w:rPr>
      <w:kern w:val="2"/>
      <w:sz w:val="21"/>
      <w:szCs w:val="22"/>
    </w:rPr>
  </w:style>
  <w:style w:type="paragraph" w:customStyle="1" w:styleId="AAA187A0FF754ABFA9E1B9AD7B6DDC4C">
    <w:name w:val="AAA187A0FF754ABFA9E1B9AD7B6DDC4C"/>
    <w:qFormat/>
    <w:pPr>
      <w:widowControl w:val="0"/>
      <w:jc w:val="both"/>
    </w:pPr>
    <w:rPr>
      <w:kern w:val="2"/>
      <w:sz w:val="21"/>
      <w:szCs w:val="22"/>
    </w:rPr>
  </w:style>
  <w:style w:type="paragraph" w:customStyle="1" w:styleId="116B2D23C9934563AF7EA5DCF479D571">
    <w:name w:val="116B2D23C9934563AF7EA5DCF479D571"/>
    <w:qFormat/>
    <w:pPr>
      <w:widowControl w:val="0"/>
      <w:jc w:val="both"/>
    </w:pPr>
    <w:rPr>
      <w:kern w:val="2"/>
      <w:sz w:val="21"/>
      <w:szCs w:val="22"/>
    </w:rPr>
  </w:style>
  <w:style w:type="paragraph" w:customStyle="1" w:styleId="DD2A81682CF54531BCEFC8E1FB25D842">
    <w:name w:val="DD2A81682CF54531BCEFC8E1FB25D842"/>
    <w:qFormat/>
    <w:pPr>
      <w:widowControl w:val="0"/>
      <w:jc w:val="both"/>
    </w:pPr>
    <w:rPr>
      <w:kern w:val="2"/>
      <w:sz w:val="21"/>
      <w:szCs w:val="22"/>
    </w:rPr>
  </w:style>
  <w:style w:type="paragraph" w:customStyle="1" w:styleId="BDDD5562FF3440CAA632659A3A379C04">
    <w:name w:val="BDDD5562FF3440CAA632659A3A379C04"/>
    <w:qFormat/>
    <w:pPr>
      <w:widowControl w:val="0"/>
      <w:jc w:val="both"/>
    </w:pPr>
    <w:rPr>
      <w:kern w:val="2"/>
      <w:sz w:val="21"/>
      <w:szCs w:val="22"/>
    </w:rPr>
  </w:style>
  <w:style w:type="paragraph" w:customStyle="1" w:styleId="212E248855D64C9AB2902D24C7ABD9B3">
    <w:name w:val="212E248855D64C9AB2902D24C7ABD9B3"/>
    <w:qFormat/>
    <w:pPr>
      <w:widowControl w:val="0"/>
      <w:jc w:val="both"/>
    </w:pPr>
    <w:rPr>
      <w:kern w:val="2"/>
      <w:sz w:val="21"/>
      <w:szCs w:val="22"/>
    </w:rPr>
  </w:style>
  <w:style w:type="paragraph" w:customStyle="1" w:styleId="0A4426A5B6614207A08F6CE28FC55CCB">
    <w:name w:val="0A4426A5B6614207A08F6CE28FC55CCB"/>
    <w:qFormat/>
    <w:pPr>
      <w:widowControl w:val="0"/>
      <w:jc w:val="both"/>
    </w:pPr>
    <w:rPr>
      <w:kern w:val="2"/>
      <w:sz w:val="21"/>
      <w:szCs w:val="22"/>
    </w:rPr>
  </w:style>
  <w:style w:type="paragraph" w:customStyle="1" w:styleId="A2DC8444E65143E5AE945BE2A9864A01">
    <w:name w:val="A2DC8444E65143E5AE945BE2A9864A01"/>
    <w:qFormat/>
    <w:pPr>
      <w:widowControl w:val="0"/>
      <w:jc w:val="both"/>
    </w:pPr>
    <w:rPr>
      <w:kern w:val="2"/>
      <w:sz w:val="21"/>
      <w:szCs w:val="22"/>
    </w:rPr>
  </w:style>
  <w:style w:type="paragraph" w:customStyle="1" w:styleId="B4D2B78D7BEB40E88EAE6A3DB36D7891">
    <w:name w:val="B4D2B78D7BEB40E88EAE6A3DB36D7891"/>
    <w:qFormat/>
    <w:pPr>
      <w:widowControl w:val="0"/>
      <w:jc w:val="both"/>
    </w:pPr>
    <w:rPr>
      <w:kern w:val="2"/>
      <w:sz w:val="21"/>
      <w:szCs w:val="22"/>
    </w:rPr>
  </w:style>
  <w:style w:type="paragraph" w:customStyle="1" w:styleId="DD0ED8B9842B49C9A876C3FE443AF303">
    <w:name w:val="DD0ED8B9842B49C9A876C3FE443AF303"/>
    <w:qFormat/>
    <w:pPr>
      <w:widowControl w:val="0"/>
      <w:jc w:val="both"/>
    </w:pPr>
    <w:rPr>
      <w:kern w:val="2"/>
      <w:sz w:val="21"/>
      <w:szCs w:val="22"/>
    </w:rPr>
  </w:style>
  <w:style w:type="paragraph" w:customStyle="1" w:styleId="4D0AF33A65DB453CA940568B8132FE8F">
    <w:name w:val="4D0AF33A65DB453CA940568B8132FE8F"/>
    <w:qFormat/>
    <w:pPr>
      <w:widowControl w:val="0"/>
      <w:jc w:val="both"/>
    </w:pPr>
    <w:rPr>
      <w:kern w:val="2"/>
      <w:sz w:val="21"/>
      <w:szCs w:val="22"/>
    </w:rPr>
  </w:style>
  <w:style w:type="paragraph" w:customStyle="1" w:styleId="B1187E08A37C4863B28A4785DB6E5D30">
    <w:name w:val="B1187E08A37C4863B28A4785DB6E5D30"/>
    <w:qFormat/>
    <w:pPr>
      <w:widowControl w:val="0"/>
      <w:jc w:val="both"/>
    </w:pPr>
    <w:rPr>
      <w:kern w:val="2"/>
      <w:sz w:val="21"/>
      <w:szCs w:val="22"/>
    </w:rPr>
  </w:style>
  <w:style w:type="paragraph" w:customStyle="1" w:styleId="6C93DA10DB8941F0B72E141B583851F5">
    <w:name w:val="6C93DA10DB8941F0B72E141B583851F5"/>
    <w:qFormat/>
    <w:pPr>
      <w:widowControl w:val="0"/>
      <w:jc w:val="both"/>
    </w:pPr>
    <w:rPr>
      <w:kern w:val="2"/>
      <w:sz w:val="21"/>
      <w:szCs w:val="22"/>
    </w:rPr>
  </w:style>
  <w:style w:type="paragraph" w:customStyle="1" w:styleId="97D13405FF794322A234C59A99CC509F">
    <w:name w:val="97D13405FF794322A234C59A99CC509F"/>
    <w:qFormat/>
    <w:pPr>
      <w:widowControl w:val="0"/>
      <w:jc w:val="both"/>
    </w:pPr>
    <w:rPr>
      <w:kern w:val="2"/>
      <w:sz w:val="21"/>
      <w:szCs w:val="22"/>
    </w:rPr>
  </w:style>
  <w:style w:type="paragraph" w:customStyle="1" w:styleId="ACACD597F74A4727BC405AD5ED348E62">
    <w:name w:val="ACACD597F74A4727BC405AD5ED348E62"/>
    <w:qFormat/>
    <w:pPr>
      <w:widowControl w:val="0"/>
      <w:jc w:val="both"/>
    </w:pPr>
    <w:rPr>
      <w:kern w:val="2"/>
      <w:sz w:val="21"/>
      <w:szCs w:val="22"/>
    </w:rPr>
  </w:style>
  <w:style w:type="paragraph" w:customStyle="1" w:styleId="94E3FCFBF5754DE39B8CFD19740DFDAF">
    <w:name w:val="94E3FCFBF5754DE39B8CFD19740DFDAF"/>
    <w:qFormat/>
    <w:pPr>
      <w:widowControl w:val="0"/>
      <w:jc w:val="both"/>
    </w:pPr>
    <w:rPr>
      <w:kern w:val="2"/>
      <w:sz w:val="21"/>
      <w:szCs w:val="22"/>
    </w:rPr>
  </w:style>
  <w:style w:type="paragraph" w:customStyle="1" w:styleId="727AC9DA5E884386A2ECF7924A34EA63">
    <w:name w:val="727AC9DA5E884386A2ECF7924A34EA63"/>
    <w:qFormat/>
    <w:pPr>
      <w:widowControl w:val="0"/>
      <w:jc w:val="both"/>
    </w:pPr>
    <w:rPr>
      <w:kern w:val="2"/>
      <w:sz w:val="21"/>
      <w:szCs w:val="22"/>
    </w:rPr>
  </w:style>
  <w:style w:type="paragraph" w:customStyle="1" w:styleId="3BCFC6FCD5F44BD88EA148BB4C95C927">
    <w:name w:val="3BCFC6FCD5F44BD88EA148BB4C95C927"/>
    <w:qFormat/>
    <w:pPr>
      <w:widowControl w:val="0"/>
      <w:jc w:val="both"/>
    </w:pPr>
    <w:rPr>
      <w:kern w:val="2"/>
      <w:sz w:val="21"/>
      <w:szCs w:val="22"/>
    </w:rPr>
  </w:style>
  <w:style w:type="paragraph" w:customStyle="1" w:styleId="234FBAE53BEF4E1692A3F1B58F2E0D75">
    <w:name w:val="234FBAE53BEF4E1692A3F1B58F2E0D75"/>
    <w:qFormat/>
    <w:pPr>
      <w:widowControl w:val="0"/>
      <w:jc w:val="both"/>
    </w:pPr>
    <w:rPr>
      <w:kern w:val="2"/>
      <w:sz w:val="21"/>
      <w:szCs w:val="22"/>
    </w:rPr>
  </w:style>
  <w:style w:type="paragraph" w:customStyle="1" w:styleId="A3F88D7D33554E9A987DE613AC533DEF">
    <w:name w:val="A3F88D7D33554E9A987DE613AC533DEF"/>
    <w:qFormat/>
    <w:pPr>
      <w:widowControl w:val="0"/>
      <w:jc w:val="both"/>
    </w:pPr>
    <w:rPr>
      <w:kern w:val="2"/>
      <w:sz w:val="21"/>
      <w:szCs w:val="22"/>
    </w:rPr>
  </w:style>
  <w:style w:type="paragraph" w:customStyle="1" w:styleId="4BD7A2A372F54660BAD5DF7DE0A65EA3">
    <w:name w:val="4BD7A2A372F54660BAD5DF7DE0A65EA3"/>
    <w:qFormat/>
    <w:pPr>
      <w:widowControl w:val="0"/>
      <w:jc w:val="both"/>
    </w:pPr>
    <w:rPr>
      <w:kern w:val="2"/>
      <w:sz w:val="21"/>
      <w:szCs w:val="22"/>
    </w:rPr>
  </w:style>
  <w:style w:type="paragraph" w:customStyle="1" w:styleId="45141E326ED74104AE814FA68139A34F">
    <w:name w:val="45141E326ED74104AE814FA68139A34F"/>
    <w:qFormat/>
    <w:pPr>
      <w:widowControl w:val="0"/>
      <w:jc w:val="both"/>
    </w:pPr>
    <w:rPr>
      <w:kern w:val="2"/>
      <w:sz w:val="21"/>
      <w:szCs w:val="22"/>
    </w:rPr>
  </w:style>
  <w:style w:type="paragraph" w:customStyle="1" w:styleId="03268A9CACAF4CA587A5C736276A03ED">
    <w:name w:val="03268A9CACAF4CA587A5C736276A03ED"/>
    <w:qFormat/>
    <w:pPr>
      <w:widowControl w:val="0"/>
      <w:jc w:val="both"/>
    </w:pPr>
    <w:rPr>
      <w:kern w:val="2"/>
      <w:sz w:val="21"/>
      <w:szCs w:val="22"/>
    </w:rPr>
  </w:style>
  <w:style w:type="paragraph" w:customStyle="1" w:styleId="ADE28485113B4767BDEF7BF0331B7A16">
    <w:name w:val="ADE28485113B4767BDEF7BF0331B7A16"/>
    <w:rsid w:val="00031DA7"/>
    <w:pPr>
      <w:widowControl w:val="0"/>
      <w:jc w:val="both"/>
    </w:pPr>
    <w:rPr>
      <w:kern w:val="2"/>
      <w:sz w:val="21"/>
      <w:szCs w:val="22"/>
    </w:rPr>
  </w:style>
  <w:style w:type="paragraph" w:customStyle="1" w:styleId="EFEDBE1628A9419FA1A42C9C16DCF19F">
    <w:name w:val="EFEDBE1628A9419FA1A42C9C16DCF19F"/>
    <w:rsid w:val="00031DA7"/>
    <w:pPr>
      <w:widowControl w:val="0"/>
      <w:jc w:val="both"/>
    </w:pPr>
    <w:rPr>
      <w:kern w:val="2"/>
      <w:sz w:val="21"/>
      <w:szCs w:val="22"/>
    </w:rPr>
  </w:style>
  <w:style w:type="paragraph" w:customStyle="1" w:styleId="E7477B8AF30F4EC4A4DB132C7468E6A5">
    <w:name w:val="E7477B8AF30F4EC4A4DB132C7468E6A5"/>
    <w:rsid w:val="00B0722C"/>
    <w:pPr>
      <w:widowControl w:val="0"/>
      <w:jc w:val="both"/>
    </w:pPr>
    <w:rPr>
      <w:kern w:val="2"/>
      <w:sz w:val="21"/>
      <w:szCs w:val="22"/>
    </w:rPr>
  </w:style>
  <w:style w:type="paragraph" w:customStyle="1" w:styleId="9AF7C9BB72994BC39548669CFD7BE684">
    <w:name w:val="9AF7C9BB72994BC39548669CFD7BE684"/>
    <w:rsid w:val="00B0722C"/>
    <w:pPr>
      <w:widowControl w:val="0"/>
      <w:jc w:val="both"/>
    </w:pPr>
    <w:rPr>
      <w:kern w:val="2"/>
      <w:sz w:val="21"/>
      <w:szCs w:val="22"/>
    </w:rPr>
  </w:style>
  <w:style w:type="paragraph" w:customStyle="1" w:styleId="FC2BC4A6BCD240A099DE10B0EE2E6A22">
    <w:name w:val="FC2BC4A6BCD240A099DE10B0EE2E6A22"/>
    <w:rsid w:val="00B0722C"/>
    <w:pPr>
      <w:widowControl w:val="0"/>
      <w:jc w:val="both"/>
    </w:pPr>
    <w:rPr>
      <w:kern w:val="2"/>
      <w:sz w:val="21"/>
      <w:szCs w:val="22"/>
    </w:rPr>
  </w:style>
  <w:style w:type="paragraph" w:customStyle="1" w:styleId="B13A217E0DAB450BAA4E1068227F051B">
    <w:name w:val="B13A217E0DAB450BAA4E1068227F051B"/>
    <w:rsid w:val="00B0722C"/>
    <w:pPr>
      <w:widowControl w:val="0"/>
      <w:jc w:val="both"/>
    </w:pPr>
    <w:rPr>
      <w:kern w:val="2"/>
      <w:sz w:val="21"/>
      <w:szCs w:val="22"/>
    </w:rPr>
  </w:style>
  <w:style w:type="paragraph" w:customStyle="1" w:styleId="52BD6B2BFAA942BC992C6163AFFF0835">
    <w:name w:val="52BD6B2BFAA942BC992C6163AFFF0835"/>
    <w:rsid w:val="00863780"/>
    <w:pPr>
      <w:widowControl w:val="0"/>
      <w:jc w:val="both"/>
    </w:pPr>
    <w:rPr>
      <w:kern w:val="2"/>
      <w:sz w:val="21"/>
      <w:szCs w:val="22"/>
    </w:rPr>
  </w:style>
  <w:style w:type="paragraph" w:customStyle="1" w:styleId="CAACD6EC26E5410BA33782951996B1A7">
    <w:name w:val="CAACD6EC26E5410BA33782951996B1A7"/>
    <w:rsid w:val="006C10E9"/>
    <w:pPr>
      <w:widowControl w:val="0"/>
      <w:jc w:val="both"/>
    </w:pPr>
    <w:rPr>
      <w:kern w:val="2"/>
      <w:sz w:val="21"/>
      <w:szCs w:val="22"/>
    </w:rPr>
  </w:style>
  <w:style w:type="paragraph" w:customStyle="1" w:styleId="11977DD635A04512A697885C49BF4772">
    <w:name w:val="11977DD635A04512A697885C49BF4772"/>
    <w:rsid w:val="006C10E9"/>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倍加洁集团股份有限公司</clcid-cgi:GongSiFaDingZhongWenMingCheng>
  <clcid-mr:GongSiFuZeRenXingMing xmlns:clcid-mr="clcid-mr">张文生</clcid-mr:GongSiFuZeRenXingMing>
  <clcid-mr:ZhuGuanKuaiJiGongZuoFuZeRenXingMing xmlns:clcid-mr="clcid-mr">嵇玉芳</clcid-mr:ZhuGuanKuaiJiGongZuoFuZeRenXingMing>
  <clcid-mr:KuaiJiJiGouFuZeRenXingMing xmlns:clcid-mr="clcid-mr">嵇玉芳</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clcid-mr:DuiBaoGaoCunZaiYiYiDeDongShiXingMing/>
  <bond:DanWeiFeiJingYingXingWangLaiZhanKuanHeZiJinChaiJie>100000000</bond:DanWeiFeiJingYingXingWangLaiZhanKuanHeZiJinChaiJie>
  <bond:DanWeiMuGongSiYouXiZhaiWu>亿元</bond:DanWeiMuGongSiYouXiZhaiWu>
  <bond:DanWeiYouXiZhaiWu>亿元</bond:DanWeiYouXiZhaiWu>
  <bond:DanWeiFaXingRenJingWaiShiChangFaXingZhaiQuan>亿元</bond:DanWeiFaXingRenJingWaiShiChangFaXingZhaiQuan>
</b:binding>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9"/>
    <customShpInfo spid="_x0000_s1027"/>
  </customShpExts>
</s:customData>
</file>

<file path=customXml/item3.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namespaceDeclare prefix="bond" namespaceURI="http://www.xbrl-cn.org/cn/bond/2017-06-30"/>
  <m:document name="" version="0.1" axisType="Column" optimized="true" originalVersion="0.1" taggingType="Axis" fallbackIntervalCalc="true" cryptoType="SM4" columnType="true" splitReportType="ChildReport"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textBlock="true" up="tag:_GBC_704b7b03ea3f4a93b8d4655a09b2ff61" down="2024年半年度报告" concept="clcid-cgi:GongSiFaDingZhongWenMingCheng" label="公司法定中文名称" keyCode="InitialValue:股份有限公司" keyAction="31">
      <m:simpleRule dataType="Any" comparator="None" minOccurs="1"/>
    </m:item>
    <m:section xlName="_SEC_d5e0e82062cc4f3cb5a290078031cbd7" title="董事会及董事声明" checkKey="!无法保证" headerRef="1" summaryGuid="_SEC_cfbf6931f3444f44940972008f086a29" helpId="101001001" primarySection="_SEC_d5e0e82062cc4f3cb5a290078031cbd7" optionText="公司全体董监高保证内容真实、准确、完整" optionGroupTitle="董事会及董事声明情况"/>
    <m:section xlName="_SEC_0bd09595636a40e9a57d708860ca9135" title="董事、监事、高级管理人员无法保证的声明" afterEmptyPhCount="0" checkKey="无法保证" headerRef="2" ignorePeriod="1" summaryGuid="_SEC_cfbf6931f3444f44940972008f086a29" helpId="101001003" primarySection="_SEC_d5e0e82062cc4f3cb5a290078031cbd7" optionText="公司部分董监高无法保证内容真实、准确、完整" activeContentOption="_GBC_c39714d4523c4f26bc10a8bd552c9a0c" optionGroupTitle="董事会及董事声明情况"/>
    <m:section xlName="_GBC_1b1325bf1ae840869be71054a10ad268" title="公司全体董事出席董事会会议。" checkKey="全体董事出席&amp;!未出席&amp;!未能出席&amp;!未亲自出席&amp;!委托" headerRef="3"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headerRef="4"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headerRef="5" summaryGuid="_SEC_6bd7e9a7daad491ca88a8b61c8ca9156" helpId="101001004" primarySection="_GBC_07370c6ee32a4bea8271133440d087fd" optionText="未经审计" activeContentOption="_GBC_07370c6ee32a4bea8271133440d087fd" optionGroupTitle="审计报告情况"/>
    <m:section xlName="_GBC_03a09ae7cff4426393cc0d64b59cc810" title="事务所为本公司出具了标准无保留意见的审计报告。" checkKey="!带强调事项段或其他事项段的无保留意见&amp;!无法表示意见&amp;!否定意见&amp;!未经审计" headerRef="6" summaryGuid="_SEC_6bd7e9a7daad491ca88a8b61c8ca9156" helpId="101001004" primarySection="_GBC_07370c6ee32a4bea8271133440d087fd" optionText="标准无保留意见" optionGroupTitle="审计报告情况"/>
    <m:section xlName="_GBC_a3cb6d3de6c1425cb1ae504871e39a94" title="非标意见说明" checkKey="!标准无保留意见&amp;!未经审计" headerRef="7" summaryGuid="_SEC_6bd7e9a7daad491ca88a8b61c8ca9156" helpId="101001004" primarySection="_GBC_07370c6ee32a4bea8271133440d087fd" optionText="非标意见" optionGroupTitle="审计报告情况"/>
    <m:section xlName="_GBC_04b137e7f87b43b8812b2c33bd605e04" title="公司负责人等声明" headerRef="8" helpId="101001005"/>
    <m:section xlName="_GBC_21c095fa67114a208ee8411405e3a22a" title="经董事会审议的报告期利润分配预案或公积金转增股本预案" headerRef="9" convertSummaryRule="NoConvert" helpId="101001007"/>
    <m:section xlName="_GBC_cc24ced211694e75b40a9765d2616e01" title="前瞻性陈述的风险声明" headerRef="10"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headerRef="11"/>
    <m:section xlName="_GBC_0b5725dfa5c04f85874bece4083eddb4" title="是否存在违反规定决策程序对外提供担保的情况" headerRef="12" convertSummaryRule="NoConvert"/>
    <m:section xlName="_SEC_f8924de2a90b4f29b727c0dcf0bfd58a" title="" headerRef="13"/>
    <m:section xlName="_SEC_765dd5e867e04417bfcc7ba07f902949" title="重大风险提示" headerRef="14" helpId="112001203"/>
    <m:section xlName="_GBC_b8bb35c675b44fbdaf150c1114447d89" title="重要提示的其他情况说明" headerRef="15"/>
    <m:section xlName="_SEC_821e9eb80bde4a9883ae71815f226d98" title="备查文件目录" headerRef="15"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section xlName="_GBC_5d2d156d1e654b289921f6ca279d0332" title="释义" headerRef="16" ignorePeriod="1" convertSummaryRule="NoConvert" helpId="101001008"/>
    <m:section xlName="_GBC_aa763dfc67ed4eac9000c019cc1ff258" title="公司信息" headerRef="18" ignorePeriod="1" convertSummaryRule="NoConvert" helpId="102001001"/>
    <m:section xlName="_GBC_c68db6bd18a148f3a9683d04b791123b" title="联系人和联系方式" headerRef="19"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aderRef="20" helpId="102001003"/>
    <m:section xlName="_GBC_20a39c6141734cc19616660ebf1a0dfa" title="信息披露及备置地点变更情况简介" headerRef="21" ignorePeriod="1" convertSummaryRule="NoConvert" helpId="102001004"/>
    <m:section xlName="_GBC_f73e31215837403db78d7a2ed15723c6" title="公司股票简况" headerRef="22" ignorePeriod="1" helpId="102001005" helpText="注：本项可选填“A股”、“B股”、“H股”或其他。"/>
    <m:section xlName="_GBC_cd186ef4acaf4e28b71fed998e691ebd" title="其他有关资料" headerRef="23" ignorePeriod="1" convertSummaryRule="NoConvert" helpId="102001008"/>
    <m:item xlName="_GBC_c7cd0dd826b247dbba8cc8b1a811aefb" indRef="1" concept="clcid-ci-ar:DanWeiBaoGaoQiMoGongSiQianSanNianZhuYaoKuaiJiShuJuHeCaiWuZhiBiao" label="单位：报告期末公司前三年主要会计数据和财务指标" selectOptions="_buildInScales" controlType="Combobox" cellType="Scale" keyCode="InitialValue:元" keyAction="31"/>
    <m:item xlName="_GBC_2df6a5d441324c13bcf6c4c54ac41eb0" indRef="2" concept="clcid-ci-ar:BiZhongBaoGaoQiMoGongSiQianSanNianZhuYaoKuaiJiShuJuHeCaiWuZhiBiao" label="币种：报告期末公司前三年主要会计数据和财务指标" selectOptions="_buildInISO4217" controlType="Combobox" cellType="Measure" keyCode="InitialValue:人民币" keyAction="31"/>
    <m:section xlName="_GBC_aea1fefe2cc54d88a8a870982a41d97a" title="主要会计数据(无追溯)" rules="R2015_R2_001" checkKey="!调整" headerRef="25"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m:section xlName="_GBC_f3826dda988749e78931d3af98058157" title="主要会计数据(追溯)" rules="R2015_R2_001" checkKey="调整" headerRef="25"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aderRef="26"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f2e015828f0e4c85978a15defdf078a0" title="主要财务指标(追溯)" rules="R2015_R2_001" checkKey="调整" headerRef="26"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89dd4b4cf79140928f55be83e164f009" title="公司主要会计数据和财务指标的说明" rules="R2015_R2_001" headerRef="26" convertSummaryRule="NoConvert" helpId="103004001"/>
    <m:item xlName="_GBC_bdabc18d82504a7696c49b78e67b7ce4" headerRef="27" up="境内外会计准则下会计数据差异"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headerRef="28" convertSummaryRule="NoConvert" helpId="103002001"/>
    <m:section xlName="_GBC_2f705e4eae72458eb00a3440cec6f7c7" title="同时按照境外会计准则与按中国会计准则披露的差异" rules="R2015_R2_002" headerRef="29" convertSummaryRule="NoConvert" helpId="103002001" helpText="注：境内外会计准则下会计数据差异填列合并报表数据。"/>
    <m:section xlName="_GBC_b29c1fea910b4dfca31323fe84213a44" title="境内外会计准则差异的说明" rules="R2015_R2_002" headerRef="30" convertSummaryRule="NoConvert" helpId="103002001"/>
    <m:section xlName="_SEC_90b59d2109be4d75a6210da2f2ee54cb" title="非经常性损益项目和金额" headerRef="31" helpId="103003001"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SEC_3fbc22adf9774d23a74dc1230c514eff" title="将《公开发行证券的公司信息披露解释性公告第1号——非经常性损..." headerRef="31" helpId="103003001"/>
    <m:section xlName="_GBC_129e81c113f94ab2b6af974b5d24abc6" title="其他财务和业务数据" headerRef="32"/>
    <m:section xlName="_SEC_30613ac4c1d74a918acca2b58acc457d" title="报告期内公司所从事的主要业务、经营模式及行业情况说明" rules="R2015_R3_001" headerRef="34" helpId="101001009" helpText="公司应当简要介绍报告期内公司所属行业发展情况、主要业务、主要产品及其用途、经营模式、市场地位、主要的业绩驱动因素等发生的主要变化情况。"/>
    <m:section xlName="_SEC_95fcc6373f8d4d92bdccbe04323713c4" title="报告期内核心竞争力分析" rules="R2015_R3_001" headerRef="35"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GBC_ba3734a9f27a452095f3115c17f4b09e" title="经营情况的讨论与分析" headerRef="36" convertSummaryRule="NoConvert" helpId="104001002"/>
    <m:section xlName="_SEC_5c790aea31ad48bb8832d20c53fcc625" title="报告期内公司经营情况的重大变化，以及报告期内发生的对公司经营..." headerRef="36" helpId="110002108"/>
    <m:section xlName="_GBC_281bf95299804381a41f7dd82e2c19f3" title="财务报表相关科目变动分析表" headerRef="39"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GBC_2346c2f60a0d447bb4e68d1cdeb1ae6e" title="公司利润构成或利润来源发生重大变动的详细说明" headerRef="40" convertSummaryRule="NoConvert" helpId="108001001"/>
    <m:section xlName="_SEC_8eca3e31ebef41f0bccb8c1e5fae0579" title="非主营业务导致利润重大变化的说明" headerRef="41" helpId="108005007"/>
    <m:item xlName="_GBC_7e768f46f428417e8696bff3cfaf9902" headerRef="42" up="资产、负债情况分析"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aderRef="43" helpId="108005004" axisType="Column"/>
    <m:item xlName="_GBC_95d71e9a9dcd4966863ba2859a3bf0b7" headerRef="44" up="境外资产情况" concept="clcid-ci-ar:ShiFouShiYongJingWaiZiChanQingKuang" label="是否适用：境外资产情况 " selectOptions="_buildInAppliance" controlType="CustomCheckbox" cRanges="[{&quot;StartName&quot;:&quot;_GBC_95d71e9a9dcd4966863ba2859a3bf0b7&quot;,&quot;EndName&quot;:&quot;_SEC_1054cd8b91c348ed94f7bc925d57ba7b&quot;,&quot;CType&quot;:1}]"/>
    <m:section xlName="_SEC_7f2308a9bb284441948806ea6c09c608" title="" headerRef="45" helpId="108005004"/>
    <m:section xlName="_SEC_d3282e023dd342148088e8b62a141d34" title="境外资产占比较高的相关说明" headerRef="46" helpId="101001042" helpText="若境外资产占总资产的比例大于或等于30%，一般认为境外资产占比较高。在此基础上，公司可以根据境外资产贡献收入、利润等情况，判断是否构成重要境外资产，进行披露。"/>
    <m:section xlName="_SEC_1054cd8b91c348ed94f7bc925d57ba7b" title="其他说明" headerRef="46"/>
    <m:section xlName="_SEC_390cddc4349f46b4bcccd468c3e69d14" title="截至报告期末主要资产受限情" headerRef="47" helpId="108005004"/>
    <m:section xlName="_SEC_a3069c29080242b4a4de48db80a4164e" title="其他说明" headerRef="48" helpId="108005004"/>
    <m:section xlName="_SEC_e7a08c655c9844a8b5127e2ae800064c" title="对外股权投资总体分析" headerRef="50" convertSummaryRule="NoConvert" helpId="108005001" helpText="公司应当介绍本半年度投资情况，分析报告期内公司投资额同比变化情况。"/>
    <m:section xlName="_SEC_6dcee2c665d94c8b941605cedc06f568" title="重大的股权投资" headerRef="51" helpId="101001044" helpText="例如私募基金、证券公司等。"/>
    <m:section xlName="_SEC_ac9932f6d2bb4e35b86dbcc496bca6c4" title="重大的非股权投资" headerRef="52"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5ac920b545894503a0b852b58774a2f1" title="以公允价值计量的金融资产" headerRef="53" helpId="101001046" helpText="1、涉及银行理财的，购买和赎回金额列填写净发生额；2、选择其他的，需自行添加普通行说明其他项下产品类型；如添加后为控件行请操作【报告编制】-【表格】-【转为普通行】。"/>
    <m:section xlName="_SEC_223855f312f442628a6b89be29f039a8" title="证券投资情况" headerRef="53" helpText="若因为自营业务投资品种较多，可选择不适用，但应当说明原因。"/>
    <m:section xlName="_SEC_1fd1b5403f6b4f59b90a86c5afda2100" title="证券投资情况的说明  " headerRef="53"/>
    <m:section xlName="_SEC_1314f2a4c4444241bb2afb255168e300" title="私募基金投资情况" headerRef="53"/>
    <m:item xlName="_GBC_bfd154b38b804edbb19ff4896b6b9c42" headerRef="53" up="衍生品投资情况" concept="clcid-ci-ar:ShiFouShiYongYanShengPinTouZiQingKuang" label="是否适用：衍生品投资情况  " selectOptions="_buildInAppliance" controlType="CustomCheckbox" cRanges="[{&quot;StartName&quot;:&quot;_GBC_bfd154b38b804edbb19ff4896b6b9c42&quot;,&quot;EndName&quot;:&quot;_SEC_7f3a1a0062ac456f8a983b6567183908&quot;,&quot;CType&quot;:1}]"/>
    <m:item xlName="_GBC_5859448da4c34bc4af3f8639036828dd" headerRef="53" up="报告期内以套期保值为目的的衍生品投资" concept="clcid-ci-ar:ShiFouShiYongBaoGaoQiNeiYiTaoQiBaoZhiWeiMuDeDeYanShengPinTouZi" label="是否适用：报告期内以套期保值为目的的衍生品投资" selectOptions="_buildInAppliance" controlType="CustomCheckbox" cRanges="[{&quot;StartName&quot;:&quot;_GBC_5859448da4c34bc4af3f8639036828dd&quot;,&quot;EndName&quot;:&quot;_SEC_01cbfb7e8e8545a7ab7909e2370b26d7&quot;,&quot;CType&quot;:1}]"/>
    <m:section xlName="_SEC_01cbfb7e8e8545a7ab7909e2370b26d7" title="报告期内以套期保值为目的的衍生品投资" headerRef="53"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各“投资金额”均指合约金额。\n4、公司应当将套期工具与被套期项目价值变动加总后说明报告期内的实际损益。\n5、公司应在定期报告中结合被套期项目情况对套期保值效果进行全面披露，套期保值业务不满足会计准则规定的套期会计适用条件或未适用套期会计核算，但能够通过衍生品交易实现风险管理目标的，可以结合套期工具和被套期项目之间的关系等说明是否有效实现了预期风险管理目标。"/>
    <m:item xlName="_GBC_c55d25ebbbbc4a9a894716278303dec4" headerRef="53" up="报告期内以投机为目的的衍生品投资" concept="clcid-ci-ar:ShiFouShiYongBaoGaoQiNeiYiTouJiWeiMuDeDeYanShengPinTouZi" label="是否适用：报告期内以投机为目的的衍生品投资" selectOptions="_buildInAppliance" controlType="CustomCheckbox" cRanges="[{&quot;StartName&quot;:&quot;_GBC_c55d25ebbbbc4a9a894716278303dec4&quot;,&quot;EndName&quot;:&quot;_SEC_b420da0f8c4343c0a1214c19c3689c01&quot;,&quot;CType&quot;:1}]"/>
    <m:section xlName="_SEC_b420da0f8c4343c0a1214c19c3689c01" title="报告期内以投机为目的的衍生品投资" headerRef="53"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表格中“衍生品投资操作方”，是指公司交易上述合约的交易对方。\n4、各“投资金额”均指合约金额。"/>
    <m:section xlName="_SEC_7f3a1a0062ac456f8a983b6567183908" title="其他说明" headerRef="53" orient="landscape"/>
    <m:section xlName="_SEC_04b9238e9d184f1bab78bd58a24f46ef" title="重大资产和股权出售" headerRef="54"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headerRef="55"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aderRef="56"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81e2de17d1214ba3b0e3ff89b6c2b65d" title="可能面对的风险" headerRef="58" helpId="104002005"/>
    <m:section xlName="_SEC_2d00d0d8a1b7409b884a0beb6a447e0d" title="其他披露事项" headerRef="59"/>
    <m:section xlName="_SEC_d8b5f940b6314e479198b8ccc086b98d" title="股东大会情况简介" headerRef="61" helpId="110004001"/>
    <m:section xlName="_SEC_d5dd00e8721a44d88174eb5aacf152b7" title="表决权恢复的优先股股东请求召开临时股东大会 " headerRef="61" helpId="110004001"/>
    <m:section xlName="_SEC_bf1ce0d19a464ce2a3d1a1d438ffde42" title="股东大会情况说明" headerRef="61" helpId="110004001"/>
    <m:section xlName="_SEC_fe90051e8bfd40b8bb8541284a29b30e" title="公司董事、监事、高级管理人员变动情况" headerRef="62" helpId="105001004" helpText="注：\n1、报告期内离任的董事、监事、高级管理人员，仍需按本章要求披露相关内容。\n2、报告期后新任的，董事、监事、高级管理人员可作附注说明。"/>
    <m:section xlName="_SEC_9d764ab9e1c44e0e972e846b8ecf0813" title="公司董事、监事、高级管理人员变动的情况说明" headerRef="62" helpId="105001004"/>
    <m:section xlName="_GBC_e4b48d016b974478b1fce3e8671a7227" title="半年度拟定的利润分配预案" rules="R2015_R5_001" headerRef="63"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27d68d30f5fb4d008c2e762ac7309c77" title="相关股权激励事项已在临时公告披露且后续实施无进展或变化的" headerRef="65" helpId="110005001"/>
    <m:item xlName="_GBC_388221bc7be24cdca55be337256c8bc1" headerRef="66" up="股权激励情况" concept="clcid-ci-ar:ShiFouShiYongGuQuanJiLiQingKuang" label="是否适用：股权激励情况 "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aderRef="66" helpId="110005001" helpText="注：报告期内失效的权益总额以负数填列。"/>
    <m:section xlName="_SEC_a417a9b40b6a4adeba436d511837e016" title="股权激励情况的说明" headerRef="66" helpId="110005001"/>
    <m:section xlName="_SEC_70861e225efc4a6aa2a87c82bdeffa60" title="员工持股计划情况" rules="R2015_R5_008" headerRef="66" helpId="110005001"/>
    <m:section xlName="_SEC_63920368dc0b49e9a257b190129bf278" title="其他激励措施" rules="R2015_R5_008" headerRef="66" helpId="110005001"/>
    <m:item xlName="_GBC_820250e25791459fb9ab9ed79c168408" headerRef="69" up="属于环境保护部门公布的重点排污单位的公司及其主要子公司的环保情况说明"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aderRef="70" helpId="104002008"/>
    <m:section xlName="_SEC_9647358b46c84a02b09d75557c728419" title="防治污染设施的建设和运行情况" headerRef="71" helpId="104002008"/>
    <m:section xlName="_SEC_2708d5a25473420b9cd1646eac86c715" title="建设项目环境影响评价及其他环境保护行政许可情况" headerRef="72" helpId="104002008"/>
    <m:section xlName="_SEC_8a186947e6794ae7a56369fd5232b227" title="突发环境事件应急预案" headerRef="73" helpId="104002008"/>
    <m:section xlName="_SEC_9756f3e7d2714d9788f7344c9c15bb49" title="环境自行监测方案" headerRef="74" helpId="104002008"/>
    <m:section xlName="_SEC_d4d4f3aa551f4da6b52a96fc74100d07" title="报告期内因环境问题受到行政处罚的情况" headerRef="75" helpId="104002008"/>
    <m:section xlName="_SEC_c87c813c87604960a2e846d148a1280c" title="其他应当公开的环境信息" headerRef="76" helpId="104002008"/>
    <m:item xlName="_GBC_5429e6d325df48abbf95eb4f87e71363" headerRef="77" up="重点排污单位之外的公司环保情况说明"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aderRef="78" helpId="104002008"/>
    <m:section xlName="_SEC_15a234e4f4924e908104a96ce6984e16" title="参照重点排污单位披露其它环境信息" headerRef="79" helpId="104002008"/>
    <m:section xlName="_SEC_dbf114d9dfed451c943c0db36f9761bc" title="重点排污单位之外的公司未披露环境信息的原因说明" headerRef="80" helpId="104002008"/>
    <m:section xlName="_SEC_3c63bb32177f4f368bb662e3b696830a" title="报告期内披露环境信息内容的后续进展或变化情况的说明" headerRef="81" helpId="104002008"/>
    <m:section xlName="_SEC_94dff50e6ff346df8df30ef5135f60ea" title="有利于保护生态、防治污染、履行环境责任的相关信息  __..." headerRef="82" helpId="104002008"/>
    <m:section xlName="_SEC_0a7b3a01a1cd4768be87b42742d0f169" title="在报告期内为减少其碳排放所采取的措施及效果" headerRef="83" helpId="104002008"/>
    <m:section xlName="_SEC_7eeef6a842224b3eac28c0a6aa105d7d" title="巩固拓展脱贫攻坚成果、乡村振兴工作具体情况" headerRef="84" helpId="104002004"/>
    <m:section xlName="_SEC_29ca9ecf549940e5a0b5179d68e38198" title="上市公司、持股5%以上的股东、控股股东及实际控制人在报告期内承诺事项" rules="R2015_R5_002" headerRef="87" convertSummaryRule="NoConvert" helpId="101001058" helpText="注：公司应当披露报告期内履行完毕的，以及截至报告期末尚未履行完毕的承诺事项。"/>
    <m:section xlName="_SEC_2f371a3cc949400ea818d66a836d5785" title="报告期内控股股东及其他关联方非经营性占用资金情况" headerRef="88" helpId="110002101"/>
    <m:section xlName="_SEC_623f0c33c18d4979b146b229057a4e89" title="违规担保情况" headerRef="89" orient="landscape" helpId="110002102"/>
    <m:item xlName="_GBC_b2faf86be7fd4060a2a7ad4018aaf033" headerRef="90" up="半年报审计情况"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aderRef="91" helpId="110009001"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39a839676dca47f595f0cbe05d986e81" title="审计期间改聘会计师事务所的情况说明" headerRef="91" helpId="110009001" helpText="注：公司若改聘、解聘会计师事务所，则必须填写改聘、解聘的情况说明。"/>
    <m:section xlName="_SEC_ff2ca8295db041209fe47eea7ae742aa" title="公司对会计师事务所“非标准审计报告”的说明" rules="R2015_R5_004" headerRef="92"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section xlName="_SEC_10be83ff0126440a8620e35536191767" title="公司对上年年度报告中的财务报告被注册会计师出具“非标准审计报..." headerRef="93" helpId="110002109"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1ae3a3f4b3c4484980120137749e19ed" title="破产重整相关事项" headerRef="94"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0fcf1cd2d0814185bde747855edf5227" headerRef="95" up="重大诉讼、仲裁事项"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headerRef="96" convertSummaryRule="NoConvert" helpId="110001001" helpText="注：如以上诉讼、仲裁或媒体质疑事项已在临时公告披露且无后续进展的，仅需披露该事项概述，并提供临时报告披露网站的查询索引。"/>
    <m:section xlName="_SEC_85376178a04b46fb90efc5d6fa2e6a28" title="临时公告未披露或有后续进展的诉讼、仲裁情况" rules="R2015_R5_006" headerRef="97" convertSummaryRule="NoConvert" helpId="110001001"/>
    <m:section xlName="_SEC_c92a88ec21204766afe5f9688cbd21bd" title="其他诉讼仲裁事项说明" rules="R2015_R5_006" headerRef="98" convertSummaryRule="NoConvert" helpId="110001001"/>
    <m:section xlName="_SEC_61682565f6714c6a81ab8e6d05a5abaa" title="上市公司及其董事、监事、高级管理人员、控股股东、实际控制人、收购人处罚及整改情况" headerRef="99"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b6520273283341408b24eceadfb999dd" title="报告期内公司及其控股股东、实际控制人诚信状况的说明" headerRef="100" helpId="104002006" helpText="公司应当披露报告期内公司及其控股股东、实际控制人的诚信状况，包括但不限于：是否存在未履行法院生效法律文书确定的义务、所负数额较大的债务到期未清偿等情况。"/>
    <m:section xlName="_SEC_b9489dd6b4c843e6be6e5a97de24b51b" title="已在临时公告披露且后续实施无进展或变化的事项" rules="R2015_R5_009" headerRef="103" convertSummaryRule="NoConvert" helpId="110006001"/>
    <m:section xlName="_SEC_ec9777844cc44aa6b3f98c8af0a20f95" title="已在临时公告披露，但有后续实施的进展或变化的事项" rules="R2015_R5_009" headerRef="104" convertSummaryRule="NoConvert" helpId="110006001"/>
    <m:section xlName="_SEC_227a4feb5cd045acb20f0e655bf26ea8" title="临时公告未披露的事项" rules="R2015_R5_009" headerRef="105" convertSummaryRule="NoConvert" helpId="110006001"/>
    <m:section xlName="_SEC_bf9131838c5b421d81cb3165b3861506" title="已在临时公告披露且后续实施无进展或变化的事项" rules="R2015_R5_009" headerRef="107" convertSummaryRule="NoConvert" helpId="110006003"/>
    <m:section xlName="_SEC_f9a57b14408248c4bc6881cfd0e81074" title="已在临时公告披露，但有后续实施的进展或变化的事项" rules="R2015_R5_009" headerRef="108" convertSummaryRule="NoConvert" helpId="110006003"/>
    <m:section xlName="_SEC_a7b4eef2f39c4550974e81ee8caca798" title="临时公告未披露的事项" rules="R2015_R5_009" headerRef="109" convertSummaryRule="NoConvert" helpId="110006003"/>
    <m:section xlName="_SEC_e17a03ced9e54c92b773a7e185d85bd3" title="涉及业绩约定的，应当披露报告期内的业绩实现情况" headerRef="110" helpId="110006003"/>
    <m:section xlName="_SEC_d9e67609bdab489e985efba8758860bd" title="已在临时公告披露且后续实施无进展或变化的事项" rules="R2015_R5_009" headerRef="112" convertSummaryRule="NoConvert" helpId="110006004"/>
    <m:section xlName="_SEC_53e4f8cd2c114fb1a1c9d74236ebd2fc" title="已在临时公告披露，但有后续实施的进展或变化的事项" rules="R2015_R5_009" headerRef="113" convertSummaryRule="NoConvert" helpId="110006004"/>
    <m:section xlName="_SEC_25e347f9cbc546cbafdf30522b654328" title="临时公告未披露的事项" rules="R2015_R5_009" headerRef="114" convertSummaryRule="NoConvert" helpId="110006004"/>
    <m:section xlName="_SEC_2fd4e717dd2949d2b4b4fb580dfce32a" title="已在临时公告披露且后续实施无进展或变化的事项" rules="R2015_R5_009" headerRef="116" convertSummaryRule="NoConvert" helpId="110006005"/>
    <m:section xlName="_SEC_dcb3650518df4296931e576a9d6fdaf3" title="已在临时公告披露，但有后续实施的进展或变化的事项" rules="R2015_R5_009" headerRef="117" convertSummaryRule="NoConvert" helpId="110006005"/>
    <m:section xlName="_SEC_da19abf815bb4e3a97fcb901c6225551" title="临时公告未披露的事项" rules="R2015_R5_009" headerRef="118"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918ef76103ad41b4a79075b59fdb8bf4" headerRef="119" up="公司与存在关联关系的财务公司、公司控股财务公司与关联方之间的金融业务"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aderRef="120" helpId="110002103"/>
    <m:section xlName="_SEC_45b8c1047ae846eebaed610686a59163" title="贷款业务" headerRef="121" helpId="110002103"/>
    <m:section xlName="_SEC_12af8280dba7414eaa58fcdd5ef5ac8d" title="授信业务或其他金融业务" headerRef="122" helpId="110002103"/>
    <m:section xlName="_SEC_ede026bdca864b809b90849751fe4fc0" title="其他说明" headerRef="123"/>
    <m:section xlName="_SEC_d0d528034450466db3d12315559a161a" title="(五) 其他重大关联交易" rules="R2015_R5_009" headerRef="124" helpId="104002007"/>
    <m:section xlName="_SEC_94b5dc0c50e04cae8442e9675bd15742" title="其他" headerRef="125"/>
    <m:item xlName="_GBC_daed561e68674d828a348a97bffbc154" headerRef="127" up="托管、承包、租赁事项"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headerRef="128" isSupervision="true" convertSummaryRule="NoConvert" helpId="110007001" helpText="注：为公司带来的利润达到公司本期利润总额10％以上（含10％）的托管、承包、租赁事项"/>
    <m:section xlName="_SEC_37ed7d66ad1d401d8403e9b54bcb42bc" title="承包情况                         ..." headerRef="129" convertSummaryRule="NoConvert" helpId="110007001" helpText="注：为公司带来的利润达到公司本期利润总额10％以上（含10％）的托管、承包、租赁事项"/>
    <m:section xlName="_SEC_c517528524f046abb8a7c1e21d61ed7c" title="租赁情况                         ..." headerRef="130" convertSummaryRule="NoConvert" helpId="110007001" helpText="注：为公司带来的利润达到公司本期利润总额10％以上（含10％）的托管、承包、租赁事项"/>
    <m:item xlName="_GBC_aae98b3e30bd49e4b2e1d2643f200047" headerRef="131" up="报告期内履行的及尚未履行完毕的重大担保情况"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headerRef="131" orient="landscape"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section xlName="_SEC_e046194a1b604165ab4ac9dbd406e6b1" title="其他重大合同" headerRef="132" convertSummaryRule="NoConvert" helpId="110007004"/>
    <m:item xlName="_GBC_680b9390780e4e2096adf48e91fa95ca" headerRef="133" up="募集资金使用进展说明" concept="clcid-ci-ar:ShiFouShiYongMuJiZiJinShiYongJinZhanShuoMing" label="是否适用：募集资金使用进展说明" selectOptions="_buildInAppliance" controlType="CustomCheckbox" cRanges="[{&quot;StartName&quot;:&quot;_GBC_680b9390780e4e2096adf48e91fa95ca&quot;,&quot;EndName&quot;:&quot;_SEC_711697a1f7a2410da19e2ebf4fd0a8d9&quot;,&quot;CType&quot;:1}]"/>
    <m:section xlName="_SEC_413dfb4663ad4788be1ab30f51e9ad00" title="募集资金整体使用情况" headerRef="134" helpText="1、对于某次融资的募集资金在报告期之前已经全部使用完毕的，无需填写。\n2、募集资金来源分为首次公开发行股票、向特定对象发行股票、发行可转换债券、其他。请填写对应募集资金到位时间，格式为：xxxx年xx月xx日。\n3、扣除发行费用后募集资金净额：实际募集资金总额扣除发行费用后的净额，请与上市公告书中的扣除发行费用后募集资金净额数额保持一致。\n4、募集资金承诺投资总额：招股说明书/募集说明书中披露的拟用于募投项目的募集资金总额。\n5、填写单位为：元"/>
    <m:item xlName="_GBC_d62426eab3014f178b7d8906e6ab8d2c" headerRef="135" up="募投项目明细" concept="clcid-ci-ar:ShiFouShiYongMuTouXiangMuMingXi" label="是否适用：募投项目明细" selectOptions="_buildInAppliance" controlType="CustomCheckbox" cRanges="[{&quot;StartName&quot;:&quot;_GBC_d62426eab3014f178b7d8906e6ab8d2c&quot;,&quot;EndName&quot;:&quot;_SEC_b926ba928d574ba0a7e97ab61b1105fc&quot;,&quot;CType&quot;:1}]"/>
    <m:section xlName="_SEC_e6c63beeba524f6c8c28498ba5240ad9" title="募投项目明细" headerRef="135" helpText="1、对于某次融资的募集资金在报告期之前已经全部使用完毕的，无需填写。\n2、该表列示目前仍在执行的或结项的募投项目明细，即如涉及募投项目变更，该表列示变更后的项目。对于某次融资的募集资金已经全部使用完毕的无需列示。\n3、募集资金来源分为首次公开发行股票、向特定对象发行股票、发行可转换债券、其他。请填写对应募集资金到位时间，格式为：xxxx年xx月xx日。\n4、募集资金计划投资总额：招股说明书/募集说明书中披露的拟用于募投项目的募集资金总额。超募资金使用的，填写拟投入募集资金金额。\n5、项目达到预定可使用状态日期：根据招股书/募集说明书中披露的项目实施周期及实际启动日期，填写具体时间，精确到月份。\n6、本项目已实现的效益或者研发成果：填写已实现的产能、已研发出的产品或已获批的专利等；如无前述成果，填写“无”。\n公司的子公司发生的本节所列重大事项，对投资者作出价值判断和投资决策有重大影响的，应当视同公司的重大事项予以披露。"/>
    <m:section xlName="_SEC_b926ba928d574ba0a7e97ab61b1105fc" title="超募资金明细使用情况" headerRef="135" helpText="对于某次融资的募集资金在报告期之前已经全部使用完毕的，无需填写。\n公司的子公司发生的本节所列重大事项，对投资者作出价值判断和投资决策有重大影响的，应当视同公司的重大事项予以披露。"/>
    <m:section xlName="_SEC_765a4abd121e4bf8bc1267fde4c0401f" title="报告期内募投变更情况" headerRef="136" orient="landscape" helpText="1、对于某次融资的募集资金在报告期之前已经全部使用完毕的，无需填写。\n2、包含终止募投项目用于补充流动资金情形，该情形下变更后项目名称填写补充流动资金。\n3、变更前项目名称：仅适用于原募投项目变更金额、原募投项目取消或终止。如因低募调低募集资金投入金额或取消某募投项目，不属于此处变更用途情形。\n4、变更或终止原因：具体说明变更或终止的原因及合理性，并明确变更或终止后的项目是否用于主营业务。"/>
    <m:section xlName="_SEC_46cef5bb25984707aca27aa80f83fd2a" title="募集资金投资项目先期投入及置换情况  ____" headerRef="138" helpText="对于某次融资的募集资金在报告期之前已经全部使用完毕的，无需填写。"/>
    <m:section xlName="_SEC_ff3e2416ad6c4af48b73d6cc3ce54fc1" title="用闲置募集资金暂时补充流动资金情况  ____" headerRef="139" helpText="对于某次融资的募集资金在报告期之前已经全部使用完毕的，无需填写。"/>
    <m:section xlName="_SEC_5e51418415d94f41b9d1f518b7caa82a" title="对闲置募集资金进行现金管理，投资相关产品情况  ____" headerRef="140" helpText="1、对于某次融资的募集资金在报告期之前已经全部使用完毕的，无需填写。\n2、董事会审议日期、起始日期和结束日期”的格式为：xxxx年xx月xx日。"/>
    <m:section xlName="_SEC_711697a1f7a2410da19e2ebf4fd0a8d9" title="其他" headerRef="141" helpText="对于某次融资的募集资金在报告期之前已经全部使用完毕的，无需填写。"/>
    <m:section xlName="_SEC_82a7281a6dc544bea8ef97d430f7b6fc" title="" headerRef="142" helpId="110011001"/>
    <m:section xlName="_GBC_dd8bc2a0b3ed4147a1e657cdc8573344" title="报告期内，公司股份总数及股本结构未发生变化。" checkKey="!变动增减" headerRef="146"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f9397743097a41aeb54f7cc576d0c924" title="股份变动情况表(已完成或不涉及股改)" rules="R2015_R6_001" checkKey="!未发生变化&amp;!未上市流通股份" headerRef="146"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872d4d405bf64e4d9c4e4ee9330ec2d5" title="股份变动情况表(未完成股改)" rules="R2015_R6_001" checkKey="!未发生变化&amp;!有限售条件股份" headerRef="146"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11d26f58e47e4a1f997d73362074f464" title="股份变动情况说明" rules="R2015_R6_001" headerRef="147" convertSummaryRule="NoConvert" helpId="104001001"/>
    <m:section xlName="_GBC_2c9eb79778814e39ab254196ba75dab3" title="报告期后到半年报披露日期间发生股份变动对每股收益等指标影响" rules="R2015_R6_001" headerRef="148" convertSummaryRule="NoConvert" helpId="104001001"/>
    <m:section xlName="_GBC_ea8cea8d08c04df4b51a4a58c86eadd2" title="公司认为必要或证券监管机构要求披露的其他内容" rules="R2015_R6_001" headerRef="149" convertSummaryRule="NoConvert" helpId="104001001"/>
    <m:section xlName="_SEC_71bda84d0fff4902850bfc37d3477fb7" title="限售股份变动情况" headerRef="150" helpId="104001031" helpText="注：若同一股东因不同限售原因或限售期限持有几类限售股份的，应当区别不同的限售原因或解除限售日期填写上表。"/>
    <m:section xlName="_GBC_ba0ac3b5d31347c0a620e3662112fa62" title="股东总数" rules="R2015_R6_002" headerRef="152" convertSummaryRule="NoConvert" helpId="104002001"/>
    <m:section xlName="_SEC_592bb0bb4ec54f4281af37e1affd5a7d" title="截至报告期末前十名股东持股情况表" checkKey="!非流通股" headerRef="153" helpText="上市公司在定期报告中披露期末前10名普通股股东或前10名无限售条件普通股股东情况时，应以股东通过各种证券账户（包括股东名下的普通证券账户、客户信用交易担保证券账户、资产管理产品证券账户及其他证券账户等，不含通过转融通出借股份）持有公司股份的合计数排序，同时无限售条件股份不含高管锁定股。上述排序均参考结算公司出具的《合并普通股账户和融资融券信用账户前N名明细数据表》《合并普通股账户和融资融券信用账户无限售条件流通前N名明细数据表》。证券公司客户信用交易担保证券账户仅作为名义持有人，不应作为股东参与排名，在披露的股东名单中不应出现“XX证券公司客户信用交易担保证券账户”的名称。\n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592bb0bb4ec54f4281af37e1affd5a7d" optionText="已完成股权分置改革或不涉及股权分置改革" optionGroupTitle="前十名股东持股情况" optionTargetConcept="clcid-cgi:GuQuanFenZhiGaiGeZhuangTai" optionTargetConceptValue="已完成股权分置改革" mergeDisplayOptionTag="_SEC_592bb0bb4ec54f4281af37e1affd5a7d"/>
    <m:section xlName="_SEC_e6be5feadfe34f78a95c27bf11e8485b" title="前十名股东参与转融通业务出借股份情况" checkKey="!非流通股" headerRef="153" helpText="《上海证券交易所上市公司自律监管指南第2号——业务办理（2023年11月修订）》第十一号\n融资融券、转融通相关事项：\n四、定期报告相关要求\n（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n（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n（三）上市公司拟披露参与融资融券及转融通业务相关股东持股情况的，应当根据中国证券登记结算有限责任公司及其上海分公司（以下简称中国结算）发布的融资融券、转融通业务有关规定，向中国结算申请取得相关信息。" optionTargetConcept="clcid-cgi:GuQuanFenZhiGaiGeZhuangTai" optionTargetConceptValue="已完成股权分置改革" mergeDisplayOptionTag="_SEC_592bb0bb4ec54f4281af37e1affd5a7d"/>
    <m:section xlName="_SEC_754d5c3876f14c478be5d284316e9503" title="前十名股东较上期发生变化" checkKey="!非流通股" headerRef="153" optionTargetConcept="clcid-cgi:GuQuanFenZhiGaiGeZhuangTai" optionTargetConceptValue="已完成股权分置改革" mergeDisplayOptionTag="_SEC_592bb0bb4ec54f4281af37e1affd5a7d"/>
    <m:section xlName="_SEC_b5308a454ece4ff1ac26795955195341" title="前十名有限售条件股东持股数量及限售条件" checkKey="!非流通股" headerRef="153" optionTargetConcept="clcid-cgi:GuQuanFenZhiGaiGeZhuangTai" optionTargetConceptValue="已完成股权分置改革" mergeDisplayOptionTag="_SEC_592bb0bb4ec54f4281af37e1affd5a7d"/>
    <m:section xlName="_GBC_4a9721209ff04ca9a1a9139d61e2a864" title="持有公司5%以上股份的前十名股东持股情况(未完成股改)" rules="R2015_R6_002" checkKey="!无限售" headerRef="154" helpId="104001032" helpText="上市公司在定期报告中披露期末前10名普通股股东或前10名无限售条件普通股股东情况时，应以股东通过各种证券账户（包括股东名下的普通证券账户、客户信用交易担保证券账户、资产管理产品证券账户及其他证券账户等，不含通过转融通出借股份）持有公司股份的合计数排序，同时无限售条件股份不含高管锁定股。上述排序均参考结算公司出具的《合并普通股账户和融资融券信用账户前N名明细数据表》《合并普通股账户和融资融券信用账户无限售条件流通前N名明细数据表》。证券公司客户信用交易担保证券账户仅作为名义持有人，不应作为股东参与排名，在披露的股东名单中不应出现“XX证券公司客户信用交易担保证券账户”的名称。\n注：《上海证券交易所上市公司自律监管指南第2号——业务办理（2023年11月修订）》第十一号\n融资融券、转融通相关事项：\n四、定期报告相关要求\n（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n（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n（三）上市公司拟披露参与融资融券及转融通业务相关股东持股情况的，应当根据中国证券登记结算有限责任公司及其上海分公司（以下简称中国结算）发布的融资融券、转融通业务有关规定，向中国结算申请取得相关信息。" primarySection="_SEC_592bb0bb4ec54f4281af37e1affd5a7d"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section xlName="_GBC_e978a717352b4bf6852a761b15c1e95b" title="战略投资者或一般法人因配售新股成为前10名股东" rules="R2015_R6_002" headerRef="155" convertSummaryRule="NoConvert" helpId="104001032"/>
    <m:section xlName="_SEC_34f8808520ab47be851d00ee44fc510b" title="现任及报告期内离任董事、监事和高级管理人员持股变动情况 " headerRef="157" helpId="105001001" helpText="注：\n1、报告期内离任的董事、监事、高级管理人员，仍需按本章要求披露相关内容。\n2、报告期后新任的，董事、监事、高级管理人员可作附注说明。\n注：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keyAction="31" keyCode="AutoSplitRow"/>
    <m:section xlName="_SEC_ddbdd27d049d452a9d63bfa087a3f3c5" title="其它情况说明" headerRef="157"/>
    <m:section xlName="_SEC_e31f847e559a4ff7aa07914d45526543" title="董事、监事、高级管理人员报告期内被授予的股权激励情况" headerRef="158" helpId="105001001" helpText="注：\n1、报告期内离任的董事、监事、高级管理人员，仍需按本章要求披露相关内容。\n2、报告期后新任的，董事、监事、高级管理人员可作附注说明。"/>
    <m:section xlName="_SEC_b5cd47f19fe24fecafd1039d3c1c6b51" title="董事、监事、高级管理人员报告期内被授予的股权激励情况表二" headerRef="158" helpId="105001001" helpText="注：\n1、报告期内离任的董事、监事、高级管理人员，仍需按本章要求披露相关内容。\n2、报告期后新任的，董事、监事、高级管理人员可作附注说明。"/>
    <m:section xlName="_SEC_a1a4d90699494886b231030a7c17645b" title="其他董事、监事、高级管理人员和员工情况" rules="R2015_R8_001" headerRef="159"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headerRef="160" convertSummaryRule="ConvertDefinedText" convertText="本报告期内公司控股股东或实际控制人没有发生变更。" helpId="104002003"/>
    <m:item xlName="_GBC_2113adbee8464e1c828b3d6d35c60abf" headerRef="161" up="优先股相关情况"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aderRef="162" helpId="112001228"/>
    <m:section xlName="_SEC_09ecd5a571d64e909892f8249659d711" title="优先股股东情况" tupleConcept="clcid-cgi:QianShiMingYouXianGuGuDongQingKuangMingXi" repeatable="1" headerRef="164" helpId="104002009"/>
    <m:section xlName="_GBC_cdbecede1d44433785be1be860bc785b" title="其他优先股股东情况说明" rules="R2015_R7_001" headerRef="166" helpId="110008001"/>
    <m:section xlName="_GBC_dd0252a8df9640e89dc854d849426857" title="回购情况" rules="R2015_R7_001" headerRef="168" helpId="112001230"/>
    <m:section xlName="_GBC_bfe4b4f422a94baaa8274d70ba44bfb9" title="转换情况" rules="R2015_R7_001" headerRef="169" helpId="112001229"/>
    <m:section xlName="_GBC_ddb96eb7a92a4d6285f620d33674775f" title="报告期内存在优先股表决权恢复的，公司应当披露相关表决权的恢复情况" rules="R2015_R7_001" headerRef="170" helpId="112001231"/>
    <m:section xlName="_GBC_8c2b7a1d2d1b4786b4822d8ec9c8c28f" title="公司对优先股采取的会计政策及理由" rules="R2015_R7_001" headerRef="171" helpId="112001232"/>
    <m:section xlName="_GBC_8fb06e980aee40a3b1b78ccabb3fc0e3" title="其他优先股相关情况" rules="R2015_R7_001" headerRef="172"/>
    <m:item xlName="_GBC_8e6b9cf2d8c24a6faf41199f98e408b3" helpId="112500014" headerRef="174" up="公司债券（含企业债券）和非金融企业债务融资工具"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0aefba4fc6d84d32a7c7d372906dfb2e" headerRef="175" up="公司债券（含企业债券）" concept="clcid-ci-ar:ShiFouShiYongGongSiZhaiQuanXiangGuanQingKuang" label="是否适用：公司债券相关情况" selectOptions="_buildInAppliance" controlType="CustomCheckbox" cRanges="[{&quot;StartName&quot;:&quot;_GBC_0aefba4fc6d84d32a7c7d372906dfb2e&quot;,&quot;EndName&quot;:&quot;_SEC_b7d50a796590402696ce9352af7e9496&quot;,&quot;CType&quot;:1}]"/>
    <m:section xlName="_SEC_ea7d4fd769564315a74d9d85b6aed2f9" title="公司债券基本情况" headerRef="176" convertSummaryRule="NoConvert" helpId="112500001" helpText="公司债券基本信息列表以未来行权（含到期及回售）时间顺序排列"/>
    <m:section xlName="_SEC_a78818601652484a980eda0c78d6536d" title="公司对债券终止上市交易风险的应对措施  ____" headerRef="176" helpId="112500001"/>
    <m:section xlName="_SEC_5399143278374bc6a0338b597e80e0a8" title="发行人或投资者选择权条款、投资者保护条款的触发和执行情况 ..." headerRef="177" helpId="110002105"/>
    <m:section xlName="_SEC_f79901d570c546118d8c8e652fd6699d" title="信用评级结果调整情况" headerRef="178" helpId="101001123">
      <m:axisValue occRef="非金融企业债务融资工具"/>
    </m:section>
    <m:section xlName="_SEC_f0fb497d2dc44da48452d2fd65e1db0f" title="其他说明  ____" headerRef="178" orient="landscape">
      <m:axisValue occRef="非金融企业债务融资工具"/>
    </m:section>
    <m:section xlName="_SEC_82f9c67b20cb45eda99d978cc09be2e9" title="担保情况、偿债计划及其他偿债保障措施在报告期内的执行和变化情况及其影响" headerRef="179" helpId="101001126">
      <m:axisValue occRef="非金融企业债务融资工具"/>
    </m:section>
    <m:section xlName="_SEC_b7d50a796590402696ce9352af7e9496" title="担保情况、偿债计划及其他偿债保障措施在报告期内的执行情况和变..." headerRef="179" helpId="110002106"/>
    <m:item xlName="_GBC_26e1b928d11c47bfad361d998e446706" headerRef="180" up="银行间债券市场非金融企业债务融资工具" concept="clcid-ci-ar:ShiFouShiYongYinXingJianZhaiQuanShiChangFeiJinRongQiYeZhaiWuRongZiGongJuXiangGuanQingKuang" label="是否适用：银行间债券市场非金融企业债务融资工具相关情况" selectOptions="_buildInAppliance" appId="_GBC_8e6b9cf2d8c24a6faf41199f98e408b3" controlType="CustomCheckbox"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headerRef="181" convertSummaryRule="NoConvert" helpId="112500001"/>
    <m:section xlName="_SEC_c960bfcad3944f559dd2eefcbad971ce" title="(一) 非金融企业债务融资工具 公司对债券终止上市交易风险的应对措施" headerRef="181" helpId="112500001"/>
    <m:section xlName="_SEC_7345dace4a85448a8e1bbd6a35cf959d" title="非金融企业债务融资工具逾期未偿还债券" headerRef="181" helpId="112500009"/>
    <m:section xlName="_SEC_93a4b57e6e6e46698f68241bcd35c49f" title="非金融企业债务融资工具关于逾期债项的说明" headerRef="181" helpId="112500009"/>
    <m:section xlName="_SEC_ee8ef2708a4c4a4bbfcdb7705ac59e4b" title="非金融企业债务融资工具发行人或投资者选择权条款、投资者保护条款的触发和执行情况" headerRef="182" helpId="110002105"/>
    <m:section xlName="_SEC_21c70a9f67594b1f943dc6ddb6783183" title="企业债券信用评级结果调整情况" headerRef="183" helpId="101001123">
      <m:axisValue occRef="非金融企业债务融资工具"/>
    </m:section>
    <m:section xlName="_SEC_edcb7f3e4f694fc8b787ab7a6d69a671" title="其他说明  ____" headerRef="183">
      <m:axisValue occRef="非金融企业债务融资工具"/>
    </m:section>
    <m:section xlName="_SEC_1787be1f0f6f4989a888633e99a258d5" title="企业债券_担保情况、偿债计划及其他偿债保障措施在报告期内的执行和变化情况及其影响" headerRef="184" helpId="101001126">
      <m:axisValue occRef="非金融企业债务融资工具"/>
    </m:section>
    <m:section xlName="_SEC_96d3c49bcdff4a708e6cc02215c1760c" title="非金融企业债务融资工具担保情况、偿债计划及其他偿债保障措施在报告期内的执行和变化情况及其影响" headerRef="184" helpId="110002106"/>
    <m:section xlName="_SEC_f9bf2c4fe6ff467498e3773fc0c13df6" title="非金融企业债务融资工具其他情况的说明" headerRef="185"/>
    <m:section xlName="_SEC_e66fe740b4dc4bd1ba7b176d7db2eac3" title="公司债券募集资金使用情况" headerRef="186" helpText="涉及公司债券（含企业债券）的需填写"/>
    <m:section xlName="_SEC_79ad8f13cd45470582427f9361251f9a" title="债券募集资金使用情况" tupleConcept="bond:MuJiZiJinShiYongQingKuangMingXi" repeatable="1" headerRef="186"/>
    <m:section xlName="_SEC_a4ce65c42c2f477d863a2ebc8f9fde2d" title="专项品种债券应当披露的其他事项" headerRef="193" helpText="1、涉及公司债券（含企业债券）的判断是否适用填写。\n2、报告期内存续专项债的，无论批准报出日债券是否出存续，均应披露。"/>
    <m:section xlName="_SEC_c9b02363c7a34fa9ab37f667c0476b57" title="发行人为可交换债券发行人" headerRef="194"/>
    <m:section xlName="_SEC_fc1a081166ed463e9806c0044b90e2c0" title="可交换债券发行人单位币种" headerRef="194"/>
    <m:section xlName="_SEC_0cc144abadaf49c6b22693ddd2d1f65c" title="可交换债券发行人" repeatable="1" headerRef="194" helpText="1、涉及公司债券（含企业债券）的判断是否适用填写。\n2、报告期内存续专项债的，无论批准报出日债券是否出存续，均应披露。" lockTable="4" keyAction="65">
      <m:virtualTuples>
        <m:virtualTuple id="105f8db2-47b5-4283-accf-4680581487c8" tupleRef="bond:FaXingRenWeiKeJiaoHuanZhaiQuanFaXingRenMingXi" extendDirection="2" splitWidth="1"/>
      </m:virtualTuples>
    </m:section>
    <m:section xlName="_SEC_69e2063532b246e8b0a9dd299ab76390" title="发行人为其他特殊品种债券发行人" headerRef="195" helpText="1、涉及公司债券（含企业债券）的判断是否适用填写。\n2、报告期内存续专项债的，无论批准报出日债券是否出存续，均应披露。"/>
    <m:section xlName="_SEC_3153f25a2d6f4e469c466dc5ea906418" title="其他特殊品种债券发行人" headerRef="195"/>
    <m:section xlName="_SEC_5615bd7eff924578b7f106706152ae0d" title="绿色公司债券发行人" repeatable="1" headerRef="195" helpText="1、涉及公司债券（含企业债券）的判断是否适用填写。\n2、报告期内存续专项债的，无论批准报出日债券是否出存续，均应披露。" lockTable="4">
      <m:virtualTuples>
        <m:virtualTuple id="df9a8ef3-4979-4416-9f5a-2c6a08762377" tupleRef="bond:LvSeGongSiZhaiQuanFaXingRenMingXi" extendDirection="2" splitWidth="1"/>
      </m:virtualTuples>
    </m:section>
    <m:section xlName="_SEC_250d1cbe2daa44a0826580affa9cff8f" title="四、发行人为可续期公司债券发行人" headerRef="196" helpText="1、涉及公司债券（含企业债券）的判断是否适用填写。\n2、报告期内存续专项债的，无论批准报出日债券是否出存续，均应披露。"/>
    <m:section xlName="_SEC_a49f1ccb52f944f6a997cc478b6fc89b" title="" headerRef="196"/>
    <m:section xlName="_SEC_e119b191a8414e08b95acd2bc812aff2" title="可续期公司债券发行人" repeatable="1" headerRef="196" helpText="1、涉及公司债券（含企业债券）的判断是否适用填写。\n2、报告期内存续专项债的，无论批准报出日债券是否出存续，均应披露。">
      <m:virtualTuples>
        <m:virtualTuple id="697c70b8-5d9d-426a-8d46-62027057f90f" tupleRef="bond:KeXuQiGongSiZhaiQuanFaXingRenMingXi" extendDirection="2" splitWidth="1"/>
      </m:virtualTuples>
    </m:section>
    <m:section xlName="_SEC_fcb8bbba8faa4356862dc502e9a7a8ae" title="发行人为扶贫债券发行人" headerRef="197" helpText="1、涉及公司债券（含企业债券）的判断是否适用填写。\n2、报告期内存续专项债的，无论批准报出日债券是否出存续，均应披露。"/>
    <m:section xlName="_SEC_06cfd8ae20c8442d89c26876f4994c26" title="单位：亿元 币种：人民币" headerRef="197"/>
    <m:section xlName="_SEC_73ab530b1eff4612ab784293caca5e60" title="扶贫债券" repeatable="1" headerRef="197" helpText="1、涉及公司债券（含企业债券）的判断是否适用填写。\n2、报告期内存续专项债的，无论批准报出日债券是否出存续，均应披露。" lockTable="4">
      <m:virtualTuples>
        <m:virtualTuple id="ae00df5b-89be-4468-b309-faba708a2c6c" tupleRef="bond:FuPinZhaiQuanMingXi" extendDirection="2" splitWidth="1"/>
      </m:virtualTuples>
    </m:section>
    <m:section xlName="_SEC_215286998a09419db10c84265d83eea9" title="发行人为乡村振兴债券发行人" headerRef="198" helpText="1、涉及公司债券（含企业债券）的判断是否适用填写。\n2、报告期内存续专项债的，无论批准报出日债券是否出存续，均应披露。"/>
    <m:section xlName="_SEC_ac901c8710d24d84964e9ee9ed5df531" title="单位：亿元 币种：人民币" headerRef="198"/>
    <m:section xlName="_SEC_b89c34cd84a74ac5bf9575dd95a2ea8f" title="乡村振兴债券" repeatable="1" headerRef="198" helpText="1、涉及公司债券（含企业债券）的判断是否适用填写。\n2、报告期内存续专项债的，无论批准报出日债券是否出存续，均应披露。" lockTable="4">
      <m:virtualTuples>
        <m:virtualTuple id="3bef7e25-4ba7-4df8-8fa9-75d3a813e9e8" tupleRef="bond:XiangCunZhenXingZhaiQuanMingXi" extendDirection="2" splitWidth="1"/>
      </m:virtualTuples>
    </m:section>
    <m:section xlName="_SEC_8e9a36d5d93f4589a55be6955ecda6f7" title="发行人为一带一路债券发行人" headerRef="199" helpText="1、涉及公司债券（含企业债券）的判断是否适用填写。\n2、报告期内存续专项债的，无论批准报出日债券是否出存续，均应披露。"/>
    <m:section xlName="_SEC_67c213a91b4e4f3db78943c72e96122e" title="单位：亿元 币种：人民币" headerRef="199"/>
    <m:section xlName="_SEC_404a9ea8fc8f450288c8e467d733ca45" title="一带一路债券" repeatable="1" headerRef="199" helpText="1、涉及公司债券（含企业债券）的判断是否适用填写。\n2、报告期内存续专项债的，无论批准报出日债券是否出存续，均应披露。" lockTable="4">
      <m:virtualTuples>
        <m:virtualTuple id="6a1b0d14-443b-47c3-90a9-c8e785dacece" tupleRef="bond:YiDaiYiLuZhaiQuanMingXi" extendDirection="2" splitWidth="1"/>
      </m:virtualTuples>
    </m:section>
    <m:section xlName="_SEC_7408a3bd2716436a94add98b26b30fd8" title="科技创新债或者双创债" headerRef="200" helpText="1、涉及公司债券（含企业债券）的判断是否适用填写。\n2、报告期内存续专项债的，无论批准报出日债券是否出存续，均应披露。"/>
    <m:section xlName="_SEC_3d91b5ba1c4e47339348d250c17cee56" title="单位币种" headerRef="200"/>
    <m:section xlName="_SEC_0b63296ce7de43559b7bcadbb7defb7d" title="科技创新债或者双创债" repeatable="1" headerRef="200" helpText="1、涉及公司债券（含企业债券）的判断是否适用填写。\n2、报告期内存续专项债的，无论批准报出日债券是否出存续，均应披露。">
      <m:virtualTuples>
        <m:virtualTuple id="8ed19c78-2061-4e9d-b3a8-e5b9b2d79b21" tupleRef="bond:KeJiChuangXinZhaiMingXi" extendDirection="2" splitWidth="1"/>
      </m:virtualTuples>
    </m:section>
    <m:section xlName="_SEC_806fc7fc4d32494089d9b6c64fc73d6b" title="低碳转型（挂钩）公司债券" headerRef="201" helpText="1、涉及公司债券（含企业债券）的判断是否适用填写。\n2、报告期内存续专项债的，无论批准报出日债券是否出存续，均应披露。"/>
    <m:section xlName="_SEC_88d6d09f9fe14b309ef28248aca2ce15" title="单位币种" headerRef="201"/>
    <m:section xlName="_SEC_89e195c29d6b481e83cfd4036969d906" title="低碳转型（挂钩）公司债券" repeatable="1" headerRef="201" helpText="1、涉及公司债券（含企业债券）的判断是否适用填写。\n2、报告期内存续专项债的，无论批准报出日债券是否出存续，均应披露。">
      <m:virtualTuples>
        <m:virtualTuple id="0b14a4a7-7bc3-46ab-98fa-cd5e0d43dbcb" tupleRef="bond:DiTanZhuanXingGongSiZhaiQuanMingXi" extendDirection="2" splitWidth="1"/>
      </m:virtualTuples>
    </m:section>
    <m:section xlName="_SEC_bff57ad97afa49988ca221f054ed0db5" title="纾困公司债券" headerRef="202" helpText="1、涉及公司债券（含企业债券）的判断是否适用填写。\n2、报告期内存续专项债的，无论批准报出日债券是否出存续，均应披露。"/>
    <m:section xlName="_SEC_b933da3a58544dcc805b61c0203a9810" title="单位币种" headerRef="202"/>
    <m:section xlName="_SEC_84ad849505844593a754cd42690185b9" title="纾困公司债券" repeatable="1" headerRef="202" helpText="1、涉及公司债券（含企业债券）的判断是否适用填写。\n2、报告期内存续专项债的，无论批准报出日债券是否出存续，均应披露。">
      <m:virtualTuples>
        <m:virtualTuple id="8795b403-d049-41a8-b4be-3085f35d2246" tupleRef="bond:ShuKunGongSiZhaiQuanMingXi" extendDirection="2" splitWidth="1"/>
      </m:virtualTuples>
    </m:section>
    <m:section xlName="_SEC_13491b20fc424bcb8942fa06a1c64308" title="中小微企业支持债券" headerRef="203" helpText="1、涉及公司债券（含企业债券）的判断是否适用填写。\n2、报告期内存续专项债的，无论批准报出日债券是否出存续，均应披露。"/>
    <m:section xlName="_SEC_9fdcb484e53b4b589f836a58d0b46cb4" title="单位：亿元  币种：人民币" headerRef="203"/>
    <m:section xlName="_SEC_024ad0797f90488a80db23e3f3e66e87" title="中小微企业支持债券发行人" repeatable="2" headerRef="203" helpText="1、涉及公司债券（含企业债券）的判断是否适用填写。\n2、报告期内存续专项债的，无论批准报出日债券是否出存续，均应披露。">
      <m:virtualTuples>
        <m:virtualTuple id="41ec6b9e-07d8-4e9c-8e62-fb77729c5bc9" tupleRef="bond:ZhongXiaoWeiQiYeZhiChiZhaiQuanMingXi" extendDirection="2" splitWidth="1"/>
      </m:virtualTuples>
    </m:section>
    <m:section xlName="_SEC_5ff3548634094e7599eaff26f0dc2c7a" title="其他特定品种债券事项" headerRef="204" helpText="1、涉及公司债券（含企业债券）的判断是否适用填写。\n2、报告期内存续专项债的，无论批准报出日债券是否出存续，均应披露。"/>
    <m:section xlName="_SEC_89bbfbd577384b6082eed6305d758cdb" title="报告期内公司债券相关重要事项" headerRef="205" helpText="涉及公司债券（含企业债券）的需填写"/>
    <m:section xlName="_SEC_22bc7414df8e4760a7f83accef77a1ca" title="非经营性往来占款和资金拆借余额" headerRef="206" helpText="涉及公司债券（含企业债券）的需填写"/>
    <m:section xlName="_SEC_ec97a61d67724ed0a6e24554bfd553f3" title="截止报告期末，未收回的非经营性往来占款和资金拆借的主要构成、..." headerRef="208" helpText="涉及公司债券（含企业债券）的需填写" optionTargetConcept="bond:MoKuaiFeiJingChangXingWangLaiZhanKuanHeZiJinChaiJie" optionTargetConceptValue="true"/>
    <m:section xlName="_SEC_3053e21160aa4cf8839fb1a9edef8d45" title="公司非经营性往来占款和资金拆借账龄结构" headerRef="208" helpText="涉及公司债券（含企业债券）的需填写" optionTargetConcept="bond:MoKuaiFeiJingChangXingWangLaiZhanKuanHeZiJinChaiJie" optionTargetConceptValue="true"/>
    <m:section xlName="_SEC_d476d2b886c343da9c2df1e712ddca5e" title="报告期末，发行人非经营性往来占款和资金拆借前5名债务方单位..." headerRef="209" helpText="涉及公司债券（含企业债券）的需填写" optionTargetConcept="bond:MoKuaiFeiJingChangXingWangLaiZhanKuanHeZiJinChaiJie" optionTargetConceptValue="true"/>
    <m:section xlName="_SEC_0756ce3975cf4fce90f5541e8f952c06" title="以前报告期内披露的回款安排的执行情况" headerRef="210" helpText="涉及公司债券（含企业债券）的需填写"/>
    <m:section xlName="_SEC_9d83f549b0b84cff8d3523d1174d5e77" title="发行人债务结构情况报告期初和报告期末，发行人口径（非发行人..." headerRef="213" helpText="涉及公司债券（含企业债券）的需填写"/>
    <m:section xlName="_SEC_139e2c1b974e4a54997cc9b4fdb7a7f4" title="发行人合并口径有息债务结构情况报告期初和报告期末，发行人合..." headerRef="214" helpText="涉及公司债券（含企业债券）的需填写"/>
    <m:section xlName="_SEC_ecfb6211bb734dba9c41de024576810c" title="截止报告期末，发行人合并口径内发行的境外债券余额亿元人..." headerRef="215" helpText="涉及公司债券（含企业债券）的需填写"/>
    <m:section xlName="_SEC_5702f60cb45747bab6bad125fbd9fa39" title="报告期末是否存在公司信用类债券逾期或其他单笔债务逾期金额超过..." headerRef="216" helpText="涉及公司债券（含企业债券）的需填写"/>
    <m:section xlName="_SEC_66a589b4d26e45ac89e205f97f0654e6" title="存在逾期金额超过1000万元的有息债务" headerRef="216" helpText="涉及公司债券（含企业债券）的需填写"/>
    <m:section xlName="_SEC_7be399c7437e41e9886a5b5f148772fe" title="" headerRef="217" helpText="涉及公司债券（含企业债券）的需填写"/>
    <m:section xlName="_SEC_9738a2f6f1d24bd6a456c0b644492507" title="可对抗第三人的优先偿付负债情况" headerRef="218" helpText="涉及公司债券（含企业债券）的需填写"/>
    <m:section xlName="_SEC_53cb8a9927c84975874838d7d288b8eb" title="公司报告期内合并报表范围亏损超过上年末净资产10%亏损情..." headerRef="219" helpId="110002107" keyAction="42" keyCode="2"/>
    <m:section xlName="_SEC_9f3013bc6d4940f49cf3cfe39dab5a57" title="截至报告期末公司近2年的会计数据和财务指标" headerRef="220" helpId="112500008" helpText="表里的“扣除非经常性损益后净利润”指的是“归属于上市公司股东的扣除非经常性损益的净利润”"/>
    <m:item xlName="_GBC_6a49e99841294af3b87ba6216b1997d9" headerRef="221" up="可转换公司债券情况"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headerRef="222" convertSummaryRule="NoConvert"/>
    <m:section xlName="_SEC_7f82abb841ec4e91b7d333b30060eb09" title="报告期转债持有人及担保人情况" tupleConcept="clcid-cgi:BaoGaoQiZhuanZhaiChiYouRenJiDanBaoRenQingKuangMingXi" repeatable="1" headerRef="223"/>
    <m:section xlName="_SEC_b9f22fe710ea43fdac5cd3b3d1602d99" title="报告期转债变动情况" headerRef="224" convertSummaryRule="NoConvert"/>
    <m:section xlName="_SEC_9efab8215ecb4674a0bf11385b12d00f" title="报告期转债累计转股情况" tupleConcept="clcid-cgi:BaoGaoQiZhuanZhaiLeiJiZhuanGuQingKuangMingXi" repeatable="1" headerRef="225"/>
    <m:item xlName="_GBC_00961fb4f3ee4a1694a243600402a0a9" indRef="145" concept="clcid-ci-ar:DanWeiZhuanGuJiaGeLiCiTiaoZhengQingKuang" label="单位：转股价格历次调整情况" selectOptions="_buildInScales" appId="_GBC_6a49e99841294af3b87ba6216b1997d9" controlType="Combobox" cellType="Scale" keyCode="InitialValue:元" keyAction="31"/>
    <m:item xlName="_GBC_a431a6b0a18c49efa3d2e8d3c8bd1e70" indRef="146" concept="clcid-ci-ar:BiZhongZhuanGuJiaGeLiCiTiaoZhengQingKuang" label="币种：转股价格历次调整情况" selectOptions="_buildInISO4217" appId="_GBC_6a49e99841294af3b87ba6216b1997d9" controlType="Combobox" cellType="Measure" keyCode="InitialValue:人民币" keyAction="31"/>
    <m:section xlName="_SEC_a5cea25713674d7d8959e2b0b662b500" title="转股价格历次调整情况" tupleConcept="clcid-cgi:ZhuanGuJiaGeLiCiDiaoZhengQingKuangMingXi" repeatable="1" headerRef="226"/>
    <m:section xlName="_SEC_61331536cfaf4da0a6a270818a4ab35b" title="公司的负债情况、资信变化情况及在未来年度还债的现金安排" headerRef="227" convertSummaryRule="NoConvert"/>
    <m:section xlName="_SEC_cc036ec1e45042a4a4bce38515d23fb4" title="转债其他情况说明" headerRef="228" convertSummaryRule="NoConvert"/>
    <m:section xlName="_GBC_3c4b7d00409449a2b71d41277e7bd042" title="审计报告" headerRef="230" helpId="112001005" helpText="注：公司应披露具有证券期货业务资格的会计师事务所盖章及由两名或两名以上注册会计师签名盖章的审计报告全文。请上市公司将审计报告全文填写在此文本框内。"/>
    <m:section xlName="_GBC_f3d43b26b5d34a4c88db3cb7d81650cc" title="需要编制合并报表" checkKey="合并" headerRef="232" helpId="112001001" helpText="若2024年首次执行新会计准则或准则解释等调整首次执行当年年初财务报表相关项目的，则2023年12月31日列按照旧会计准则涉及科目填写；若首次执行新会计准则或准则解释等追溯调整前期比较数据的，则2023年12月31日列按照新会计准则涉及科目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noCustom="1"/>
    <m:section xlName="_GBC_1503eb297d3448c582e8e9dc7031b2c7" title="无需编制合并报表" checkKey="!合并" headerRef="234" helpId="112001001" helpText="若2024年首次执行新会计准则或准则解释等调整首次执行当年年初财务报表相关项目的，则2023年12月31日列按照旧会计准则涉及科目填写；若首次执行新会计准则或准则解释等追溯调整前期比较数据的，则2023年12月31日列按照新会计准则涉及科目填写。" primarySection="_GBC_f3d43b26b5d34a4c88db3cb7d81650cc"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aderRef="235"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noCustom="1"/>
    <m:section xlName="_GBC_3ad209fb8b5d433d8d91b39c5a1a6fe2" title="无需编制合并报表" checkKey="!合并" headerRef="237"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noCustom="1">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aderRef="238"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noCustom="1"/>
    <m:section xlName="_GBC_de8d3cfcf111414a940cf01324ef9389" title="无需编制合并报表" checkKey="!合并" headerRef="240"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aderRef="241"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axisType="XYAxis" keyAction="57" otherKeyActions="{&quot;KeyCode&quot;:&quot;2&quot;,&quot;KeyAction&quot;:42,&quot;KeyActionTitle&quot;:null,&quot;OtherActions&quot;:null}" noCustom="1"/>
    <m:section xlName="_GBC_f6396333f93949a599b3a170d5a7962b" title="无需编制合并报表" checkKey="!合并" headerRef="243" orient="landscape"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axisType="XYAxis" keyAction="57" otherKeyActions="{&quot;KeyCode&quot;:&quot;2&quot;,&quot;KeyAction&quot;:42,&quot;KeyActionTitle&quot;:null,&quot;OtherActions&quot;:null}" noCustom="1">
      <m:rowModel/>
    </m:section>
    <m:section xlName="_SEC_fd2e2f67954e46ae836300d3eb98cf6d" title="公司基本情况" headerRef="244" ignorePeriod="1" convertSummaryRule="NoConvert" helpId="112001003"/>
    <m:section xlName="_GBC_6d12949d3695402592266a78137dcfb5" title="财务报表的编制基础" headerRef="247" helpId="112001007"/>
    <m:section xlName="_GBC_69ae6baeacb44e8fa17b0b984abbf6ab" title="持续经营" headerRef="248"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aderRef="249" helpId="112001010" helpText="注：公司根据实际生产经营特点制定的具体会计政策和会计估计，应在本节开始部分对相关事项进行提示。"/>
    <m:section xlName="_GBC_a0afbb5b3a444bce84ee78a2a282cb28" title="遵循企业会计准则的声明" headerRef="250" helpId="112001010"/>
    <m:section xlName="_GBC_2d7f332501c8461ea731797db5588ee5" title="会计期间" headerRef="251" helpId="112001010"/>
    <m:section xlName="_GBC_b045784ca7904d52a060134ffec0d88c" title="营业周期" headerRef="252" ignorePeriod="1" helpId="112001010" helpText="注：公司对营业周期不同于12个月，并以营业周期作为资产和负债的流动性划分标准的，应说明营业周期及确定依据。"/>
    <m:section xlName="_GBC_13b1061968754e20bebf2099281ed54f" title="记账本位币" headerRef="253" helpId="112001010"/>
    <m:section xlName="_SEC_76d2fbb6df224868bf571b62d2c7c349" title="重要性标准确定方法和选择依据" headerRef="254" helpText="根据15号文第四条，公司在编制和披露财务报告时应遵循重要性原则，披露事项涉及重要性标准判断的，应披露重要性标准确定方法和选择依据。\n公司可结合自身实际情况，选择在此处按照一定分类标准集中披露附注所涉的重要性标准；或者在后文各具体附注项下的“其他说明”中分别披露，此处索引。"/>
    <m:section xlName="_GBC_f44e1e76b2a3457ea36bc088adcbb4c3" title="同一控制下和非同一控制下企业合并的会计处理方法" headerRef="255" ignorePeriod="1" convertSummaryRule="NoConvert" helpId="112001010"/>
    <m:section xlName="_GBC_c23be25e527044f689b710dabd312b04" title="合并财务报表的编制方法" headerRef="256" ignorePeriod="1" helpId="112001010"/>
    <m:section xlName="_GBC_a6643877dd0341e39dee12c064dc6fdc" title="合营安排分类及共同经营会计处理方法" headerRef="257" ignorePeriod="1" helpId="112001010"/>
    <m:section xlName="_GBC_9f2dfe6521c4434b9ad3e7bb1a8a52b7" title="现金及现金等价物的确定标准" headerRef="258" helpId="112001010"/>
    <m:section xlName="_GBC_cff1e1487c3242a8a1be0ce9c2b7a554" title="外币业务和外币报表折算" headerRef="259" ignorePeriod="1" convertSummaryRule="NoConvert" helpId="112001010" helpText="注：说明发生外币交易时折算汇率的确定方法、在资产负债表日外币货币性项目采用的折算方法、汇兑损益的处理方法以及外币报表折算的会计处理方法。"/>
    <m:section xlName="_GBC_4b3a058b038b41689d379e6a2726a904" title="金融工具" headerRef="260" ignorePeriod="1" helpId="112001010"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aefda35d1a7148f0844e33d721703cda" headerRef="261" up="应收票据" concept="clcid-ci-ar:ShiFouShiYongYingShouPiaoJuZhongYaoHuiJiZhengCeHeGuJi" label="是否适用：应收票据_重要会计政策和估计" selectOptions="_buildInAppliance" controlType="CustomCheckbox" cRanges="[{&quot;StartName&quot;:&quot;_GBC_aefda35d1a7148f0844e33d721703cda&quot;,&quot;EndName&quot;:&quot;_SEC_250b7b96804647b0920c1cf5c92456c9&quot;,&quot;CType&quot;:1}]"/>
    <m:section xlName="_SEC_5f7ccc4533204a4ea40abf6cfc0e2cf7" title="按照信用风险特征组合计提坏账准备的组合类别及确定依据单击或..." headerRef="261" helpId="112001010"/>
    <m:section xlName="_SEC_92b754b9d1c8488b9a3dbd4f8e544605" title="基于账龄确认信用风险特征组合的账龄计算方法单击或点击此处输..." headerRef="261" helpId="112001010"/>
    <m:section xlName="_SEC_250b7b96804647b0920c1cf5c92456c9" title="按照单项计提坏账准备的单项计提判断标准单击或点击此处输入文..." headerRef="261" helpId="112001010"/>
    <m:item xlName="_GBC_9bb0ad4fd90e4860a048c5c1b42cdc17" headerRef="262" up="应收账款" concept="clcid-ci-ar:ShiFouShiYongYingShouZhangKuanZhongYaoHuiJiZhengCeHeGuJi" label="是否适用：应收账款_重要会计政策和估计" selectOptions="_buildInAppliance" controlType="CustomCheckbox" cRanges="[{&quot;StartName&quot;:&quot;_GBC_9bb0ad4fd90e4860a048c5c1b42cdc17&quot;,&quot;EndName&quot;:&quot;_SEC_c8e55835e2d842228ebba8e2018130c8&quot;,&quot;CType&quot;:1}]"/>
    <m:section xlName="_SEC_69bd2fa75eba49e8a935e93c11b981ac" title="按照信用风险特征组合计提坏账准备的组合类别及确定依据单击或..." headerRef="262" helpId="112001010"/>
    <m:section xlName="_SEC_82302f3d7cd346af81560053dc7d45b5" title="基于账龄确认信用风险特征组合的账龄计算方法单击或点击此处输..." headerRef="262" helpId="112001010"/>
    <m:section xlName="_SEC_c8e55835e2d842228ebba8e2018130c8" title="按照单项计提坏账准备的认定单项计提判断标准单击或点击此处输..." headerRef="262" helpId="112001010"/>
    <m:item xlName="_GBC_47906a8d31c54a72891112f417e1058d" headerRef="263" up="应收款项融资" concept="clcid-ci-ar:ShiFouShiYongYingShouKuanXiangRongZiZhongYaoKuaiJiZhengCeHeGuJi" label="是否适用：应收款项融资_重要会计政策和估计" selectOptions="_buildInAppliance" controlType="CustomCheckbox" cRanges="[{&quot;StartName&quot;:&quot;_GBC_47906a8d31c54a72891112f417e1058d&quot;,&quot;EndName&quot;:&quot;_SEC_a133dfa6dbfe498b86ace80225b3dbb3&quot;,&quot;CType&quot;:1}]"/>
    <m:section xlName="_SEC_416ee1c34e144a8e91d422b5d31a97f8" title="按照信用风险特征组合计提坏账准备的组合类别及确定依据单击或..." headerRef="263" helpId="112001010"/>
    <m:section xlName="_SEC_717801d7faa4451aa8dc0acca0e0447e" title="基于账龄确认信用风险特征组合的账龄计算方法单击或点击此处输..." headerRef="263" helpId="112001010"/>
    <m:section xlName="_SEC_a133dfa6dbfe498b86ace80225b3dbb3" title="按照单项计提坏账准备的单项计提判断标准单击或点击此处输入文..." headerRef="263" helpId="112001010"/>
    <m:item xlName="_GBC_dfe58b09048a4951b32b48ce6a3930aa" headerRef="264" up="其他应收款" concept="clcid-ci-ar:ShiFouShiYongQiTaYingShouKuanZhongYaoHuiJiZhengCeHeGuJi" label="是否适用：其他应收款_重要会计政策和估计" selectOptions="_buildInAppliance" controlType="CustomCheckbox" cRanges="[{&quot;StartName&quot;:&quot;_GBC_dfe58b09048a4951b32b48ce6a3930aa&quot;,&quot;EndName&quot;:&quot;_SEC_65907d2dee3243b0a625259201221910&quot;,&quot;CType&quot;:1}]"/>
    <m:section xlName="_SEC_cff58e8508c147a08145be5515d678b9" title="按照信用风险特征组合计提坏账准备的组合类别及确定依据单击或..." headerRef="264" helpId="112001010"/>
    <m:section xlName="_SEC_8efbd247b505408c96e7133da8424c42" title="基于账龄确认信用风险特征组合的账龄计算方法单击或点击此处输..." headerRef="264" helpId="112001010"/>
    <m:section xlName="_SEC_65907d2dee3243b0a625259201221910" title="按照单项计提坏账准备的单项计提判断标准单击或点击此处输入文..." headerRef="264" helpId="112001010"/>
    <m:item xlName="_GBC_517cddca0e1f4d4bb5ef2c4a3d049269" headerRef="265" up="存货" concept="clcid-ci-ar:ShiFouShiYongCunHuoZhongYaoHuiJiZhengCeHeGuJi" label="是否适用：存货_重要会计政策和估计" selectOptions="_buildInAppliance" controlType="CustomCheckbox" cRanges="[{&quot;StartName&quot;:&quot;_GBC_517cddca0e1f4d4bb5ef2c4a3d049269&quot;,&quot;EndName&quot;:&quot;_SEC_e792e598ea494b138dbd9229e5d967bc&quot;,&quot;CType&quot;:1}]"/>
    <m:section xlName="_SEC_45c9cda1a7954913af07b0fc6bed1f4b" title="存货类别、发出计价方法、盘存制度、低值易耗品和包装物的摊销方..." headerRef="265" helpId="112001010"/>
    <m:section xlName="_SEC_1cd44856f54a4f16bb58d8a9949bdc7c" title="存货跌价准备的确认标准和计提方法单击或点击此处输入文字。..." headerRef="265" helpId="112001010"/>
    <m:section xlName="_SEC_8081ecb7900049458086a58014c3416e" title="按照组合计提存货跌价准备的组合类别及确定依据、不同类别存货可..." headerRef="265" helpId="112001010"/>
    <m:section xlName="_SEC_e792e598ea494b138dbd9229e5d967bc" title="基于库龄确认存货可变现净值的各库龄组合可变现净值的计算方法和..." headerRef="265" helpId="112001010"/>
    <m:item xlName="_GBC_2975adaf2d6646238ccae8f732c465f0" headerRef="266" up="合同资产" concept="clcid-ci-ar:ShiFouShiYongHeTongZiChanZhongYaoHuiJiZhengCeHeGuJi" label="是否适用：合同资产_重要会计政策和估计" selectOptions="_buildInAppliance" controlType="CustomCheckbox" cRanges="[{&quot;StartName&quot;:&quot;_GBC_2975adaf2d6646238ccae8f732c465f0&quot;,&quot;EndName&quot;:&quot;_SEC_6a596f9564ab4625ac5d0afcdacc5ae6&quot;,&quot;CType&quot;:1}]"/>
    <m:section xlName="_SEC_b4bffb1f8e2d49bb8a666b1dadf04d84" title="合同资产的确认方法及标准" headerRef="266" helpId="112001010"/>
    <m:section xlName="_SEC_da461cc09c004df4a44dd5c240ffa826" title="按照信用风险特征组合计提坏账准备的组合类别及确定依据单击或..." headerRef="266" helpId="112001010"/>
    <m:section xlName="_SEC_f972af48a0434a32b9fe11decaa5ebe7" title="基于账龄确认信用风险特征组合的账龄计算方法单击或点击此处输..." headerRef="266" helpId="112001010"/>
    <m:section xlName="_SEC_6a596f9564ab4625ac5d0afcdacc5ae6" title="按照单项计提坏账准备的认定单项计提判断标准单击或点击此处输..." headerRef="266" helpId="112001010"/>
    <m:section xlName="_SEC_fb9fc514fe4b4fd1a4c298384e5375dd" title="持有待售的非流动资产或处置组单击或点击此处输入文字。单击..." headerRef="267" helpId="112001010"/>
    <m:section xlName="_SEC_830b4f94591548efb1adc0f21a1b31fd" title="划分为持有待售的非流动资产或处置组的确认标准和会计处理方法..." headerRef="267" helpId="112001010"/>
    <m:section xlName="_SEC_f042a63dae564989b0cc0a0f1b88c85a" title="终止经营的认定标准和列报方法单击或点击此处输入文字。单击..." headerRef="267" helpId="112001010"/>
    <m:section xlName="_GBC_d82c12cf13554acd90dfb7880244798c" title="长期股权投资" headerRef="268" ignorePeriod="1" helpId="112001010" helpText="注：说明共同控制、重要影响的判断标准，长期股权投资的初始投资成本确定、后续计量及损益确认方法。"/>
    <m:section xlName="_GBC_20b1c487c1e348188269523d7d980194" title="成本计量模式" checkKey="!公允价值计量&amp;!不适用" headerRef="270"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section xlName="_GBC_2b2036270bc84711804cd256998442a6" title="公允价值计量模式" checkKey="!成本计量&amp;!不适用" headerRef="271"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headerRef="271" helpId="112001010" primarySection="_GBC_20b1c487c1e348188269523d7d980194" optionText="不适用" optionGroupTitle="投资性房地产计量模式" optionTargetConcept="clcid-pte:TouZiXingFangDiChanJiLiangMoShi" optionTargetConceptValue="不适用"/>
    <m:section xlName="_GBC_662771796da549e1b2a02fb7d497f077" title="固定资产确认条件" headerRef="273" ignorePeriod="1" helpId="112001010"/>
    <m:section xlName="_GBC_7c749a57d4094b3386978c34c3487e2a" title="固定资产折旧方法" headerRef="274" isSupervision="true" helpId="112001010" helpText="注：公司根据自身实际情况确定类别，一般包括房屋及建筑物、机器设备、电子设备、运输设备等。折旧方法有年限平均法、工作量法、双倍余额递减法、年数总和法，其他。如选择其他，请在文本框中说明。"/>
    <m:section xlName="_GBC_3eb5f960df3e47f0a4bf3af0bc67ca96" title="在建工程会计处理方法" headerRef="275" ignorePeriod="1" convertSummaryRule="NoConvert" helpId="112001010" helpText="注：说明在建工程结转为固定资产的标准和时点。"/>
    <m:section xlName="_GBC_e3e4d07ea08d4589a9293563ea655b42" title="借款费用会计处理方法" headerRef="276" ignorePeriod="1" convertSummaryRule="NoConvert" helpId="112001010" helpText="注：说明借款费用资本化的确认原则、资本化期间、暂停资本化期间、借款费用资本化率以及资本化金额的计算方法。"/>
    <m:section xlName="_GBC_0b83f813710f436286429917c8c39567" title="生物资产会计处理方法" headerRef="277" ignorePeriod="1" convertSummaryRule="NoConvert" helpId="112001010"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headerRef="278" ignorePeriod="1" convertSummaryRule="NoConvert" helpId="112001010" helpText="注：说明与各类油气资产相关支出的资本化标准，各类油气资产的折耗或摊销方法，采矿许可证等执照费用的会计处理方法以及油气储量估计的判断依据等。"/>
    <m:section xlName="_GBC_0a8b293ff9e94173b2e385f4ef2a8c89" title="无形资产会计处理方法" headerRef="279" ignorePeriod="1" convertSummaryRule="NoConvert" helpId="112001010"/>
    <m:section xlName="_SEC_c11b0580b6b040ca9dbb882b383dfc03" title="长期资产减值" headerRef="282" helpId="112001010"/>
    <m:section xlName="_SEC_716e5dd4aef549d9b8815a4e1474e63d" title="长期待摊费用" headerRef="283" helpId="112001010"/>
    <m:section xlName="_SEC_2988762bdf3a48178e0180a615cb7705" title="合同负债" headerRef="284" ignorePeriod="1" helpId="112001010"/>
    <m:section xlName="_GBC_8ec8855eb4d5447ab785e4bd4b0b73aa" title="职工薪酬" headerRef="285" ignorePeriod="1" helpId="112001010"/>
    <m:section xlName="_GBC_b5b71a4d3cc1425c80f55e751e7e18c2" title="预计负债会计处理方法" headerRef="290" ignorePeriod="1" convertSummaryRule="NoConvert" helpId="112001010" helpText="注：说明预计负债的确认标准和各类预计负债的计量方法。"/>
    <m:section xlName="_GBC_5300d3ce4b5f4c1690fe13bde0a610e3" title="股份支付" headerRef="291" ignorePeriod="1" helpId="112001010" helpText="注：说明股份支付计划的会计处理方法，包括修改或终止股份支付计划的相关会计处理。"/>
    <m:section xlName="_GBC_d3c9524999e647d78f354bb216cfb1aa" title="优先股、永续债" headerRef="292" ignorePeriod="1" helpId="112001010" helpText="注：说明优先股、永续债等其他金融工具的会计处理方法"/>
    <m:section xlName="_GBC_19704df9fd714cad895419bf4903f70e" title="收入会计处理方法" headerRef="293" ignorePeriod="1" convertSummaryRule="NoConvert" helpId="11200101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headerRef="295" ignorePeriod="1" helpId="112001010"/>
    <m:section xlName="_SEC_1a8f2a657b9d471d80373f3b25cb1dfe" title="合同成本" headerRef="296" ignorePeriod="1" helpId="112001010"/>
    <m:section xlName="_GBC_b03bd816e50b42ae97b660897ca33234" title="政府补助会计处理方法" headerRef="297" ignorePeriod="1" convertSummaryRule="NoConvert" helpId="112001010"/>
    <m:section xlName="_GBC_01f1973e44f24cd99b90200f8205be13" title="递延所得税资产/递延所得税负债会计处理方法" headerRef="298" ignorePeriod="1" convertSummaryRule="NoConvert" helpId="112001010" helpText="注：说明递延所得税资产和递延所得税负债的确认依据。"/>
    <m:item xlName="_GBC_7f954ee357264e2c946d2c530d8787c5" headerRef="299" up="租赁" concept="clcid-ci-ar:ShiFouShiYongZuLinZhongYaoKuaiJiZhengCeHeGuJi" label="是否适用：租赁_重要会计政策和估计" selectOptions="_buildInAppliance" controlType="CustomCheckbox" cRanges="[{&quot;StartName&quot;:&quot;_GBC_7f954ee357264e2c946d2c530d8787c5&quot;,&quot;EndName&quot;:&quot;_SEC_de0d6f86c5e44e9ba9ed0ad83d081f20&quot;,&quot;CType&quot;:1}]"/>
    <m:section xlName="_SEC_0b2a109afef44d198ca2c3ed557c8d1d" title="作为承租方对短期租赁和低价值资产租赁进行简化处理的判断依据和..." headerRef="299" helpId="112001010"/>
    <m:section xlName="_SEC_de0d6f86c5e44e9ba9ed0ad83d081f20" title="作为出租方的租赁分类标准和会计处理方法单击或点击此处输入文..." headerRef="299" helpId="112001010"/>
    <m:section xlName="_GBC_208440ea3a0f4676970b3672c3cdf96f" title="其他重要的会计政策和会计估计" headerRef="300" ignorePeriod="1" helpId="112001010"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headerRef="302" up="重要会计政策变更" concept="clcid-pte:ShiFouShiYongZhongYaoKuaiJiZhengCeBianGeng" label="是否适用：重要会计政策变更" selectOptions="_buildInAppliance" controlType="CustomCheckbox" cRanges="[{&quot;StartName&quot;:&quot;_GBC_f1ebc580f60c4d30a80747190ffbec4f&quot;,&quot;EndName&quot;:&quot;_SEC_b59487ebdc7b4d11894136077303d0d8&quot;,&quot;CType&quot;:1}]"/>
    <m:section xlName="_SEC_b59487ebdc7b4d11894136077303d0d8" title="会计政策变更" headerRef="302" ignorePeriod="1" convertSummaryRule="ConvertDefinedText" convertText="无" helpId="112001010" helpText="注：说明受重要影响的报表项目名称和金额。"/>
    <m:item xlName="_GBC_902f08bd36774074945386d2d1f9b67d" headerRef="303" up="重要会计估计变更" concept="clcid-pte:ShiFouShiYongZhongYaoKuaiJiGuJiBianGeng" label="是否适用：重要会计估计变更" selectOptions="_buildInAppliance" controlType="CustomCheckbox" cRanges="[{&quot;StartName&quot;:&quot;_GBC_902f08bd36774074945386d2d1f9b67d&quot;,&quot;EndName&quot;:&quot;_SEC_acb82d75d97145538369850670e86521&quot;,&quot;CType&quot;:1}]"/>
    <m:section xlName="_SEC_acb82d75d97145538369850670e86521" title="会计估计变更" headerRef="303" ignorePeriod="1" helpId="112001010" helpText="注：说明受重要影响的报表项目名称和金额。"/>
    <m:section xlName="_SEC_a9815fd707d7490aa4f57a92594115cf" title="首次执行新金融工具准则、新收入准则、新租赁准则调整首次执行当年年初财务报表相关项目情况" headerRef="304" primarySection="_SEC_a9815fd707d7490aa4f57a92594115cf" optionText="需要编制合并报表" optionGroupTitle="是否需要合并报表" optionTargetConcept="clcid-ci-ar:ShiFouXuYaoHeBingBaoBiao" optionTargetConceptValue="true" keyAction="42" keyCode="2"/>
    <m:section xlName="_SEC_b25f53d81de34b61bf171ff5ba21cfa8" title="首次执行新金融工具准则、新收入准则、新租赁准则调整首次执行当年年初财务报表相关项目情况" headerRef="305" primarySection="_SEC_a9815fd707d7490aa4f57a92594115cf" optionText="无需编制合并报表" optionGroupTitle="是否需要合并报表" optionTargetConcept="clcid-ci-ar:ShiFouXuYaoHeBingBaoBiao" optionTargetConceptValue="false" keyAction="42" keyCode="2">
      <m:rowModel locationConcept="clcid-ci-ar:ZiDingYiKeMuWeiZhi" labelConcept="clcid-ci-ar:ZiDingYiKeMuMingCheng" conceptPrefix="资产负债表" presentationRole="http://www.xbrl-cn.org/cn/lcid/lr/role/BalanceSheetforCommercialandIndustrialCompanies " presentationParentConcept="clcid-pte:ZiChanFuZhaiBiao" tuplePrefix="项目"/>
    </m:section>
    <m:section xlName="_GBC_f9189f2c315949f484bded540173f7a8" title="其他" headerRef="306" helpId="112001034"/>
    <m:section xlName="_GBC_21c965fa52af49a9865023fb4e05671a" title="主要税种及税率" headerRef="308" convertSummaryRule="NoConvert" helpId="112001036" axisType="Column"/>
    <m:section xlName="_GBC_8efa381cc976417f9135f0c744d05452" title="税收优惠及批文" headerRef="309" convertSummaryRule="NoConvert" helpId="112001036" helpText="注：说明主要税收优惠政策及依据。"/>
    <m:section xlName="_GBC_9fdef48633e142f68e18dc5da08c2deb" title="其他说明" headerRef="310" convertSummaryRule="NoConvert" helpId="112001038"/>
    <m:section xlName="_SEC_fe3ce9278bcc4538b07f06ed84d7ee69" title="货币资金" rules="R2015_R11_002" headerRef="312"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6fb2365d490c45119367e7aca86f857c" title="交易性金融资产" headerRef="313" helpId="112001041"/>
    <m:section xlName="_GBC_bc314407a9a14c2f8b2b5368638e0a51" title="衍生金融资产" headerRef="314" helpId="112001042" helpText="注：说明衍生金融工具形成原因以及相关会计处理等。"/>
    <m:section xlName="_GBC_c1ce1fc5bd0f42bca82cd02f3a6b623f" title="应收票据分类" rules="R2015_R11_003" headerRef="316" convertSummaryRule="NoConvert" helpId="112001044"/>
    <m:section xlName="_GBC_8fdb3f7098324d0d8b9f6e395abf9009" title="期末公司已质押的应收票据情况" rules="R2015_R11_003" headerRef="317" convertSummaryRule="NoConvert" helpId="112001044"/>
    <m:section xlName="_GBC_d0a9833415574c7baa9ef176fea05ecf" title="因出票人无力履约而将票据转为应收账款的票据，以及期末已背书未到期票据" rules="R2015_R11_003" headerRef="318" convertSummaryRule="NoConvert" helpId="112001044"/>
    <m:item xlName="_GBC_064ae6cf552d47d6abf4ad2b5c55d254" headerRef="319" up="按坏账计提方法分类披露"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dc3b0ce015a4b54a67e0a855abb57d7&quot;,&quot;CType&quot;:1}]"/>
    <m:section xlName="_SEC_2dc3b0ce015a4b54a67e0a855abb57d7" title="按坏账计提方法分类披露" headerRef="319" helpId="112001044"/>
    <m:section xlName="_SEC_35f0dd53a3094420ab950eaf2d236098" title="按单项计提坏账准备：" headerRef="319" helpId="112001044"/>
    <m:item xlName="_GBC_2b00fe7228b14b11bdb374e735777f02" headerRef="319" up="按组合计提坏账准备："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headerRef="319" helpId="112001044"/>
    <m:section xlName="_SEC_6b9325db8bc94217b3b159530c2e7ce6" title="如按预期信用损失一般模型计提坏账准备，请参照其他应收款披露" headerRef="319" helpId="112001044">
      <m:axisValue occRef="应收票据"/>
    </m:section>
    <m:section xlName="_SEC_c99da1af26b84f39935c31f457be5726" title="坏账准备的情况" headerRef="320" helpId="112001044"/>
    <m:section xlName="_SEC_b5b10fb76e04464dac1f70f677b727ee" title="应收票据本期坏账准备收回或转回金额重要的" headerRef="320" helpId="112001044"/>
    <m:section xlName="_SEC_d1d07f77bea54442a58602a5a3e94f42" title="本期实际核销的应收票据情况" headerRef="321" helpId="112001044"/>
    <m:section xlName="_GBC_c7095bafbab543a9bb9dcc587154df29" title="应收票据其他说明" rules="R2015_R11_003" headerRef="321" convertSummaryRule="NoConvert" helpId="112001044"/>
    <m:section xlName="_SEC_a298d7120a244ca9b9690c64cb86f6ad" title="按账龄披露" headerRef="323" helpId="112001045" helpText="表中的“期末账面余额”指的是包含单项计提和组合计提的期末账面余额。"/>
    <m:item xlName="_GBC_fc55e6778e08412caa3e7b9e7a1a0f85" headerRef="324" up="按坏账计提方法分类披露" concept="clcid-ci-ar:ShiFouShiYongYingShouZhangKuanFenLeiPiLu" label="是否适用：应收账款分类披露" selectOptions="_buildInAppliance" controlType="CustomCheckbox" cRanges="[{&quot;StartName&quot;:&quot;_GBC_fc55e6778e08412caa3e7b9e7a1a0f85&quot;,&quot;EndName&quot;:&quot;_SEC_0398db7d3d0941d99bcd41800ef0e448&quot;,&quot;CType&quot;:1}]"/>
    <m:section xlName="_SEC_0398db7d3d0941d99bcd41800ef0e448" title="(2). 按坏账计提方法分类披露" headerRef="324" helpId="112001045"/>
    <m:section xlName="_SEC_498beef22f03474fa398c526ee8a934d" title="按单项计提坏账准备：" headerRef="324" helpId="112001045"/>
    <m:item xlName="_GBC_47a07baa9a4f4c5ea6de193ae7b87e74" headerRef="324" up="按组合计提坏账准备："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headerRef="324" helpId="112001045"/>
    <m:section xlName="_SEC_e432f11a05d54da1a71a76d4978c5139" title="如按预期信用损失一般模型计提坏账准备" headerRef="324" helpId="112001045">
      <m:axisValue occRef="应收账款"/>
    </m:section>
    <m:section xlName="_SEC_12d740ff187b4b12aec92868132c72ed" title="坏账准备的情况" headerRef="325" helpId="112001045"/>
    <m:section xlName="_SEC_cdecb9c204ca4a9c9226b9ac1afaefaa" title="本期坏账准备收回或转回金额重要的" rules="R2015_R11_004" headerRef="325" convertSummaryRule="NoConvert" helpId="112001045" helpText="注：说明转回或收回原因，确定原坏账准备计提比例的依据及其合理性。"/>
    <m:section xlName="_GBC_af8ceb97930d4d7391d4823a068c824b" title="本报告期实际核销的应收账款情况" rules="R2015_R11_004" headerRef="326" convertSummaryRule="NoConvert" helpId="112001045"/>
    <m:section xlName="_SEC_0de922a4c3ae428ca01a32fccaf5a259" title="按欠款方归集的期末余额前五名的应收账款情况：" rules="R2015_R11_004" headerRef="327" helpId="112001045" helpText="注：按欠款方集中度，汇总或分别披露期末余额前五名的应收账款的期末余额及占应收账款期末余额合计数的比例，以及相应计提的坏账准备期末余额。"/>
    <m:section xlName="_GBC_2f38c172c62a46cfa73776efdf952fad" title="应收账款其他说明" rules="R2015_R11_004" headerRef="327" helpId="112001045"/>
    <m:section xlName="_SEC_9eb3b6c88c0a41f7a3f6a2f43946f06c" title="合同资产" headerRef="328" helpId="112002271"/>
    <m:section xlName="_SEC_e8c350da8e69479e93eb03226371923c" title="报告期内账面价值发生重大变动的金额和原因" headerRef="330" helpId="112002271"/>
    <m:section xlName="_SEC_79262ce3c3fa43da93ff17d323d38679" title="按坏账计提方法分类披露" headerRef="331" helpId="112002271">
      <m:axisValue occRef="合同资产"/>
      <m:axisValue occRef="长期应收款"/>
    </m:section>
    <m:section xlName="_SEC_8ff311ab8694456982efe033266b0818" title="按单项计提坏账准备：  单位：元币种：人民币名称 期..." headerRef="331" helpId="112002271">
      <m:axisValue occRef="合同资产"/>
      <m:axisValue occRef="长期应收款"/>
    </m:section>
    <m:item xlName="_GBC_059f7dfd74cd41d4b2b8918cfc3d067f" headerRef="331" up="按组合计提坏账准备：" concept="clcid-ci-ar:ShiFouShiYongAnZuHeJiTiHuaiZhangZhunBeiDeXiangXiQingKuang" label="是否适用：按组合计提坏账准备的详细情况" selectOptions="_buildInAppliance" controlType="CustomCheckbox" cRanges="[{&quot;StartName&quot;:&quot;_GBC_059f7dfd74cd41d4b2b8918cfc3d067f&quot;,&quot;EndName&quot;:&quot;_SEC_7ee1acac21f147e8be51ad7c182a59cc&quot;,&quot;CType&quot;:1}]">
      <m:axisValue occRef="合同资产"/>
    </m:item>
    <m:section xlName="_SEC_7ee1acac21f147e8be51ad7c182a59cc" title="组合计提项目" tupleConcept="clcid-pte:AnZuHeJiTiHuaiZhangZhunBeiDeXiangXiMingXi" repeatable="1" headerRef="331" helpId="112002271">
      <m:axisValue occRef="合同资产"/>
      <m:axisValue occRef="长期应收款"/>
    </m:section>
    <m:section xlName="_SEC_cda340aaf00a44e5b3e83efedfe3e597" title="如按预期信用损失一般模型计提坏账准备" headerRef="331" helpId="112002271">
      <m:axisValue occRef="合同资产"/>
    </m:section>
    <m:section xlName="_SEC_bf3d6e0971b243878381353846199645" title="本期合同资产计提减值准备情况" headerRef="332" helpId="112002271"/>
    <m:section xlName="_SEC_41fd81b29b64408b828316d7fae0e4f5" title="其中本期坏账准备收回或转回金额重要的" headerRef="332" helpId="112002271">
      <m:axisValue occRef="合同资产"/>
    </m:section>
    <m:section xlName="_SEC_483be52511e0421bb90a3e86c5b7e9ed" title="本期实际核销的合同资产情况" headerRef="333" helpId="112002271"/>
    <m:section xlName="_SEC_a12e20a7ea774c8197717894a1e3f908" title="其中重要的合同资产核销情况 " headerRef="333" helpId="112002271">
      <m:axisValue occRef="合同资产"/>
      <m:axisValue occRef="长期应收款"/>
    </m:section>
    <m:section xlName="_SEC_5b10981ad765434eb8d30a4d75bff071" title="其他说明：" headerRef="333" helpId="112002271"/>
    <m:section xlName="_SEC_b9585f9030e74f2d93f72009bc3b92cd" title="应收款项融资分类列示" headerRef="335" helpId="112002268" helpText="按信用风险等级分类披露应收款项融资明细。"/>
    <m:section xlName="_SEC_ec636e9fe97347bfab252a12b8e3278b" title="期末公司已质押的应收款项融资" headerRef="336" helpId="112002268"/>
    <m:section xlName="_SEC_789198171e364e6b81e731af96218522" title="期末公司已背书或贴现且在资产负债表日尚未到期的应收款项融资" headerRef="337" helpId="112002268" keyAction="42" keyCode="2"/>
    <m:section xlName="_SEC_a8011b91cc30479fbff85c1b0f7c9ba6" title="按坏账计提方法分类披露" headerRef="338" helpId="112002268">
      <m:axisValue occRef="应收款项融资"/>
    </m:section>
    <m:section xlName="_SEC_325c2ed151c84f059ead84fd926427c9" title="按单项计提坏账准备：  单位：元币种：人民币名称 期..." headerRef="338" helpId="112002268">
      <m:axisValue occRef="应收款项融资"/>
    </m:section>
    <m:item xlName="_GBC_02191f78423f4f4ca97cd31179bf21d5" headerRef="338" up="按组合计提坏账准备：" concept="clcid-ci-ar:ShiFouShiYongAnZuHeJiTiHuaiZhangZhunBeiDeXiangXiQingKuang" label="是否适用：按组合计提坏账准备的详细情况" selectOptions="_buildInAppliance" controlType="CustomCheckbox" cRanges="[{&quot;StartName&quot;:&quot;_GBC_02191f78423f4f4ca97cd31179bf21d5&quot;,&quot;EndName&quot;:&quot;_SEC_3b46e5fa769b48378dd226f4c8f25a6d&quot;,&quot;CType&quot;:1}]">
      <m:axisValue occRef="应收款项融资"/>
    </m:item>
    <m:section xlName="_SEC_3b46e5fa769b48378dd226f4c8f25a6d" title="组合计提项目" tupleConcept="clcid-pte:AnZuHeJiTiHuaiZhangZhunBeiDeXiangXiMingXi" repeatable="1" headerRef="338" helpId="112002268">
      <m:axisValue occRef="应收款项融资"/>
    </m:section>
    <m:section xlName="_SEC_0c668b0e80ca4583b8434cfcd068e62f" title="如按预期信用损失一般模型计提坏账准备" headerRef="338" helpId="112002268">
      <m:axisValue occRef="应收款项融资"/>
    </m:section>
    <m:section xlName="_SEC_8fbaf4832b8a4df2a8add0c01204cf49" title="坏账准备的情况" headerRef="339" helpId="112002268"/>
    <m:section xlName="_SEC_008a4bca1fca4fc1be642fcc3d913567" title="其中本期坏账准备收回或转回金额重要的" headerRef="339" helpId="112002268">
      <m:axisValue occRef="应收款项融资"/>
    </m:section>
    <m:section xlName="_SEC_edb06bb7ac854fa4be196ec302ba7ddf" title="本期实际核销的应收款项融资情况" headerRef="340" helpId="112002268"/>
    <m:section xlName="_SEC_db1213cf20c146178575f11ed7dafbf6" title="其中重要的应收款项融资核销情况单位：币种：（..." headerRef="340" helpId="112002268">
      <m:axisValue occRef="应收款项融资"/>
    </m:section>
    <m:section xlName="_SEC_f622924e64af4a44a962a96fa26bf3ea" title="应收款项融资本期增减变动及公允价值变动情况：  " headerRef="341" helpId="112002268"/>
    <m:section xlName="_SEC_cc1b5a87b00b4f9597e03f379dacda36" title="其他说明：  " headerRef="342" helpId="112002268"/>
    <m:section xlName="_GBC_4c02994d3bd04bacba6592630552e576" title="预付款项按账龄列示" rules="R2015_R11_005" headerRef="344" convertSummaryRule="NoConvert" helpId="112001047"/>
    <m:section xlName="_GBC_2c5fba8651a04a6d88c0c9fc33310c57" title="预付款项金额前五名单位情况" rules="R2015_R11_005" headerRef="345"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headerRef="345" convertSummaryRule="NoConvert" helpId="112001047"/>
    <m:section xlName="_SEC_440b8bdb86984dd89d750fdd7845fe71" title="分类列示" headerRef="347"/>
    <m:section xlName="_GBC_6620e2366b444b3fb9e784e1bb6a87fd" title="应收利息" headerRef="348" convertSummaryRule="NoConvert" helpId="112001049"/>
    <m:section xlName="_GBC_bcfcff19f55a43f988e9223dca0728dc" title="逾期利息" headerRef="350" convertSummaryRule="NoConvert" helpId="112001049"/>
    <m:section xlName="_SEC_3c4747ce924442abb81880a0653caa26" title="按坏账计提方法分类披露" headerRef="351" helpId="112001049">
      <m:axisValue occRef="应收利息"/>
    </m:section>
    <m:section xlName="_SEC_20180252db834d89b2024c56a55e6339" title="按单项计提坏账准备：  单位：元币种：人民币名称 期..." headerRef="351" helpId="112001049">
      <m:axisValue occRef="应收利息"/>
    </m:section>
    <m:item xlName="_GBC_0dc49505e0b44d56bf15079c4ea20a9a" headerRef="351" up="按组合计提坏账准备：" concept="clcid-ci-ar:ShiFouShiYongAnZuHeJiTiHuaiZhangZhunBeiDeXiangXiQingKuang" label="是否适用：按组合计提坏账准备的详细情况" selectOptions="_buildInAppliance" controlType="CustomCheckbox" cRanges="[{&quot;StartName&quot;:&quot;_GBC_0dc49505e0b44d56bf15079c4ea20a9a&quot;,&quot;EndName&quot;:&quot;_SEC_36b1b98311154e0784b35cec07d0e1ff&quot;,&quot;CType&quot;:1}]">
      <m:axisValue occRef="应收利息"/>
    </m:item>
    <m:section xlName="_SEC_36b1b98311154e0784b35cec07d0e1ff" title="组合计提项目" tupleConcept="clcid-pte:AnZuHeJiTiHuaiZhangZhunBeiDeXiangXiMingXi" repeatable="1" headerRef="351" helpId="112001049">
      <m:axisValue occRef="应收利息"/>
    </m:section>
    <m:section xlName="_SEC_61c56552057346dd98026d659f25d3ef" title="坏账准备计提情况" headerRef="352" helpId="112001049"/>
    <m:section xlName="_SEC_17aef62ec0584f7d9e3478a8e415e7b0" title="坏账准备的情况" headerRef="353" helpId="112001049"/>
    <m:section xlName="_SEC_2262ff1f38cb4a9a8b0014b1f85f01c2" title="其中本期坏账准备收回或转回金额重要的" headerRef="353" helpId="112001049">
      <m:axisValue occRef="应收利息"/>
    </m:section>
    <m:section xlName="_SEC_4961ad9f36704cc08392d69b741c3f4d" title="本期实际核销的应收利息情况" headerRef="354" helpId="112001049"/>
    <m:section xlName="_SEC_54cd05ce6e8b41e8ae8e158cd50f20ec" title="其中重要的应收利息核销情况" headerRef="354" helpId="112001049">
      <m:axisValue occRef="应收利息"/>
    </m:section>
    <m:section xlName="_GBC_0dc3bcd06a754f79952657ba82acdc9f" title="应收利息的说明" headerRef="354" helpId="112001049"/>
    <m:section xlName="_GBC_94a22362634d47499fd45a0a5577c49b" title="应收股利" headerRef="356" helpId="112001050"/>
    <m:section xlName="_GBC_aafe0f2583ac4a35a029d834ee52b5de" title="应收股利" headerRef="357" convertSummaryRule="NoConvert" helpId="112001050"/>
    <m:section xlName="_SEC_46e8b25d525743bd96171366da61cc99" title="按坏账计提方法分类披露" headerRef="358" helpId="112001050">
      <m:axisValue occRef="应收股利"/>
    </m:section>
    <m:section xlName="_SEC_a626035601754a95bb4dbfad76205526" title="按单项计提坏账准备：  单位：元币种：人民币名称 期..." headerRef="358" helpId="112001050">
      <m:axisValue occRef="应收股利"/>
    </m:section>
    <m:item xlName="_GBC_37434366d06a4e49b22522b1d88358dd" headerRef="358" up="按组合计提坏账准备：" concept="clcid-ci-ar:ShiFouShiYongAnZuHeJiTiHuaiZhangZhunBeiDeXiangXiQingKuang" label="是否适用：按组合计提坏账准备的详细情况" selectOptions="_buildInAppliance" controlType="CustomCheckbox" cRanges="[{&quot;StartName&quot;:&quot;_GBC_37434366d06a4e49b22522b1d88358dd&quot;,&quot;EndName&quot;:&quot;_SEC_bf8c9c72115249d0ae24858a46c41775&quot;,&quot;CType&quot;:1}]">
      <m:axisValue occRef="应收股利"/>
    </m:item>
    <m:section xlName="_SEC_bf8c9c72115249d0ae24858a46c41775" title="组合计提项目" tupleConcept="clcid-pte:AnZuHeJiTiHuaiZhangZhunBeiDeXiangXiMingXi" repeatable="1" headerRef="358" helpId="112001050">
      <m:axisValue occRef="应收股利"/>
    </m:section>
    <m:section xlName="_SEC_cce3905839dc4d6ea19cf81ee0af7e4b" title="坏账准备计提情况" headerRef="359" helpId="112001050"/>
    <m:section xlName="_SEC_ff5cad629068408799f5650de6d18979" title="坏账准备的情况" headerRef="360" helpId="112001050"/>
    <m:section xlName="_SEC_5d828ebb427e444da707ce439ad480e0" title="其中本期坏账准备收回或转回金额重要的" headerRef="360" helpId="112001050">
      <m:axisValue occRef="应收股利"/>
    </m:section>
    <m:section xlName="_SEC_918d3902ab7f4bc58530738be7a5c260" title="本期实际核销的应收股利情况" headerRef="361" helpId="112001050"/>
    <m:section xlName="_SEC_5dd71b6ee5e7434a9121bbc0060b5fb0" title="其中重要的应收股利核销情况" headerRef="361" helpId="112001050">
      <m:axisValue occRef="应收股利"/>
    </m:section>
    <m:section xlName="_GBC_3543035ac1594f0aaa966ebb907a6f0d" title="应收股利的说明" headerRef="361" convertSummaryRule="NoConvert" helpId="112001050"/>
    <m:section xlName="_SEC_59c1797238404acbb309d3cabb45702e" title="按账龄披露" headerRef="363" helpId="112001051" helpText="表里的“期末账面余额”指的是包含单项计提和组合计提的期末账面余额。"/>
    <m:section xlName="_GBC_84d520d656b8446b87c909f5ff2b545d" title="其他应收款按款项性质分类情况" rules="R2015_R11_006" headerRef="364" helpId="112001051"/>
    <m:section xlName="_SEC_5ff83398df8949c88f89340b5b0e52f6" title="坏账准备计提情况" headerRef="365" helpId="112001051" helpText="如存在坏账准备，应按照财政部企业会计准则第37号第83条规定，披露损失准备期初余额与期末余额的调节表"/>
    <m:section xlName="_SEC_7849289533db4e96add81004bc8b8e26" title="坏账准备的情况" headerRef="366" helpId="112001051"/>
    <m:section xlName="_SEC_c7b512866069406b8202b761cc645bc8" title="本期坏账准备转回或收回金额重要的" headerRef="366" helpId="112001051"/>
    <m:section xlName="_GBC_ca12851378c64f09a5335b8a527df46f" title="本报告期实际核销的其他应收款情况" rules="R2015_R11_006" headerRef="367" convertSummaryRule="NoConvert" helpId="112001051"/>
    <m:section xlName="_GBC_a83a3fc7866445d68738701d3998ac0b" title="按欠款方归集的期末余额其中前五名的其他应收款单位情况" rules="R2015_R11_006" headerRef="368" helpId="112001051"/>
    <m:section xlName="_SEC_1c58bc8760574788a64c13226568d4d4" title="因资金集中管理而列报于其他应收款 " headerRef="369" helpId="112001051"/>
    <m:section xlName="_GBC_de4246046d754793a6a2db96dd5bb245" title="其他应收款其他说明" rules="R2015_R11_006" headerRef="369" helpId="112001051"/>
    <m:section xlName="_GBC_1953ea50f68542df9fa36d84b994cf17" title="存货分类 " rules="R2015_R11_007" headerRef="371" convertSummaryRule="NoConvert" helpId="112001053" axisType="Column"/>
    <m:section xlName="_SEC_ea0da6bd0d2c478e8dec978906af6b21" title="确认为存货的数据资源" headerRef="372"/>
    <m:section xlName="_GBC_d00b46c41ac84794bd1f7b10e97923a0" title="存货跌价准备" rules="R2015_R11_007" headerRef="373" convertSummaryRule="NoConvert" helpId="112001053" helpText="注：说明确定可变现净值的具体依据及本期转回或转销存货跌价准备的原因。" axisType="Column"/>
    <m:section xlName="_SEC_06b6288b45644d34b15b9a65afd820ce" title="本期转回或转销存货跌价准备的原因  " headerRef="373" helpId="112001053"/>
    <m:section xlName="_SEC_e1c4b4d6cd8a41f493e3b74a0a74c2cb" title="按组合计提存货跌价准备  单位：元币种：人民币组合名称..." headerRef="373" helpId="112001053"/>
    <m:section xlName="_SEC_4f2c30a069004806a3a3fb2eb2452fc7" title="按组合计提存货跌价准备的计提标准  ___" headerRef="373" helpId="112001053"/>
    <m:section xlName="_GBC_dc559aaf0bf0428386e2f7f2cdeb43ec" title="存货期末余额含有借款费用资本化金额的说明：" rules="R2015_R11_007" headerRef="374" helpId="112001053"/>
    <m:section xlName="_SEC_8c46917973d94083a642ad0ca746d3cd" title="合同履约成本本期摊销金额的说明" headerRef="375" helpId="112001053"/>
    <m:section xlName="_SEC_96c2195df56b4f3eb6049f39e6923486" title="存货的其他说明" headerRef="375" helpId="112001053"/>
    <m:section xlName="_GBC_b8017c342539428893a6ec198dd061b3" title="划分为持有待售的资产" headerRef="376" helpId="112001055" helpText="企业应当按照《企业会计准则第42号——持有待售的非流动资产、处置组和终止经营》（财会〔2017〕13号）等规定，披露划分为持有待售类别的数据资源无形资产有关信息。\n注：说明划分为持有待售的资产的原因等。"/>
    <m:section xlName="_SEC_dbd8b443bc2d472ca3a90241f958114b" title="一年内到期的非流动资产" headerRef="377" helpId="112002269"/>
    <m:item xlName="_GBC_ed748eccf06845059b7b75fbb321c08e" headerRef="378" up="一年内到期的债权投资" concept="clcid-ci-ar:ShiFouShiYongYiNianNeiDaoQiDeZhaiQuanTouZi" label="是否适用：一年内到期的债权投资" selectOptions="_buildInAppliance" controlType="CustomCheckbox" cRanges="[{&quot;StartName&quot;:&quot;_GBC_ed748eccf06845059b7b75fbb321c08e&quot;,&quot;EndName&quot;:&quot;_SEC_d042825cbefd47cf84e253b4c6891fc8&quot;,&quot;CType&quot;:1}]"/>
    <m:section xlName="_SEC_39f1e39174ab4e07b2b9c6fab708b6de" title="一年内到期的债权投资情况" headerRef="379" helpId="112002269"/>
    <m:section xlName="_SEC_28254391fc4643aea4ff7f60a433e4a5" title="一年内到期的债权投资减值准备本期变动情况  单位：元币种..." headerRef="379" helpId="112002269">
      <m:axisValue occRef="一年内到期的债权投资"/>
      <m:axisValue occRef="一年内到期的其他债权投资"/>
      <m:axisValue occRef="债权投资"/>
      <m:axisValue occRef="其他债权投资"/>
    </m:section>
    <m:section xlName="_SEC_904de3ad5cbe4b719b3f3d7b6a127bd1" title="一年内到期的非流动资产期末重要的债权投资" headerRef="380" helpId="112002269"/>
    <m:section xlName="_SEC_e425664a289e46a3aa9d3a22a507f462" title="一年内到期的债权投资的减值准备计提情况" headerRef="381" helpId="112002269">
      <m:axisValue occRef="一年内到期的债权投资"/>
      <m:axisValue occRef="一年内到期的其他债权投资"/>
    </m:section>
    <m:section xlName="_SEC_76b7c4cd1d434c33a3be5908053f7051" title="本期减值准备计提金额以及评估金融工具的信用风险是否显著增加的..." headerRef="381" helpId="112002269">
      <m:axisValue occRef="一年内到期的债权投资"/>
      <m:axisValue occRef="一年内到期的其他债权投资"/>
    </m:section>
    <m:section xlName="_SEC_2fee3a86c12a495f95fcf37d4d35b7ef" title="本期实际核销的一年内到期的债权投资情况" headerRef="382" helpId="112002269"/>
    <m:section xlName="_SEC_23536a7cef02401eba5e128f1a9376b5" title="其中重要的一年内到期的债权投资的核销情况 " headerRef="382" helpId="112002269">
      <m:axisValue occRef="一年内到期的债权投资"/>
      <m:axisValue occRef="一年内到期的其他债权投资"/>
      <m:axisValue occRef="债权投资"/>
      <m:axisValue occRef="其他债权投资"/>
    </m:section>
    <m:section xlName="_SEC_d042825cbefd47cf84e253b4c6891fc8" title="其他说明 " headerRef="382" helpId="112002269"/>
    <m:item xlName="_GBC_4fffef07e644478cae129eff5661f608" headerRef="383" up="一年内到期的其他债权投资" concept="clcid-ci-ar:ShiFouShiYongYiNianNeiDaoQiDeQiTaZhaiQuanTouZi" label="是否适用：一年内到期的其他债权投资" selectOptions="_buildInAppliance" controlType="CustomCheckbox" cRanges="[{&quot;StartName&quot;:&quot;_GBC_4fffef07e644478cae129eff5661f608&quot;,&quot;EndName&quot;:&quot;_SEC_b78d5344fc5c4cb5a6bde20882705a89&quot;,&quot;CType&quot;:1}]"/>
    <m:section xlName="_SEC_22990f1e7af94869b0fbac47401ea617" title="一年内到期的其他债权投资情况" headerRef="384" helpId="112002269"/>
    <m:section xlName="_SEC_756850893c8e4f4da521cd021c2d4443" title="一年内到期的债权投资减值准备本期变动情况" headerRef="384" helpId="112002269">
      <m:axisValue occRef="一年内到期的债权投资"/>
      <m:axisValue occRef="一年内到期的其他债权投资"/>
      <m:axisValue occRef="债权投资"/>
      <m:axisValue occRef="其他债权投资"/>
    </m:section>
    <m:section xlName="_SEC_3cd7fe0fbf3a43cca3cccee5448ced1e" title="期末重要的一年内到期的其他债权投资  单位：元 币种：人..." headerRef="385" helpId="112002269"/>
    <m:section xlName="_SEC_0ee8c481fefd4fd1950720b5fa46d118" title="一年内到期的其他债权投资的减值准备计提情况" headerRef="386" helpId="112002269">
      <m:axisValue occRef="一年内到期的债权投资"/>
      <m:axisValue occRef="一年内到期的其他债权投资"/>
    </m:section>
    <m:section xlName="_SEC_e0233feae2ae424a8f685639047bc7cd" title="本期减值准备计提金额以及评估金融工具的信用风险是否显著增加的..." headerRef="386" helpId="112002269">
      <m:axisValue occRef="一年内到期的债权投资"/>
      <m:axisValue occRef="一年内到期的其他债权投资"/>
    </m:section>
    <m:section xlName="_SEC_64077e8b6cdb42a7a3c728e7774007ed" title="本期实际核销的一年内到期的其他债权投资情况" headerRef="387" helpId="112002269"/>
    <m:section xlName="_SEC_2bb2fa8912ff4c7c8354413711ab986c" title="其中重要的一年内到期的债权投资的核销情况 " headerRef="387" helpId="112002269">
      <m:axisValue occRef="一年内到期的债权投资"/>
      <m:axisValue occRef="一年内到期的其他债权投资"/>
    </m:section>
    <m:section xlName="_SEC_b78d5344fc5c4cb5a6bde20882705a89" title="其他说明" headerRef="387" helpId="112002269">
      <m:axisValue occRef="一年内到期的其他债权投资"/>
    </m:section>
    <m:section xlName="_SEC_744e256464b14d4d97c35dc1e5e2405c" title="一年内到期的非流动资产其他说明" headerRef="387" helpId="112002269"/>
    <m:section xlName="_GBC_e29fd29bee934fc3ab8325cf3625b905" title="其他流动资产" rules="R2015_R11_008" headerRef="388" helpId="112002272"/>
    <m:section xlName="_SEC_949cb4eb7a744418a5a5c6266b7029c9" title="债权投资债权投资情况" headerRef="389" helpId="112001057"/>
    <m:section xlName="_SEC_1a87d44858e0409e959095bd8463fb27" title="债权投资减值准备本期变动情况  单位：元币种..." headerRef="390" helpId="112001057">
      <m:axisValue occRef="一年内到期的债权投资"/>
      <m:axisValue occRef="一年内到期的其他债权投资"/>
      <m:axisValue occRef="债权投资"/>
      <m:axisValue occRef="其他债权投资"/>
    </m:section>
    <m:section xlName="_SEC_57ae6e89921c46d1ae9f8e69cdc2b4ab" title="期末重要的债权投资" headerRef="391" helpId="112001057"/>
    <m:section xlName="_SEC_bff86b17d4774a4a9f8a3329635b5429" title="减值准备计提情况" headerRef="392" helpId="112001057"/>
    <m:section xlName="_SEC_521886b28c8b4c10be77dbf48e5a1ca9" title="本期实际的核销债权投资情况" headerRef="393" helpId="112001057"/>
    <m:section xlName="_SEC_ffcb8eb3b5084d1eb5088577a0db748e" title="其中重要的债权投资的核销情况 " headerRef="393" helpId="112001057">
      <m:axisValue occRef="一年内到期的债权投资"/>
      <m:axisValue occRef="一年内到期的其他债权投资"/>
      <m:axisValue occRef="债权投资"/>
      <m:axisValue occRef="其他债权投资"/>
    </m:section>
    <m:section xlName="_SEC_669c12f4634f476da12e8828ee348501" title="" headerRef="393" helpId="112001057"/>
    <m:section xlName="_SEC_715ae48b76e04c4997ebf3f4be7dd37e" title="其他债权投资情况" headerRef="394" helpId="112001058"/>
    <m:section xlName="_SEC_603c2d24f1dc40448de4d279e85dbf6b" title="其他债权投资减值准备本期变动情况  单位：元币种..." headerRef="395" helpId="112001058">
      <m:axisValue occRef="一年内到期的债权投资"/>
      <m:axisValue occRef="一年内到期的其他债权投资"/>
      <m:axisValue occRef="债权投资"/>
      <m:axisValue occRef="其他债权投资"/>
    </m:section>
    <m:section xlName="_SEC_d26a416206fd4897bf57b05069b5e5f6" title="期末重要的其他债权投资" headerRef="396" helpId="112001058"/>
    <m:section xlName="_SEC_a18c2d8250c64daf904816a57fe286bd" title="减值准备计提情况" headerRef="397" helpId="112001058"/>
    <m:section xlName="_SEC_b66b91d8022d4effac38beecbf9956e3" title="本期实际核销的其他债权投资情况" headerRef="398" helpId="112001058"/>
    <m:section xlName="_SEC_61ef436f99f84243a58411b54b1bf890" title="其中重要的其他债权投资的核销情况 " headerRef="398" helpId="112001058">
      <m:axisValue occRef="一年内到期的债权投资"/>
      <m:axisValue occRef="一年内到期的其他债权投资"/>
      <m:axisValue occRef="债权投资"/>
      <m:axisValue occRef="其他债权投资"/>
    </m:section>
    <m:section xlName="_SEC_a6d7d62dd24747a08e0a132cf37e100c" title="其他说明：" headerRef="398" helpId="112001058"/>
    <m:section xlName="_GBC_2642a454002a499399e1b643b91ef1ad" title="长期应收款" rules="R2015_R11_009" headerRef="400" helpId="112001061"/>
    <m:section xlName="_SEC_677d06412bc54d80a1e1c315047edb2d" title="按坏账计提方法分类披露" headerRef="401" helpId="112001061">
      <m:axisValue occRef="合同资产"/>
      <m:axisValue occRef="长期应收款"/>
    </m:section>
    <m:section xlName="_SEC_cc5139ab22f449a8bac68465ebcc2c9a" title="按单项计提坏账准备：  单位：元币种：人民币名称 期..." headerRef="401" helpId="112001061">
      <m:axisValue occRef="合同资产"/>
      <m:axisValue occRef="长期应收款"/>
    </m:section>
    <m:item xlName="_GBC_555a40ceb7d348a0a16b652ac8e1178a" headerRef="401" up="按组合计提坏账准备：" concept="clcid-ci-ar:ShiFouShiYongAnZuHeJiTiHuaiZhangZhunBeiDeXiangXiQingKuang" label="是否适用：按组合计提坏账准备的详细情况" selectOptions="_buildInAppliance" controlType="CustomCheckbox" cRanges="[{&quot;StartName&quot;:&quot;_GBC_555a40ceb7d348a0a16b652ac8e1178a&quot;,&quot;EndName&quot;:&quot;_SEC_2478fb544ee941deb728fafe76a7d1be&quot;,&quot;CType&quot;:1}]">
      <m:axisValue occRef="长期应收款"/>
    </m:item>
    <m:section xlName="_SEC_2478fb544ee941deb728fafe76a7d1be" title="组合计提项目" tupleConcept="clcid-pte:AnZuHeJiTiHuaiZhangZhunBeiDeXiangXiMingXi" repeatable="1" headerRef="401" helpId="112001061">
      <m:axisValue occRef="合同资产"/>
      <m:axisValue occRef="长期应收款"/>
    </m:section>
    <m:section xlName="_SEC_a0520f64d4bd49e5a3638a0386a233ee" title="坏账准备计提情况" headerRef="401" helpId="112001061"/>
    <m:section xlName="_SEC_6277fd9ac8dc4fd683276214c0ea87d3" title="坏账准备的情况" headerRef="402" helpId="112001061"/>
    <m:section xlName="_SEC_0e294835c7a44e64a546aacdcd871d63" title="长期应收款其中本期坏账准备收回或转回金额重要的" headerRef="402" helpId="112001061">
      <m:axisValue occRef="合同资产"/>
      <m:axisValue occRef="长期应收款"/>
    </m:section>
    <m:section xlName="_SEC_dbf6f18a3a664f2ea79e9eb7f7d0f1a5" title="本期实际核销的长期应收款情况" headerRef="403" helpId="112001061"/>
    <m:section xlName="_SEC_bc7c1f08d9dc46d4b18f6800d8e6559f" title="其中重要的长期应收款核销情况 " headerRef="403" helpId="112001061">
      <m:axisValue occRef="合同资产"/>
      <m:axisValue occRef="长期应收款"/>
    </m:section>
    <m:section xlName="_GBC_2a6246644ca84dfdb1b5ecc95ea5c0c2" title="长期应收款的其他说明" rules="R2015_R11_009" headerRef="403" helpId="112001061"/>
    <m:item xlName="_GBC_bafa2cb2262c4c4ebc4eed8f4e4a81c6" headerRef="405" up="长期股权投资情况"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aderRef="405" helpId="112001063"/>
    <m:item xlName="_GBC_c736c8a0ce06478bb4d52ef30b7043c8" headerRef="406" up="长期股权投资的减值测试情况" concept="clcid-ci-ar:ShiFouShiYongJianZhiCeShiQingKuang" label="是否适用：减值测试情况" selectOptions="_buildInAppliance" controlType="CustomCheckbox" cRanges="[{&quot;StartName&quot;:&quot;_GBC_c736c8a0ce06478bb4d52ef30b7043c8&quot;,&quot;EndName&quot;:&quot;_SEC_56d24c02504f4a8a8676c53fdded27ce&quot;,&quot;CType&quot;:1}]">
      <m:axisValue occRef="长期股权投资"/>
    </m:item>
    <m:section xlName="_SEC_0a174fdc5c7d48809c1d711c76d9ba8a" title="可收回金额按公允价值减去处置费用后的净额确定" headerRef="407" helpId="112001063">
      <m:axisValue occRef="长期股权投资"/>
      <m:axisValue occRef="母公司"/>
    </m:section>
    <m:section xlName="_SEC_0e4d4221660a4a80a54e3296f02262c3" title="可收回金额按预计未来现金流量的现值确定" headerRef="408" helpId="112001063">
      <m:axisValue occRef="长期股权投资"/>
      <m:axisValue occRef="母公司"/>
    </m:section>
    <m:section xlName="_SEC_2876f6f79eb34152b3b96723e77f2cce" title="前述信息与以前年度减值测试采用的信息或外部信息明显不一致的差..." headerRef="409" helpId="112001063">
      <m:axisValue occRef="长期股权投资"/>
      <m:axisValue occRef="母公司"/>
    </m:section>
    <m:section xlName="_SEC_56d24c02504f4a8a8676c53fdded27ce" title="公司以前年度减值测试采用信息与当年实际情况明显不一致的差异原..." headerRef="410" helpId="112001063">
      <m:axisValue occRef="长期股权投资"/>
      <m:axisValue occRef="母公司"/>
    </m:section>
    <m:section xlName="_SEC_43b46610901442f38169529110b4d1ca" title="" headerRef="410"/>
    <m:section xlName="_SEC_cd316123938740ec921ccd61703a59f5" title="其他权益工具投资情况" headerRef="411" helpId="112001059"/>
    <m:section xlName="_SEC_c9055ca12ca24c51b5df8004a6efb8fa" title="本期存在终止确认的情况说明  单位：元币种：人民币项目..." headerRef="413" helpId="112001059"/>
    <m:section xlName="_SEC_e3d4d5136ad847a0a66a1c4edca28c29" title="其他说明：" headerRef="413" orient="landscape" helpId="112001059"/>
    <m:section xlName="_SEC_6895bb6903584ff780f3500311ed1560" title="其他非流动金融资产" headerRef="414"/>
    <m:section xlName="_GBC_f6dac261d9a74df7a48db85ed7768fd1" title="成本计量模式" rules="R2015_R11_011" checkKey="!公允价值计量" headerRef="416"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item xlName="_GBC_14e138c3da48491787bccf21877f5a28" headerRef="418" up="采用成本计量模式的投资性房地产的减值测试情况" concept="clcid-ci-ar:ShiFouShiYongJianZhiCeShiQingKuang" label="是否适用：减值测试情况" selectOptions="_buildInAppliance" controlType="CustomCheckbox" helpText="减值测试情况仅适用于采用成本计量模式的投资性房地产，采用公允价值计量模式的投资性房地产或者不适用的，请手动删除，删除方法：双击“采用成本计量模式的投资性房地产的减值测试情况”下方的不适用。" cRanges="[{&quot;StartName&quot;:&quot;_GBC_14e138c3da48491787bccf21877f5a28&quot;,&quot;EndName&quot;:&quot;_SEC_86740bbfa4e94364a59be0de1e90da83&quot;,&quot;CType&quot;:1}]">
      <m:axisValue occRef="投资性房地产"/>
    </m:item>
    <m:section xlName="_SEC_95447f1ab4fa4aec91376142aaa92050" title="可收回金额按公允价值减去处置费用后的净额确定" headerRef="419"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6285864112634a7688006d7f773301eb" title="可收回金额按预计未来现金流量的现值确定" headerRef="420"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cf50dba5d5e24b8db5c2841a4dee6489" title="前述信息与以前年度减值测试采用的信息或外部信息明显不一致的差..." headerRef="421"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86740bbfa4e94364a59be0de1e90da83" title="公司以前年度减值测试采用信息与当年实际情况明显不一致的差异原..." headerRef="422"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3edd44fe2cb04e7886b542d771d4e134" title="" headerRef="422" helpText="减值测试情况仅适用于采用成本计量模式的投资性房地产，采用公允价值计量模式的投资性房地产或者不适用的，请手动删除，删除方法：双击“采用成本计量模式的投资性房地产的减值测试情况”下方的不适用。"/>
    <m:section xlName="_GBC_528a899f5044443fa0dd6606f304d80d" title="公允价值计量模式" rules="R2015_R11_011" checkKey="!成本计量" headerRef="423"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section xlName="_GBC_3910517a603f4979b551ec278644d4e0" title="不适用" checkKey="!公允价值计量&amp;!成本计量" headerRef="425" primarySection="_GBC_f6dac261d9a74df7a48db85ed7768fd1" optionText="不适用" optionGroupTitle="投资性房地产计量模式" optionTargetConcept="clcid-pte:TouZiXingFangDiChanJiLiangMoShi" optionTargetConceptValue="不适用"/>
    <m:section xlName="_SEC_d216074d2ae442239dbb6f5f9b7a5d89" title="固定资产项目列示" headerRef="427"/>
    <m:section xlName="_GBC_6b764c2f9af049ba98fb55c66fe083a9" title="固定资产情况" rules="R2015_R11_012" headerRef="429"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headerRef="430" convertSummaryRule="NoConvert" helpId="112001065"/>
    <m:section xlName="_GBC_06e38c241c8a43a99fdd68c92888bab1" title="通过经营租赁租出的固定资产" rules="R2015_R11_012" headerRef="431" helpId="112001065" helpText="未执行新租赁准则的公司填写。"/>
    <m:section xlName="_GBC_5b357259936442c38f67f17b533c7085" title="未办妥产权证书的固定资产情况" rules="R2015_R11_012" headerRef="432" convertSummaryRule="NoConvert" helpId="112001065"/>
    <m:item xlName="_GBC_9a66caee6756422c9cb01da54631670e" headerRef="433" up="固定资产的减值测试情况" concept="clcid-ci-ar:ShiFouShiYongJianZhiCeShiQingKuang" label="是否适用：减值测试情况" selectOptions="_buildInAppliance" controlType="CustomCheckbox" cRanges="[{&quot;StartName&quot;:&quot;_GBC_9a66caee6756422c9cb01da54631670e&quot;,&quot;EndName&quot;:&quot;_SEC_3766642b8ed048e7a1b5fe6a63ec3b63&quot;,&quot;CType&quot;:1}]">
      <m:axisValue occRef="固定资产"/>
    </m:item>
    <m:section xlName="_SEC_e565856d06374184b0128fde0ef05842" title="可收回金额按公允价值减去处置费用后的净额确定" headerRef="434" helpId="112001065">
      <m:axisValue occRef="固定资产"/>
    </m:section>
    <m:section xlName="_SEC_713a431386524412af8474497588c82c" title="可收回金额按预计未来现金流量的现值确定" headerRef="435" helpId="112001065">
      <m:axisValue occRef="固定资产"/>
    </m:section>
    <m:section xlName="_SEC_fbc44acbcda745aa9b026082e71ef4d9" title="前述信息与以前年度减值测试采用的信息或外部信息明显不一致的差..." headerRef="436" helpId="112001065">
      <m:axisValue occRef="固定资产"/>
    </m:section>
    <m:section xlName="_SEC_3766642b8ed048e7a1b5fe6a63ec3b63" title="公司以前年度减值测试采用信息与当年实际情况明显不一致的差异原..." headerRef="437" helpId="112001065">
      <m:axisValue occRef="固定资产"/>
    </m:section>
    <m:section xlName="_GBC_c93a179f84504ae59ee71556bc9afb64" title="固定资产说明" rules="R2015_R11_012" headerRef="437" convertSummaryRule="NoConvert" helpId="112001065"/>
    <m:section xlName="_GBC_0de4677cdcb54eaa8c2b2afa938f1054" title="固定资产清理" headerRef="438"/>
    <m:section xlName="_SEC_5259769a5b954eaaa39f8ab4268be07c" title="在建工程项目列示" headerRef="440"/>
    <m:section xlName="_GBC_88cd7483eb15414d84d17f5cc1a4bf78" title="在建工程情况" rules="R2015_R11_012" headerRef="442" convertSummaryRule="NoConvert" helpId="112001067"/>
    <m:section xlName="_GBC_b1eb75f465d7494995f17407201cfca9" title="重大在建工程项目变动情况" rules="R2015_R11_012" headerRef="443" convertSummaryRule="NoConvert" helpId="112001067" helpText="注：资金来源，一般包括募股资金、金融机构贷款和其他来源等。"/>
    <m:section xlName="_SEC_b381f285b0124fbaa1cdaa9d7cd6d93a" title="在建工程减值准备" rules="R2015_R11_012" headerRef="444" convertSummaryRule="NoConvert" helpId="112001067"/>
    <m:item xlName="_GBC_f6d4bcf1dee14a709974326281981b12" headerRef="445" up="在建工程的减值测试情况" concept="clcid-ci-ar:ShiFouShiYongJianZhiCeShiQingKuang" label="是否适用：减值测试情况" selectOptions="_buildInAppliance" controlType="CustomCheckbox" cRanges="[{&quot;StartName&quot;:&quot;_GBC_f6d4bcf1dee14a709974326281981b12&quot;,&quot;EndName&quot;:&quot;_SEC_b46390f610c64619936db407e5835ea1&quot;,&quot;CType&quot;:1}]">
      <m:axisValue occRef="在建工程"/>
    </m:item>
    <m:section xlName="_SEC_3201c8866808401db639cc2771e1c670" title="可收回金额按公允价值减去处置费用后的净额确定" headerRef="446" helpId="112001067">
      <m:axisValue occRef="在建工程"/>
    </m:section>
    <m:section xlName="_SEC_5fab5c9d4d144176b70ef763748d7a2e" title="可收回金额按预计未来现金流量的现值确定" headerRef="447" helpId="112001067">
      <m:axisValue occRef="在建工程"/>
    </m:section>
    <m:section xlName="_SEC_b1e11a250c2847a083a7929766535c0d" title="前述信息与以前年度减值测试采用的信息或外部信息明显不一致的差..." headerRef="448" helpId="112001067">
      <m:axisValue occRef="在建工程"/>
    </m:section>
    <m:section xlName="_SEC_b46390f610c64619936db407e5835ea1" title="公司以前年度减值测试采用信息与当年实际情况明显不一致的差异原..." headerRef="449" helpId="112001067">
      <m:axisValue occRef="在建工程"/>
    </m:section>
    <m:section xlName="_GBC_d5aec612c6334d1b8a827f3f39a2781d" title="在建工程的说明" rules="R2015_R11_012" headerRef="449" convertSummaryRule="NoConvert" helpId="112001067"/>
    <m:section xlName="_GBC_12c2ea8f308b49c7b5e2baae867f1ec7" title="工程物资" headerRef="450" convertSummaryRule="NoConvert" helpId="112001069"/>
    <m:section xlName="_GBC_e4aea5da03534f61818766a33b5ada09" title="采用成成本计量模式的生产性生物资产" headerRef="452" helpId="112001070">
      <m:virtualTuples>
        <m:virtualTuple id="5080c45b-c3e2-466e-8ce4-2a86227ee3da" tupleRef="clcid-pte:CaiYongChengBenJiLiangMoShiDeShengChanXingShengWuZiChanMingXi" defaultRows="8" extendDirection="2" splitWidth="1"/>
      </m:virtualTuples>
    </m:section>
    <m:item xlName="_GBC_9e260b0f45a84f50898aaf872db0ca84" headerRef="453" up="采用成本计量模式的生产性生物资产的减值测试情况" concept="clcid-ci-ar:ShiFouShiYongJianZhiCeShiQingKuang" label="是否适用：减值测试情况" selectOptions="_buildInAppliance" controlType="CustomCheckbox" cRanges="[{&quot;StartName&quot;:&quot;_GBC_9e260b0f45a84f50898aaf872db0ca84&quot;,&quot;EndName&quot;:&quot;_SEC_ee7f552f0cfe436183502e530d92c458&quot;,&quot;CType&quot;:1}]">
      <m:axisValue occRef="生产性生物资产"/>
    </m:item>
    <m:section xlName="_SEC_e34a6e21f8284a14895655d8cbbd4a0c" title="可收回金额按公允价值减去处置费用后的净额确定" headerRef="454" helpId="112001070">
      <m:axisValue occRef="生产性生物资产"/>
    </m:section>
    <m:section xlName="_SEC_d5bc4d80f72d433897c978ec3ec13d90" title="可收回金额按预计未来现金流量的现值确定" headerRef="455" helpId="112001070">
      <m:axisValue occRef="生产性生物资产"/>
    </m:section>
    <m:section xlName="_SEC_6a9bdae55c0548b3b641e5c9e51a1a55" title="前述信息与以前年度减值测试采用的信息或外部信息明显不一致的差..." headerRef="456" helpId="112001070">
      <m:axisValue occRef="生产性生物资产"/>
    </m:section>
    <m:section xlName="_SEC_ee7f552f0cfe436183502e530d92c458" title="公司以前年度减值测试采用信息与当年实际情况明显不一致的差异原..." headerRef="457" helpId="112001070">
      <m:axisValue occRef="生产性生物资产"/>
    </m:section>
    <m:section xlName="_GBC_c6f2d306944241a8a32f51421c437b66" title="采用公允价值计量模式的生产性生物资产" headerRef="458"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headerRef="458" convertSummaryRule="NoConvert" helpId="112001070"/>
    <m:section xlName="_GBC_fe60430654f541aab1da59bd08202085" title="油气资产" headerRef="459" convertSummaryRule="NoConvert" helpId="112001071">
      <m:virtualTuples>
        <m:virtualTuple id="391f4d5d-e2bb-4e43-a73b-1a879022eeed" tupleRef="clcid-pte:YouQiZiChanMingXi" extendDirection="2" splitWidth="1"/>
      </m:virtualTuples>
    </m:section>
    <m:item xlName="_GBC_3d3afd59d9f741639537a668ab2d0ccf" headerRef="461" up="油气资产的减值测试情况" concept="clcid-ci-ar:ShiFouShiYongJianZhiCeShiQingKuang" label="是否适用：减值测试情况" selectOptions="_buildInAppliance" controlType="CustomCheckbox" cRanges="[{&quot;StartName&quot;:&quot;_GBC_3d3afd59d9f741639537a668ab2d0ccf&quot;,&quot;EndName&quot;:&quot;_SEC_f83763a685a745958904228b88bf4990&quot;,&quot;CType&quot;:1}]">
      <m:axisValue occRef="油气资产"/>
    </m:item>
    <m:section xlName="_SEC_a123788a0d8646699cf3ba94b6bc60aa" title="可收回金额按公允价值减去处置费用后的净额确定" headerRef="462" helpId="112001071">
      <m:axisValue occRef="油气资产"/>
    </m:section>
    <m:section xlName="_SEC_66c0f5190caa4463aca66c5cd4b32993" title="可收回金额按预计未来现金流量的现值确定" headerRef="463" helpId="112001071">
      <m:axisValue occRef="油气资产"/>
    </m:section>
    <m:section xlName="_SEC_6ca54465ede8432ab94c9c12b3b05a77" title="前述信息与以前年度减值测试采用的信息或外部信息明显不一致的差..." headerRef="464" helpId="112001071">
      <m:axisValue occRef="油气资产"/>
    </m:section>
    <m:section xlName="_SEC_f83763a685a745958904228b88bf4990" title="公司以前年度减值测试采用信息与当年实际情况明显不一致的差异原..." headerRef="465" helpId="112001071">
      <m:axisValue occRef="油气资产"/>
    </m:section>
    <m:section xlName="_SEC_e84ea8baed5f427281f9567ccf4fce73" title="" headerRef="465"/>
    <m:section xlName="_SEC_42126bf96c7241e38ff33aae0d98dae2" title="使用权资产" headerRef="466" tagAction="1" helpId="112001060">
      <m:virtualTuples>
        <m:virtualTuple id="06aa4ced-53cd-4ab4-88f8-025c43637847" tupleRef="clcid-pte:ShiYongQuanZiChanMingXi" extendDirection="2"/>
      </m:virtualTuples>
    </m:section>
    <m:item xlName="_GBC_d79f93753a2c43fc80991be4c588d144" headerRef="468" up="使用权资产的减值测试情况" concept="clcid-ci-ar:ShiFouShiYongJianZhiCeShiQingKuang" label="是否适用：减值测试情况" selectOptions="_buildInAppliance" controlType="CustomCheckbox" cRanges="[{&quot;StartName&quot;:&quot;_GBC_d79f93753a2c43fc80991be4c588d144&quot;,&quot;EndName&quot;:&quot;_SEC_2efe345077f34dc7b56c8b6dd09737d0&quot;,&quot;CType&quot;:1}]">
      <m:axisValue occRef="使用权资产"/>
    </m:item>
    <m:section xlName="_SEC_66982ba855cf475dbc8cade4c82ea78f" title="可收回金额按公允价值减去处置费用后的净额确定" headerRef="469" helpId="112001060">
      <m:axisValue occRef="使用权资产"/>
    </m:section>
    <m:section xlName="_SEC_7b67f63c7bda4ded9aeb5eccbcbf5448" title="可收回金额按预计未来现金流量的现值确定" headerRef="470" helpId="112001060">
      <m:axisValue occRef="使用权资产"/>
    </m:section>
    <m:section xlName="_SEC_3f9e651c30d340f7abad0cbb82380466" title="前述信息与以前年度减值测试采用的信息或外部信息明显不一致的差..." headerRef="471" helpId="112001060">
      <m:axisValue occRef="使用权资产"/>
    </m:section>
    <m:section xlName="_SEC_2efe345077f34dc7b56c8b6dd09737d0" title="公司以前年度减值测试采用信息与当年实际情况明显不一致的差异原..." headerRef="472" helpId="112001060">
      <m:axisValue occRef="使用权资产"/>
    </m:section>
    <m:section xlName="_SEC_5070aea807214dbd90520876987851ca" title="" headerRef="472" helpId="112001060"/>
    <m:item xlName="_GBC_0882d05501f84259b91efc5f2eae98cf" headerRef="474" up="无形资产情况"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aderRef="474" helpId="112001072">
      <m:virtualTuples>
        <m:virtualTuple id="dd625539-1bb3-40f2-b0d4-0097d3143f41" tupleRef="clcid-pte:WuXingZiChanMingXi" extendDirection="2" splitWidth="1"/>
      </m:virtualTuples>
    </m:section>
    <m:section xlName="_SEC_4286bf9a44474b9d8db2dc6464331cb7" title="确认为无形资产的数据资源" headerRef="475"/>
    <m:section xlName="_GBC_0daf5d1e7172402ab885ca5e5b78a389" title="未办妥产权证书的土地使用权情况：" rules="R2015_R11_013" headerRef="476" helpId="112001072"/>
    <m:item xlName="_GBC_6523dfc219a7467fb60857d0ff4fbd37" headerRef="477" up="无形资产的减值测试情况" concept="clcid-ci-ar:ShiFouShiYongJianZhiCeShiQingKuang" label="是否适用：减值测试情况" selectOptions="_buildInAppliance" controlType="CustomCheckbox" cRanges="[{&quot;StartName&quot;:&quot;_GBC_6523dfc219a7467fb60857d0ff4fbd37&quot;,&quot;EndName&quot;:&quot;_SEC_cf85eb8dfb4045928123b6c2e1643578&quot;,&quot;CType&quot;:1}]">
      <m:axisValue occRef="无形资产"/>
    </m:item>
    <m:section xlName="_SEC_38d3a053503345f48df315a347f2112c" title="可收回金额按公允价值减去处置费用后的净额确定" headerRef="478" helpId="112001072">
      <m:axisValue occRef="无形资产"/>
    </m:section>
    <m:section xlName="_SEC_b8d20578cfac42ecb639bf6fbee628e2" title="可收回金额按预计未来现金流量的现值确定" headerRef="479" helpId="112001072">
      <m:axisValue occRef="无形资产"/>
    </m:section>
    <m:section xlName="_SEC_e219e131009f41f9a2016c5cbf9bd063" title="前述信息与以前年度减值测试采用的信息或外部信息明显不一致的差..." headerRef="480" helpId="112001072">
      <m:axisValue occRef="无形资产"/>
    </m:section>
    <m:section xlName="_SEC_cf85eb8dfb4045928123b6c2e1643578" title="公司以前年度减值测试采用信息与当年实际情况明显不一致的差异原..." headerRef="481" helpId="112001072">
      <m:axisValue occRef="无形资产"/>
    </m:section>
    <m:section xlName="_GBC_c2d02a8bb1274cb1bf0330030cc64229" title="无形资产说明" rules="R2015_R11_013" headerRef="481" helpId="112001072"/>
    <m:section xlName="_SEC_0d13253f4b004ecdaea8960cfb92cf26" title="商誉账面原值" headerRef="483" helpId="112001075"/>
    <m:section xlName="_SEC_6fe538077d4746d4ba51a5610b4bd03b" title="商誉减值准备" headerRef="484" helpId="112001075"/>
    <m:section xlName="_SEC_ad8117fc791d472f816d77862f5dddb4" title="商誉所在资产组或资产组组合的相关信息  名称 所属资产..." headerRef="485" helpId="112001075"/>
    <m:section xlName="_SEC_58151e6228ce4a57b53a0b1abcc5a0a9" title="资产组或资产组组合发生变化  名称 变化前的构成 变..." headerRef="485" helpId="112001075"/>
    <m:section xlName="_SEC_18a69ff62df94142843ad78b7290472e" title="其他说明  " headerRef="485" helpId="112001075"/>
    <m:section xlName="_SEC_2f648d692d984e19aadb87773c563ba4" title="可收回金额按公允价值减去处置费用后的净额确定" headerRef="486" helpId="112001075">
      <m:axisValue occRef="商誉"/>
    </m:section>
    <m:section xlName="_SEC_2721f807202e48fabdc088f2bc6ee06e" title="可收回金额按预计未来现金流量的现值确定" headerRef="486" helpId="112001075">
      <m:axisValue occRef="商誉"/>
    </m:section>
    <m:section xlName="_SEC_702fa636abe24a5bad8a5822ba64893a" title="前述信息与以前年度减值测试采用的信息或外部信息明显不一致的差..." headerRef="486" helpId="112001075">
      <m:axisValue occRef="商誉"/>
    </m:section>
    <m:section xlName="_SEC_8704482859ed4b46ac6112fdc46ac26d" title="公司以前年度减值测试采用信息与当年实际情况明显不一致的差异原..." headerRef="486" helpId="112001075">
      <m:axisValue occRef="商誉"/>
    </m:section>
    <m:section xlName="_SEC_f50dbc62868f42b1bba55adf22761b01" title="业绩承诺完成及对应商誉减值情况形成商誉时存在业绩承诺且报告..." headerRef="487" helpId="112001075"/>
    <m:section xlName="_SEC_fd9f0a21b0c44e29ba84ddb7842fe32a" title="其他说明" headerRef="487"/>
    <m:section xlName="_GBC_c7f901dce89846cbbbab6c51c3213a6f" title="长期待摊费用" headerRef="488" convertSummaryRule="NoConvert" helpId="112001076"/>
    <m:section xlName="_SEC_24cb6110bf5143448478343c289c754e" title="未经抵销的递延所得税资产" headerRef="489" helpId="112001077"/>
    <m:section xlName="_SEC_022eb52f9e1542cbb5aaa5a287b8ee2a" title="未经抵销的递延所得税负债" headerRef="491" helpId="112001077"/>
    <m:section xlName="_SEC_393d53219fe44274aa0bc5257c75c762" title="以抵销后净额列示的递延所得税资产或负债" headerRef="492" helpId="112001077"/>
    <m:section xlName="_SEC_858c4743950048c4949e354ac068e8af" title="未确认递延所得税资产明细" headerRef="493" helpId="112001077"/>
    <m:section xlName="_SEC_a5f2b329395b406fa4b30b710f4a81e0" title="未确认递延所得税资产的可抵扣亏损将于以下年度到期" headerRef="494" helpId="112001077"/>
    <m:section xlName="_GBC_057749240d604d9ab0db94f6e505935f" title="递延所得税资产和递延所得税负债的说明" rules="R2015_R11_015" headerRef="494" convertSummaryRule="NoConvert" helpId="112001077"/>
    <m:section xlName="_GBC_b8db472f168c433c9cdb46a39ab78b50" title="其他非流动资产" rules="R2015_R11_016" headerRef="495" helpId="112001235"/>
    <m:section xlName="_SEC_a97d8d910214412e8d8459047fe06b94" title="所有权或使用权受到限制的资产" headerRef="496" helpId="112002306" helpText="1、应当披露所有权或使用权受到限制的数据资源无形资产，以及用于担保的数据资源无形资产的账面价值、当期摊销额等情况。\n2、应当披露所有权或使用权受到限制的数据资源存货，以及用于担保的数据资源存货的账面价值等情况。" axisType="Column"/>
    <m:section xlName="_GBC_7bd2428d8b3140c1a80e7a88bb928c1f" title="短期借款分类" headerRef="498" convertSummaryRule="NoConvert" helpId="112001079" axisType="Column"/>
    <m:section xlName="_GBC_ed2a6c31b7cf49cda098dbe4c44cf674" title="已到期未偿还的短期借款情况" headerRef="499" convertSummaryRule="NoConvert" helpId="112001079"/>
    <m:section xlName="_GBC_46c6d163213144f484acc37c597c42f6" title="短期借款的说明" headerRef="499" helpId="112001079"/>
    <m:section xlName="_SEC_f2a8047b67b94258bc29276832ced511" title="交易性金融负债" headerRef="500" helpId="112001080"/>
    <m:section xlName="_GBC_c6a901495ec44a7798e3a75ddb5e06bf" title="衍生金融负债" headerRef="501" helpId="112001081" helpText="注：说明衍生金融工具形成原因及相关会计处理等。"/>
    <m:item xlName="_GBC_57c67181b34944e782b23a48b1843e8f" headerRef="502" up="应付票据"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商业承兑汇票" headerRef="502" helpId="112001083"/>
    <m:section xlName="_GBC_0f1b98b90c3845e1a1ad65786460f84b" title="应付账款情况" rules="R2015_R11_018" headerRef="504" convertSummaryRule="NoConvert" helpId="112001084"/>
    <m:section xlName="_GBC_5fffbd1416eb408d959645d37f190cf5" title="重要的账龄超过1年的应付账款" rules="R2015_R11_018" headerRef="505" helpId="112001084"/>
    <m:section xlName="_GBC_aecd44efc3ea456b9149dd662d0a5085" title="应付账款的其他说明" rules="R2015_R11_018" headerRef="505" convertSummaryRule="NoConvert" helpId="112001084"/>
    <m:section xlName="_GBC_d7dac18f0444439d83469555857c3195" title="预收账款情况" headerRef="507" convertSummaryRule="NoConvert" helpId="112002200"/>
    <m:section xlName="_GBC_59300802f7ac43e3ab1ce4a570fb0267" title="账龄超过1年的重要预收款项" headerRef="508" helpId="112002200"/>
    <m:section xlName="_SEC_e82c3ab4c94e42259deb54d8b6083101" title="报告期内账面价值发生重大变动的金额和原因  单位：元 币..." headerRef="509" helpId="112002200"/>
    <m:section xlName="_GBC_3b693e8055374a80821823cdad74f225" title="账龄超过1年的大额预收款项情况的说明" headerRef="509" convertSummaryRule="NoConvert" helpId="112002200"/>
    <m:section xlName="_SEC_c98a59ac0d184ea5b3b590c23bf7ff8d" title="合同负债" headerRef="510" helpId="112002281"/>
    <m:section xlName="_SEC_4460fbb7bed54524a745325e3da992a1" title="账龄超过1年的重要合同负债  单位：元币种：人民币项目..." headerRef="512" helpId="112002281"/>
    <m:section xlName="_SEC_c824c488dbc74824b379bb9187c7bdf0" title="报告期内账面价值发生重大变动的金额和原因" headerRef="513" helpId="112002281"/>
    <m:section xlName="_SEC_1910d69cccc04d3fb0422784d0b1dd58" title="其他说明：" headerRef="513" helpId="112002281"/>
    <m:section xlName="_GBC_fa609950067149f1a5c0a6c3ba353431" title="应付职工薪酬列示：" headerRef="515" helpId="112001085"/>
    <m:section xlName="_GBC_8889528627cf49dfa80ba4d972a53405" title="短期薪酬列示" headerRef="516" helpId="112001085"/>
    <m:section xlName="_GBC_b98ebc9fce454755bd30d763bee0283a" title="设定提存计划列示" headerRef="517" helpId="112001085"/>
    <m:section xlName="_GBC_9173eff793e04226ba65f69088a27313" title="应付职工薪酬说明" headerRef="517" helpId="112001085"/>
    <m:section xlName="_GBC_50fc9ef51868432e98c401f69097dfc6" title="应交税费" headerRef="518" convertSummaryRule="NoConvert" helpId="112001086" axisType="Column"/>
    <m:section xlName="_SEC_91b63eaccd3b4791a7db86166a2d97cb" title="其他应付款分类列示" headerRef="520" helpId="112001089"/>
    <m:section xlName="_SEC_60feb8ef6f7c4655a263f50d12c222d8" title="应付利息" headerRef="521" helpId="112001087"/>
    <m:section xlName="_SEC_454db7ed64ca40e48e42eb6c38ae54ca" title="应付股利" headerRef="522" helpId="112001088"/>
    <m:section xlName="_SEC_df361e68406f49208d47d08674984872" title="按款项性质列示其他应付款" headerRef="524" helpId="112001089"/>
    <m:section xlName="_SEC_83408720712d4902a68e6c9ddd4c67ae" title="账龄超过1年的重要其他应付款" headerRef="525" helpId="112001089"/>
    <m:section xlName="_SEC_b03fcb02b4b747249703cbc2e0a127fd" title="其他说明" headerRef="525" helpId="112001089"/>
    <m:section xlName="_GBC_b863defdccbc448695ee82953f3da273" title="划分为持有待售的负债" headerRef="526" helpId="112001091" helpText="注：说明划分为持有待售的负债的原因等。"/>
    <m:section xlName="_GBC_d5b7f9c02d494f85b85a36713895b9f8" title="1年内到期的非流动负债" headerRef="527" helpId="112001092"/>
    <m:item xlName="_GBC_80907e3e53c44260b850f42646eb3d63" headerRef="528" up="其他流动负债"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headerRef="528" helpId="112001093"/>
    <m:section xlName="_SEC_6226fe3c90c0484c9259178938031584" title="短期应付债券的增减变动" headerRef="528" convertSummaryRule="NoConvert" helpId="112001093"/>
    <m:section xlName="_GBC_b1cb6faf7bad41e4868a075c1a423566" title="其他流动负债说明" headerRef="528" helpId="112001093"/>
    <m:section xlName="_GBC_8b6acb9acc4745f09cf8ff1a98787eb9" title="长期借款分类 " headerRef="530" convertSummaryRule="NoConvert" helpId="112001094" axisType="Column"/>
    <m:section xlName="_GBC_7195bfed3c6d4a6fb2b17f01aa73f311" title="长期借款的说明" headerRef="530" helpId="112001094"/>
    <m:section xlName="_GBC_cd8e29427b9b4eecb46188c744528e27" title="应付债券" headerRef="532" helpId="112001095"/>
    <m:section xlName="_SEC_69d7c6c2b0fc4bd9b880a456523c61cd" title="应付债券的增减变动" headerRef="533" helpId="112001095">
      <m:virtualTuples>
        <m:virtualTuple id="05b1f0af-c01f-4fce-96b8-29a3faf0470e" tupleRef="clcid-pte:YingFuZhaiQuanMingXi" defaultRows="0" extendDirection="2"/>
      </m:virtualTuples>
    </m:section>
    <m:section xlName="_SEC_0d9de70c755e4939995c0e6cbbc104e1" title="可转换公司债券的说明" headerRef="534" helpId="112001095"/>
    <m:section xlName="_SEC_8ec97182697c4b739248bc1b21675e92" title="转股权会计处理及判断依据" headerRef="534" helpId="112001095"/>
    <m:section xlName="_GBC_d031ed2380884bb4aa3cb2efb2740308" title="划分为金融负债的其他金融工具说明" headerRef="535" helpId="112001095"/>
    <m:section xlName="_GBC_32fb23173d7a4a4fa8cb056982254a59" title="应付债券其他说明" headerRef="535" helpId="112001095"/>
    <m:section xlName="_SEC_6bd3f432494344eb8aaf6d133dbbfdc8" title="租赁负债" headerRef="536" helpId="112002270" helpText="按租赁负债年限分类列示"/>
    <m:section xlName="_SEC_c0e96ee0f49e415f98873dfb1c798446" title="项目列示" headerRef="538" helpId="112001096"/>
    <m:section xlName="_SEC_1ac73daea3484386b92787e79e677fbb" title="长期应付款" headerRef="539" helpId="112001096"/>
    <m:section xlName="_GBC_6847689be8c1493eb5db4e6dbab0fdbe" title="专项应付款" headerRef="540" convertSummaryRule="NoConvert" helpId="112001096"/>
    <m:item xlName="_GBC_077559b601814bb38f16734f98e8c045" headerRef="541" up="长期应付职工薪酬"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aderRef="542" helpId="112001097"/>
    <m:section xlName="_GBC_afdd9211c159429fa2d6540cc92dda04" title="设定受益计划变动情况" headerRef="543" helpId="112001097"/>
    <m:section xlName="_GBC_9d7ebc39babc43788a550e83deca7fdc" title="长期应付职工薪酬的其他说明" headerRef="543" helpId="112001097"/>
    <m:section xlName="_GBC_6b41f75046264d5392c8786bf4fd2da4" title="预计负债" headerRef="544" convertSummaryRule="NoConvert" helpId="112001099"/>
    <m:section xlName="_GBC_8d74a4d69f6940c3968ca9c4cf2a1b4c" title="递延收益" rules="R2015_R11_019" headerRef="545" helpId="112001100"/>
    <m:section xlName="_GBC_3e5bdbca1c524ed19d397da3dfaf83a9" title="递延收益其他说明" rules="R2015_R11_019" headerRef="545" helpId="112001100"/>
    <m:section xlName="_GBC_ebdcd37ba77540d78079b1e51c20b6ce" title="其他非流动负债" headerRef="546" convertSummaryRule="NoConvert" helpId="112001235"/>
    <m:section xlName="_GBC_7f4b2f9bba854132af4bbd6504a10383" title="股本" headerRef="547" convertSummaryRule="NoConvert" helpId="112001101"/>
    <m:section xlName="_GBC_4f862512b6914630932c1857df6db6e4" title="其他权益工具" headerRef="549" helpId="112001102"/>
    <m:section xlName="_GBC_23fef1c643714b9f82710e33a1bef935" title="资本公积" headerRef="551" convertSummaryRule="NoConvert" helpId="112001105"/>
    <m:section xlName="_GBC_02198eb4b89045c5af2f3bcd240e18af" title="库存股" headerRef="552" convertSummaryRule="NoConvert" helpId="112001103" keyAction="89"/>
    <m:section xlName="_GBC_de162f89125c4dc8abd2331e6cce7184" title="其他综合收益" headerRef="553"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headerRef="554" convertSummaryRule="NoConvert" helpId="112001104" axisType="Column"/>
    <m:section xlName="_GBC_fc97b66d150f4d31ba9096ec58341715" title="盈余公积" headerRef="555" convertSummaryRule="NoConvert" helpId="112001108"/>
    <m:item xlName="_GBC_32c558bdbb77445cabeee783e5ff910e" headerRef="556" up="未分配利润"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aderRef="556" helpId="112001109"/>
    <m:section xlName="_GBC_a3a22662ec3d4fb69e12845051ced996" title="营业收入和营业成本" rules="R2015_R11_020" headerRef="557" helpId="112001110" keyAction="89"/>
    <m:section xlName="_SEC_3f909c87693c4beb8a862535b294bd8f" title=""/>
    <m:section xlName="_SEC_c4e8c6d213eb4da9850e04355e0aa292" title="合同产生的收入的情况" headerRef="559" tagAction="1" helpId="112001110">
      <m:virtualTuples>
        <m:virtualTuple id="47b64d54-c0cb-4c7a-a1b2-733bbb651abd" tupleRef="clcid-pte:HeTongChanShengDeShouRuFenBuMingXi" extendDirection="2"/>
      </m:virtualTuples>
    </m:section>
    <m:section xlName="_SEC_8329630823ac439580d388526c3a8bbd" title="履约义务的说明" headerRef="560" helpId="112001110"/>
    <m:section xlName="_SEC_52c497559d5c4501875a7b175ab4b1eb" title="分摊至剩余履约义务的说明" headerRef="561" helpId="112001110" helpText="如需删除段落，请通过模块-删除段落进行删除。"/>
    <m:section xlName="_SEC_f9c2a7e15a02428d920ae65723615b8a" title="重大合同变更或重大交易价格调整" headerRef="562" helpId="112001110"/>
    <m:section xlName="_SEC_530aa03318f04819b92848bd4d1e0874" title="营业收入和营业成本的说明" headerRef="562" helpId="112001110"/>
    <m:section xlName="_GBC_38185835049143dd873ff3e7d0941647" title="税金及附加" rules="R2015_R11_021" headerRef="563" convertSummaryRule="NoConvert" helpId="112001112" axisType="Column" keyAction="89"/>
    <m:section xlName="_GBC_3faa14b862dd44e8a54b6137b70adace" title="成本费用" rules="R2015_R11_022" headerRef="564" convertSummaryRule="NoConvert" helpId="112001111" keyAction="89"/>
    <m:section xlName="_GBC_d5a6283bdea64513980a0cc618e2ec60" title="管理费用" rules="R2015_R11_023" headerRef="565" helpId="112001111" keyAction="89"/>
    <m:section xlName="_SEC_5070ecc0a0324b189a4ec7d6e218c5d7" title="研发费用" headerRef="566" helpId="112002273" keyAction="89"/>
    <m:section xlName="_GBC_aeeadad5456b4097a79668e5a1cadb17" title="财务费用" rules="R2015_R11_024" headerRef="567" helpId="112001111" keyAction="89"/>
    <m:section xlName="_SEC_b7dd1353107541ffa3a1d66fbb85a037" title="其他收益" headerRef="568" helpId="112002275"/>
    <m:section xlName="_SEC_56e74a133dff4dcebe7ed76c1a92a2e5" title="投资收益" headerRef="569" helpId="112001114" helpText="填写时注意区分新会计准则和旧会计准则适用的明细科目"/>
    <m:section xlName="_SEC_cbd8186e9cf3452cab63fa24a69149bc" title="净敞口套期收益" headerRef="570" helpId="112002276"/>
    <m:section xlName="_GBC_66e6cb51ec7740408a31ff233ae3330d" title="公允价值变动收益" rules="R2015_R11_025" headerRef="571" convertSummaryRule="NoConvert" helpId="112001113"/>
    <m:section xlName="_SEC_00e0e3c1427f4344825ff5b9912fdfd2" title="信用减值损失" headerRef="572" helpId="112002277" keyAction="89"/>
    <m:section xlName="_SEC_73945c101b414d309d5de40d75e99e2d" title="资产减值损失" rules="R2015_R11_027" headerRef="573" helpId="112001115" keyAction="89"/>
    <m:section xlName="_SEC_32e84127ca0a46b8896ad8e149c91048" title="资产处置收益" headerRef="574" helpId="112002278"/>
    <m:item xlName="_GBC_b6e9df1124844122abb2dde58392c605" headerRef="575" up="营业外收入"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营业外收入" headerRef="575" helpId="112001116"/>
    <m:section xlName="_GBC_613f834d57f34b828d1fb937ee139a13" title="营业外收入说明" rules="R2015_R11_028" headerRef="575" convertSummaryRule="NoConvert" helpId="112001116"/>
    <m:section xlName="_GBC_7c51aa70be1f405d954dc316ed26b5b4" title="营业外支出" headerRef="576" convertSummaryRule="NoConvert" helpId="112001117" keyAction="89"/>
    <m:section xlName="_GBC_c8eb4731730a4ca395e992a85b3eafe1" title="所得税费用" headerRef="577" convertSummaryRule="NoConvert" helpId="112001119" keyAction="89"/>
    <m:section xlName="_GBC_a490950b62a146d9901e0aeb01787f97" title="其他综合收益" headerRef="580" helpId="112001121"/>
    <m:section xlName="_GBC_aebbed0d25f14d50b64339a751dec4bd" title="收到的其他与经营活动有关的现金" rules="R2015_R11_029" headerRef="582" convertSummaryRule="NoConvert" helpId="112002201"/>
    <m:section xlName="_GBC_3c8453861c4b4e94956633ec6c228388" title="支付的其他与经营活动有关的现金" rules="R2015_R11_030" headerRef="582" convertSummaryRule="NoConvert" helpId="112002201" keyAction="89"/>
    <m:section xlName="_SEC_00166f1660634497b2d715b89989923c" title="收到的重要的投资活动有关的现金" headerRef="583" helpId="112002201"/>
    <m:section xlName="_SEC_81b0db51e3fd4c3384f8009bd8e7890b" title="支付的重要的投资活动有关的现金 " headerRef="583" helpId="112002201"/>
    <m:section xlName="_GBC_7d29c8348da547cab82786074f1b3249" title="收到的其他与投资活动有关的现金" headerRef="583" convertSummaryRule="NoConvert" helpId="112002201"/>
    <m:section xlName="_GBC_fa501b3ede254af6bdfad826e328392a" title="支付的其他与投资活动有关的现金" headerRef="583" convertSummaryRule="NoConvert" helpId="112002201" keyAction="89"/>
    <m:section xlName="_GBC_6e57c618c25c498db37f205341e0c66a" title="收到的其他与筹资活动有关的现金" headerRef="584" convertSummaryRule="NoConvert" helpId="112002201"/>
    <m:section xlName="_GBC_96162aa406234e2485524876a03968e7" title="支付的其他与筹资活动有关的现金" headerRef="584" convertSummaryRule="NoConvert" helpId="112002201" keyAction="89"/>
    <m:section xlName="_SEC_ba18b0bdcdd046cfad79970305409a68" title="筹资活动产生的各项负债变动情况" headerRef="584" helpId="112002201"/>
    <m:section xlName="_SEC_e02efe2e841a4fb29f6751e521aa7b7b" title="以净额列报现金流量的说明" headerRef="585" helpId="112002201"/>
    <m:section xlName="_SEC_85819472f12d474cb1b5117d89f488d5" title="不涉及当期现金收支、但影响企业财务状况或在未来可能影响企业现..." headerRef="586" helpId="112002201"/>
    <m:section xlName="_GBC_7c9a174810ac4558be4e54f8019d5a1a" title="现金流量表补充资料" headerRef="588" helpId="112001123" keyAction="42" keyCode="2">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aderRef="589" helpId="112001123"/>
    <m:section xlName="_GBC_2b15b115b2104b8ba327581d943203fc" title="处置子公司收到的现金净额" headerRef="590" helpId="112001123"/>
    <m:section xlName="_SEC_710336eea0e84b06ae3909c9e31d3ab0" title="现金和现金等价物的构成" headerRef="591" helpId="112001123"/>
    <m:section xlName="_SEC_2c9b142eefcb4db489a9c79d6d555791" title="使用范围受限但仍作为现金和现金等价物列示的情况" headerRef="592" helpId="112001123"/>
    <m:section xlName="_SEC_d6a80981c9424a3ba4698a0c8af5f921" title="不属于现金及现金等价物的货币资金  单位：元币种：人民币..." headerRef="593" helpId="112001123"/>
    <m:section xlName="_SEC_3f4e4b92c0554338b3ebe5206d887d6d" title="其他说明" headerRef="593" helpId="112001123"/>
    <m:section xlName="_GBC_f67b410d6123403caa2cee84fe191372" title="所有者权益变动表项目注释" headerRef="594" convertSummaryRule="NoConvert" helpId="112001124" keyAction="42" keyCode="2"/>
    <m:section xlName="_GBC_7a80c9b78caf4e6686905c555fe61f9a" title="外币货币性项目" resetControlTag="true" headerRef="595" helpId="112001118" axisType="Column" keyAction="48" keyCode="currency"/>
    <m:item xlName="_GBC_1a127bd18c664ed8bca6a513c43f1fa2" headerRef="599" up="作为承租人" concept="clcid-ci-ar:ShiFouShiYongZuoWeiChengZuRen" label="是否适用：作为承租人" selectOptions="_buildInAppliance" controlType="CustomCheckbox" cRanges="[{&quot;StartName&quot;:&quot;_GBC_1a127bd18c664ed8bca6a513c43f1fa2&quot;,&quot;EndName&quot;:&quot;_SEC_3d5a1e2b71884e9894780879dc182d51&quot;,&quot;CType&quot;:1}]"/>
    <m:section xlName="_SEC_cca19a1f6a5d42209985b6ec76560937" title="未纳入租赁负债计量的可变租赁付款额  ___" headerRef="599" helpId="112001198"/>
    <m:section xlName="_SEC_063ee0d2743048e58bea781c5d8165fd" title="简化处理的短期租赁或低价值资产的租赁费用  ___" headerRef="599" helpId="112001198"/>
    <m:section xlName="_SEC_0e90b414de1c40d881111d251e59104d" title="售后租回交易及判断依据  ___" headerRef="599" helpId="112001198"/>
    <m:section xlName="_SEC_3d5a1e2b71884e9894780879dc182d51" title="与租赁相关的现金流出总额" headerRef="599" helpId="112001198"/>
    <m:section xlName="_SEC_eea5e1baa5c34eab8d8ce50d01cf47fb" title="作为出租人的经营租赁" headerRef="600" helpId="112001198"/>
    <m:section xlName="_SEC_597ee86053c44de3befe25077fa87863" title="作为出租人的融资租赁" headerRef="600" helpId="112001198"/>
    <m:section xlName="_SEC_e74be360ac0d4ce89dc395c58bc6b74d" title="未折现租赁收款额与租赁投资净额的调节表" headerRef="600" helpId="112001198"/>
    <m:section xlName="_SEC_b73454b592e541048d9da59dab975100" title="未来五年未折现租赁收款额" headerRef="600" helpId="112001198"/>
    <m:section xlName="_SEC_1d50b3775de944d1adb408ea57227980" title="作为生产商或经销商确认融资租赁销售损益" headerRef="601" helpId="112001198"/>
    <m:section xlName="_SEC_f04d4ec0f0254b05bb0e1094dae777c4" title="其他说明" headerRef="601" helpId="112001198"/>
    <m:section xlName="_SEC_bc9f2882a5a14114b0398db427647ead" title="数据资源" headerRef="602" helpText="企业对数据资源进行评估且评估结果对企业财务报表具有重要影响的，应当披露评估依据的信息来源，评估结论成立的假设前提和限制条件，评估方法的选择，各重要参数的来源、分析、比较与测算过程等信息。\n企业可以根据实际情况，自愿披露数据资源（含未作为无形资产或存货确认的数据资源）下列相关信息：\n（1）数据资源的应用场景或业务模式、对企业创造价值的影响方式，与数据资源应用场景相关的宏观经济和行业领域前景等。\n（2）用于形成相关数据资源的原始数据的类型、规模、来源、权属、质量等信息。\n（3）企业对数据资源的加工维护和安全保护情况，以及相关人才、关键技术等的持有和投入情况。\n（4）数据资源的应用情况，包括数据资源相关产品或9服务等的运营应用、作价出资、流通交易、服务计费方式等情况。\n（5）重大交易事项中涉及的数据资源对该交易事项的影响及风险分析，重大交易事项包括但不限于企业的经营活动、投融资活动、质押融资、关联方及关联交易、承诺事项、或有事项、债务重组、资产置换等。\n（6）数据资源相关权利的失效情况及失效事由、对企业的影响及风险分析等，如数据资源已确认为资产的，还包括相关资产的账面原值及累计摊销、减值准备或跌价准备、失效部分的会计处理。\n（7）数据资源转让、许可或应用所涉及的地域限制、领域限制及法律法规限制等权利限制。\n（8）企业认为有必要披露的其他数据资源相关信息。"/>
    <m:section xlName="_GBC_f027b70d30154df58ffdc310123f3e1f" title="合并财务报表项目注释其他需要说明的事项" headerRef="603" helpId="112001122"/>
    <m:section xlName="_SEC_e63ffc0b4c1848bcbfcb6a0272f643cb" title="研发费用" headerRef="604" helpId="112002273"/>
    <m:section xlName="_SEC_b312f37f7aab4f59975eec37dbd6855a" title="公司开发项目支出" headerRef="606" helpId="112002273"/>
    <m:section xlName="_SEC_021e44d8dc664861b863a81af49beeec" title="重要的资本化研发项目" headerRef="606" helpId="112002273"/>
    <m:section xlName="_SEC_b67f81b1fda94b0fa6bfc4319495e3fe" title="开发支出减值准备" headerRef="606" helpId="112002273"/>
    <m:section xlName="_SEC_807c7af5fda245b0a98ccab9591d9625" title="其他说明___" headerRef="606" helpId="112002273"/>
    <m:section xlName="_SEC_0f1e461cf6154cbda5da69406432abfe" title="重要的外购在研项目  项目 预期产生经济利益的方式 ..." headerRef="607" helpId="112002273"/>
    <m:item xlName="_GBC_2f9a65b0b4644b14ab5af1407e6467f1" headerRef="609" up="非同一控制下企业合并"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SEC_66258ebef13c4cb99a0a2c7fcf18a276" title="本期发生的非同一控制下企业合并" headerRef="610" helpId="112001125" helpText="注：分步实现企业合并且在本期取得控制权的交易，应分别说明前期和本期取得股权的时点、成本、比例及方式。"/>
    <m:item xlName="_GBC_56d9f6aa774c4776ac65c41472b0a280" headerRef="611" up="合并成本及商誉" concept="clcid-ci-ar:ShiFouShiYongHeBingChengBenJiShangYu" label="是否适用：合并成本及商誉" selectOptions="_buildInAppliance" controlType="CustomCheckbox" cRanges="[{&quot;StartName&quot;:&quot;_GBC_56d9f6aa774c4776ac65c41472b0a280&quot;,&quot;EndName&quot;:&quot;_GBC_b580c6f1845b4d7b8bf9ccaec8a64584&quot;,&quot;CType&quot;:1}]"/>
    <m:item xlName="_GBC_7dcc905e1cc54d7da6ff3999e09e0f1f" indRef="715" concept="clcid-ci-ar:DanWeiCaiWuFuZhuHeBingChengBenJiShangYu" label="单位：财务附注：合并成本及商誉" selectOptions="_buildInScales" appId="_GBC_56d9f6aa774c4776ac65c41472b0a280" controlType="Combobox" cellType="Scale" keyCode="InitialValue:元" keyAction="31"/>
    <m:item xlName="_GBC_1d4f1604e6724ad4aa12235f8be81df0" indRef="716" concept="clcid-ci-ar:BiZhongCaiWuFuZhuHeBingChengBenJiShangYu" label="币种：财务附注：合并成本及商誉" selectOptions="_buildInISO4217" appId="_GBC_56d9f6aa774c4776ac65c41472b0a280" controlType="Combobox" cellType="Measure" keyCode="InitialValue:人民币" keyAction="31"/>
    <m:section xlName="_GBC_b580c6f1845b4d7b8bf9ccaec8a64584" title="合并成本及商誉" repeatable="2" headerRef="611" helpId="112001126">
      <m:virtualTuples>
        <m:virtualTuple id="dc40489a-919e-4301-8c5f-ee7896369dc8" tupleRef="clcid-pte:FeiTongYiKongZhiXiaQiYeHeBingChengBenJiShangYuMingXi" extendDirection="2" splitWidth="1"/>
      </m:virtualTuples>
    </m:section>
    <m:item xlName="_GBC_b192e56c8e2242b3bf12a08de6dc76d4" headerRef="612" up="被购买方于购买日可辨认资产、负债"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717" concept="clcid-ci-ar:DanWeiCaiWuFuZhuBeiGouMaiFangYuGouMaiRiKeBianRenZiChanFuZhai" label="单位：财务附注：被购买方于购买日可辨认资产、负债" selectOptions="_buildInScales" appId="_GBC_b192e56c8e2242b3bf12a08de6dc76d4" controlType="Combobox" cellType="Scale" keyCode="InitialValue:元" keyAction="31"/>
    <m:item xlName="_GBC_83c566a361664b7c893465ef7708f711" indRef="718" concept="clcid-ci-ar:BiZhongCaiWuFuZhuBeiGouMaiFangYuGouMaiRiKeBianRenZiChanFuZhai" label="币种：财务附注：被购买方于购买日可辨认资产、负债" selectOptions="_buildInISO4217" appId="_GBC_b192e56c8e2242b3bf12a08de6dc76d4" controlType="Combobox" cellType="Measure" keyCode="InitialValue:人民币" keyAction="31"/>
    <m:section xlName="_GBC_bae5eee03904496d93aa515da79c8f71" title="被购买方于购买日可辨认资产、负债" repeatable="1" headerRef="61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aderRef="612" helpId="112001128"/>
    <m:section xlName="_SEC_151a1db37b9340d789b6d92a5e03cbd2" title="购买日之前持有的股权按照公允价值重新计量产生的利得或损失" headerRef="613" helpId="112001130"/>
    <m:section xlName="_GBC_fec890c9a924410f898d02e5323920ad" title="购买日或合并当期期末无法合理确定合并对价或被购买方可辨认资产..." headerRef="614" helpId="112001131"/>
    <m:section xlName="_GBC_a8e368f1c89042528538f003b17f5f6e" title="非同一控制下企业合并其他说明" headerRef="615"/>
    <m:item xlName="_GBC_cde296136a1d4f2094eb79d21291eae2" headerRef="616" up="同一控制下企业合并"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aderRef="617" helpId="112001132"/>
    <m:item xlName="_GBC_1e3feddd46da4a95805d8f480f4c84d9" headerRef="618" up="合并成本"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723" concept="clcid-ci-ar:DanWeiHeBingChengBen" label="单位：合并成本" selectOptions="_buildInScales" appId="_GBC_1e3feddd46da4a95805d8f480f4c84d9" controlType="Combobox" cellType="Scale" keyCode="InitialValue:元" keyAction="31"/>
    <m:item xlName="_GBC_f6f12759e0c84fb0a180a147cec7432e" indRef="724" concept="clcid-ci-ar:BiZhongHeBingChengBen" label="币种：合并成本" selectOptions="_buildInISO4217" appId="_GBC_1e3feddd46da4a95805d8f480f4c84d9" controlType="Combobox" cellType="Measure" keyCode="InitialValue:人民币" keyAction="31"/>
    <m:section xlName="_GBC_e51629db13fd46dd9d30ae3e3729cd68" title="合并成本" repeatable="1" headerRef="618" helpId="112001133">
      <m:virtualTuples>
        <m:virtualTuple id="986fe223-72fe-4432-9239-c0d0b7b4149b" tupleRef="clcid-pte:TongYiKongZhiXiaQiYeHeBingChengBenMingXi" extendDirection="2" splitWidth="1"/>
      </m:virtualTuples>
    </m:section>
    <m:section xlName="_SEC_d81c382e27f24c569c4bbf5642a055db" title="合并成本说明" headerRef="618" helpId="112001133"/>
    <m:item xlName="_GBC_b46a615b0ac64c019a83debe19fe4c1c" headerRef="619" up="合并日被合并方资产、负债的账面价值"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725" concept="clcid-ci-ar:DanWeiCaiWuFuZhuHeBingRiBeiHeBingFangZiChanFuZhaiDeZhangMianJiaZhi" label="单位：财务附注：合并日被合并方资产、负债的账面价值" selectOptions="_buildInScales" appId="_GBC_b46a615b0ac64c019a83debe19fe4c1c" controlType="Combobox" cellType="Scale" keyCode="InitialValue:元" keyAction="31"/>
    <m:item xlName="_GBC_80b9c60fc85e443f9c97e5d91db031a4" indRef="726" concept="clcid-ci-ar:BiZhongCaiWuFuZhuHeBingRiBeiHeBingFangZiChanFuZhaiDeZhangMianJiaZhi" label="币种：财务附注：合并日被合并方资产、负债的账面价值" selectOptions="_buildInISO4217" appId="_GBC_b46a615b0ac64c019a83debe19fe4c1c" controlType="Combobox" cellType="Measure" keyCode="InitialValue:人民币" keyAction="31"/>
    <m:section xlName="_GBC_fd7a9ab8dc354763b98a4d577428c932" title="被合并方的资产、负债" repeatable="1" headerRef="619"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aderRef="619" helpId="112001135"/>
    <m:section xlName="_GBC_487797176f3744a7a99d390be05f0a8a" title="被合并方的资产、负债的说明" headerRef="619" helpId="112001135"/>
    <m:section xlName="_SEC_e0818786830d42ce99957d3ef113691a" title="反向购买" headerRef="620" helpId="112001137" helpText="注：上市公司保留的资产、负债构成业务的，同时还应按照非同一控制下企业合并披露相关信息。"/>
    <m:section xlName="_SEC_ddce958afd104b9e8903e71458d86efc" title="处置子公司" headerRef="621" helpId="112001139"/>
    <m:section xlName="_SEC_0088252418084ec7b98582fb9064102d" title="是否存在通过多次交易分步处置对子公司投资且在本期丧失控制权的情形" headerRef="621" helpId="112001139" helpText="注：分别说明前期和本期处置股权的时点、价款、比例及方式。"/>
    <m:section xlName="_SEC_2fcab20db6f0477d9b6d3e4d246339a2" title="其他说明" headerRef="621" helpId="112001139"/>
    <m:section xlName="_GBC_c61d869cb31c439992bb2118c8eaac1e" title="其他原因的合并范围变动" headerRef="622" helpId="112001141"/>
    <m:section xlName="_GBC_8ddcb59af8af49d295c61727d65b8301" title="同一控制下企业合并其他" headerRef="623" orient="landscape" helpId="112001142"/>
    <m:section xlName="_SEC_595cb386dc7744d6a8f7456c5226bc6e" title="企业集团的构成" rules="R2015_R11_031" headerRef="626" helpId="112001143"/>
    <m:section xlName="_GBC_a2ec6e05ebd34d2fa14b1ba6b3ba8eb1" title="重要的非全资子公司" rules="R2015_R11_031" headerRef="627" helpId="112001144"/>
    <m:section xlName="_GBC_501222dd8f884fabbdeaec6fe7e79709" title="重要非全资子公司的主要财务信息" rules="R2015_R11_031" headerRef="628" helpId="112001145"/>
    <m:section xlName="_GBC_573fe5c9daf0401da00d8fc5198daf66" title="使用企业集团资产和清偿企业集团债务的重大限制" rules="R2015_R11_031" headerRef="629" helpId="112001146"/>
    <m:section xlName="_GBC_114877d69a2e4b56b15fb618155127e3" title="向纳入合并财务报表范围的结构化主体提供的财务支持或其他支持" rules="R2015_R11_031" headerRef="630" helpId="112001147"/>
    <m:section xlName="_GBC_a0f68dc0a3a24efaa431a8c8d768eb0f" title="在子公司中的权益其他说明" rules="R2015_R11_031" headerRef="630"/>
    <m:item xlName="_GBC_51b903d8f50944dc91e91048eba723cd" headerRef="631" up="在子公司的所有者权益份额发生变化且仍控制子公司的交易"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aderRef="632" helpId="112001148"/>
    <m:section xlName="_GBC_6c711c3ca3c84136960924716eba5afd" title="交易对于少数股东权益及归属于母公司所有者权益的影响" rules="R2015_R11_031" repeatable="2" headerRef="633" helpId="112001148">
      <m:virtualTuples>
        <m:virtualTuple id="a9fdb2d5-7ad8-422d-a254-52ab68cea10e" tupleRef="clcid-pte:JiaoYiDuiYuShaoShuGuDongQuanYiJiGuiShuYuMuGongSiSuoYouZheQuanYiDeYingXiangMingXi" extendDirection="2" splitWidth="1"/>
      </m:virtualTuples>
    </m:section>
    <m:item xlName="_GBC_31c0fe2068fd4a898e4269df4925aa76" headerRef="634" up="在合营企业或联营企业中的权益"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aderRef="635" helpId="112001149"/>
    <m:item xlName="_GBC_6241cde567c342139ae6186afeea9fb4" headerRef="636" up="重要合营企业的主要财务信息"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741" concept="clcid-ci-ar:DanWeiCaiWuFuZhuZhongYaoHeYingQiYeDeZhuYaoCaiWuXinXi" label="单位：财务附注：重要合营企业的主要财务信息" selectOptions="_buildInScales" appId="_GBC_31c0fe2068fd4a898e4269df4925aa76" controlType="Combobox" cellType="Scale" keyCode="InitialValue:元" keyAction="31"/>
    <m:item xlName="_GBC_dbf325e8ec10449ba127b878292f7bb1" indRef="742" concept="clcid-ci-ar:BiZhongCaiWuFuZhuZhongYaoHeYingQiYeDeZhuYaoCaiWuXinXi" label="币种：财务附注：重要合营企业的主要财务信息" selectOptions="_buildInISO4217" appId="_GBC_31c0fe2068fd4a898e4269df4925aa76" controlType="Combobox" cellType="Measure" keyCode="InitialValue:人民币" keyAction="31"/>
    <m:section xlName="_GBC_10d60417c84d41c1b3386073557d9d05" title="重要合营企业的主要财务信息" repeatable="1" rules="" headerRef="636"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aderRef="636" helpId="112001150"/>
    <m:item xlName="_GBC_e304b69adb6f449495c3916754024763" headerRef="637" up="重要联营企业的主要财务信息"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743" concept="clcid-ci-ar:DanWeiCaiWuFuZhuZhongYaoLianYingQiYeDeZhuYaoCaiWuXinXi" label="单位：财务附注：重要联营企业的主要财务信息" selectOptions="_buildInScales" appId="_GBC_31c0fe2068fd4a898e4269df4925aa76" controlType="Combobox" cellType="Scale" keyCode="InitialValue:元" keyAction="31"/>
    <m:item xlName="_GBC_a2e655bae21746219bfd958c6f5b8be9" indRef="744" concept="clcid-ci-ar:BiZhongCaiWuFuZhuZhongYaoLianYingQiYeDeZhuYaoCaiWuXinXi" label="币种：财务附注：重要联营企业的主要财务信息" selectOptions="_buildInISO4217" appId="_GBC_31c0fe2068fd4a898e4269df4925aa76" controlType="Combobox" cellType="Measure" keyCode="InitialValue:人民币" keyAction="31"/>
    <m:section xlName="_GBC_ac3eed998bbd4658ab651a88daefefb1" title="重要联营企业的主要财务信息" repeatable="1" rules="R2015_R11_031" headerRef="637"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aderRef="637" helpId="112001150"/>
    <m:section xlName="_GBC_7592afe8201c4b36a34fa177ca124037" title="不重要的合营企业和联营企业的汇总财务信息" rules="R2015_R11_031" headerRef="638" helpId="112001151"/>
    <m:section xlName="_GBC_2874973c28b34357bf81a60947721baa" title="合营企业或联营企业向公司转移资金的能力存在重大限制的说明" rules="R2015_R11_031" headerRef="639" helpId="112001152"/>
    <m:section xlName="_GBC_a9980062c82d44acae24fae7368ea42f" title="合营企业或联营企业发生的超额亏损" rules="R2015_R11_031" headerRef="640" helpId="112001153"/>
    <m:section xlName="_GBC_da055842bf8c4e9598b87bd760d969ec" title="与合营企业投资相关的未确认承诺" rules="R2015_R11_031" headerRef="641" helpId="112001154"/>
    <m:section xlName="_GBC_1f803def681a42ba91cdde709a067b3f" title="与合营企业或联营企业投资相关的或有负债" rules="R2015_R11_031" headerRef="642" helpId="112001154"/>
    <m:section xlName="_GBC_90d44eb1222944759107483908112493" title="重要的共同经营" rules="R2015_R11_031" headerRef="643" helpId="112001155"/>
    <m:section xlName="_GBC_5cfea65e45c44f1b9fdec762be35880d" title="在未纳入合并财务报表范围的结构化主体中的权益" rules="R2015_R11_031" headerRef="644" helpId="112001156"/>
    <m:section xlName="_GBC_b24eb633f5244c748225389f3b3cedd1" title="在其他主体中的权益其他需要说明的事项" rules="R2015_R11_031" headerRef="645" helpId="112001157"/>
    <m:section xlName="_SEC_987a3d87ba834dc3b82089e9d883e7ce" title="报告期末按应收金额确认的政府补助" headerRef="647" helpId="112002267"/>
    <m:section xlName="_SEC_4172c6c138864a1eafbce132eaba57ee" title="涉及政府补助的负债项目  单位:元币种:人民币财务报表..." headerRef="648" helpId="112002267"/>
    <m:section xlName="_SEC_aabb5dbe78054448bb1ab6aa5212e3bd" title="计入当期损益的政府补助" rules="R2015_R11_028" headerRef="649" convertSummaryRule="NoConvert" helpId="112002267" helpText="可按与资产/收益相关分类"/>
    <m:section xlName="_SEC_f98ef3cd61f7485e8a39176125e33f30" title="政府补助说明" headerRef="649" helpId="112002267"/>
    <m:section xlName="_SEC_5036d897cc9d4560bb716a188c49ae2f" title="与金融工具相关的风险" headerRef="650" helpId="112001158"/>
    <m:section xlName="_SEC_e38a8f292c6c49b5bdc0646a4bd61a0c" title="公司开展套期业务进行风险管理" headerRef="653" helpId="112001120"/>
    <m:section xlName="_SEC_e0de139c8e354e2b99ccf8cc6db4d9a7" title="公司开展符合条件套期业务并应用套期会计" headerRef="654" helpId="112001120"/>
    <m:section xlName="_SEC_e538f2679b9f435cb95de6c5b99133a6" title="公司开展套期业务进行风险管理、预期能实现风险管理" headerRef="655" helpId="112001120"/>
    <m:section xlName="_SEC_cef6acfba6ff48959f279b6ad5e3b0a3" title="转移方式分类" headerRef="657" helpId="112002314"/>
    <m:section xlName="_SEC_5af2aff14ae64dc2b959ce6dd009ef56" title="因转移而终止确认的金融资产" headerRef="658" helpId="112002314"/>
    <m:section xlName="_SEC_add8fbbe5cd24406afde8f9b36e57034" title="继续涉入的转移金融资产" headerRef="659" helpId="112002314"/>
    <m:section xlName="_SEC_495da6069ec14de9a8d0b2a40984514d" title="其他说明" headerRef="659" helpId="112002314"/>
    <m:section xlName="_GBC_b5067cea5bbf475388ac2623e2c669d7" title="以公允价值计量的资产和负债的期末公允价值" headerRef="661" helpId="112001159"/>
    <m:section xlName="_GBC_9cf59ced96b14247921100dffef5784f" title="持续和非持续第一层次公允价值计量项目市价的确定依据" headerRef="662" helpId="112001160"/>
    <m:section xlName="_GBC_8e00be36ed6245f895b032b3059a4854" title="持续和非持续第二层次公允价值计量项目，采用的估值技术和重要参数的定性及定量信息" headerRef="663" helpId="112001161"/>
    <m:section xlName="_GBC_5d389bac3ad747a292eb45fd87ce5896" title="持续和非持续第三层次公允价值计量项目，采用的估值技术和重要参数的定性及定量信息" headerRef="664" helpId="112001161"/>
    <m:section xlName="_GBC_353ab3e0cb19455ab2c2c2a397421afe" title="持续的第三层次公允价值计量的项目期初与期末账面价值之间的调节信息及不可观察参数的敏感性分析" headerRef="665" helpId="112001162"/>
    <m:section xlName="_GBC_a9200ec73b8d485e80b76f1a9ee34c49" title="持续的公允价值计量项目，本期内发生各层级之间转换的，转换的原因及确定转换时点的政策" headerRef="666" helpId="112001163"/>
    <m:section xlName="_GBC_8e563310a4b84a5d9dfe74fdbc178926" title="本期内发生的估值技术变更及变更原因" headerRef="667" helpId="112001164"/>
    <m:section xlName="_GBC_e354e1f41f824854b8f3345d52a9cfab" title="不以公允价值计量的金融资产和金融负债的公允价值情况" headerRef="668" helpId="112001165"/>
    <m:section xlName="_GBC_1551c1b4fedc4ac0ae859b67b4b79904" title="公允价值其他需要披露的事项" headerRef="669" helpId="112001166"/>
    <m:section xlName="_GBC_29e1f7491caa4c3e96eef8c84532de84" title="本企业的母公司情况" rules="R2015_R11_032" headerRef="671" helpId="112001167"/>
    <m:section xlName="_GBC_244a434a920446c1838410fee0ac8ba8" title="本企业的子公司情况" rules="R2015_R11_032" headerRef="672" helpId="112001167"/>
    <m:section xlName="_GBC_a5638b7fd6a848a19564209060b6909a" title="存在关联方交易或余额的合营和联营企业情况" rules="R2015_R11_032" headerRef="673" helpId="112001167"/>
    <m:section xlName="_GBC_047a0ce3dc594d779db6d4cbc1623727" title="其他关联方情况" rules="R2015_R11_032" headerRef="674" helpId="112001167"/>
    <m:section xlName="_SEC_fb5c7314892940239be1e53fefbaec88" title="采购商品/接受劳务情况表" rules="R2015_R11_032" headerRef="676" helpId="112001168"/>
    <m:section xlName="_GBC_a4e1c0efe9f741ecbb648a33c9afb8fd" title="出售商品/提供劳务情况" rules="R2015_R11_032" headerRef="676" helpId="112001168"/>
    <m:section xlName="_GBC_41e9e66a2ab04304a0db7b9e032817c5" title="关联受托管理/承包及委托管理/出包情况" rules="R2015_R11_032" headerRef="677" helpId="112001168" helpText="注：托管资产类型包括：股权托管、其他资产托管。"/>
    <m:section xlName="_GBC_17f3281299e640aa88ca71463490c054" title="关联租赁情况" rules="R2015_R11_032" headerRef="678" orient="landscape" helpId="112001168"/>
    <m:section xlName="_GBC_a87b2e666bc14a67817d2d3189396350" title="关联担保情况" rules="R2015_R11_032" headerRef="679" helpId="112001168"/>
    <m:section xlName="_SEC_b82cc4dd84264685b7f47657a2755690" title="" headerRef="680" helpId="112001168"/>
    <m:section xlName="_GBC_9319584d30f7446b9ff3e2a3d50022d5" title="关联方资产转让、债务重组情况" rules="R2015_R11_032" headerRef="681" helpId="112001168"/>
    <m:section xlName="_GBC_16da1beac91f4544809058bfda2ad3bf" title="关键管理人员报酬" rules="R2015_R11_032" headerRef="682" helpId="112001168"/>
    <m:section xlName="_GBC_45e2e59b0d6145b48f7cfd576edaa9e6" title="其他关联交易" rules="R2015_R11_032" headerRef="683" convertSummaryRule="NoConvert" helpId="112001168"/>
    <m:section xlName="_GBC_a8ddb53cf3424889a48a1749b5a1d910" title="上市公司应收关联方款项" rules="R2015_R11_032" headerRef="685" convertSummaryRule="NoConvert" helpId="112001168" helpText="注：关联交易约定以净额结算的，应收关联方款项可以抵销后金额填列。"/>
    <m:section xlName="_GBC_e7a5511f50dd4f05a897cdfaeac4023f" title="上市公司应付关联方款项" rules="R2015_R11_032" headerRef="686" convertSummaryRule="NoConvert" helpId="112001168" helpText="注：关联交易约定以净额结算的，应付关联方款项可以抵销后金额填列。"/>
    <m:section xlName="_SEC_e87e61b614b042e0b0ec6cdcff3c2fb9" title="其他项目" headerRef="687" helpId="112001168"/>
    <m:section xlName="_GBC_945a5f0033de4c9786bb7245eedc88e3" title="关联方承诺" rules="R2015_R11_032" headerRef="688" helpId="112001168"/>
    <m:section xlName="_GBC_f467d909644e4ab6b08e0abfbea78eb8" title="关联方及关联情况的其他说明" rules="R2015_R11_032" headerRef="689" helpId="112001166"/>
    <m:item xlName="_GBC_65abee0b78064363a3f4a058a40176bf" headerRef="691" up="各项权益工具" concept="clcid-ci-ar:ShiFouShiYongGeXiangQuanYiGongJu" label="是否适用：各项权益工具" selectOptions="_buildInAppliance" controlType="CustomCheckbox" cRanges="[{&quot;StartName&quot;:&quot;_GBC_65abee0b78064363a3f4a058a40176bf&quot;,&quot;EndName&quot;:&quot;_SEC_269bd1acfbb84dee9ccf7f6044aa8bf3&quot;,&quot;CType&quot;:1}]"/>
    <m:section xlName="_SEC_269bd1acfbb84dee9ccf7f6044aa8bf3" title="各项权益工具" repeatable="1" tupleConcept="clcid-pte:GeXiangQuanYiGongJuDuoBiaoMingXi" headerRef="691" helpId="112001170"/>
    <m:item xlName="_GBC_f17c034d860345b98ee280169a254e4a" headerRef="691" up="期末发行在外的股票期权或其他权益工具" concept="clcid-ci-ar:ShiFouShiYongQiMoFaXingZaiWaiDeGuPiaoQiQuanHuoQiTaQuanYiGongJu" label="是否适用：期末发行在外的股票期权或其他权益工具" selectOptions="_buildInAppliance" controlType="CustomCheckbox" cRanges="[{&quot;StartName&quot;:&quot;_GBC_f17c034d860345b98ee280169a254e4a&quot;,&quot;EndName&quot;:&quot;_SEC_f772829ee36d45de95f9cca03f80e340&quot;,&quot;CType&quot;:1}]"/>
    <m:section xlName="_SEC_80f1a12d66c14051a45cd426403e05b9" title="期末发行在外的股票期权或其他权益工具" tupleConcept="clcid-pte:QiMoFaXingZaiWaiDeGuPiaoQiQuanHuoQiTaQuanYiGongJuDuoBiaoMingXi" repeatable="1" headerRef="691" helpId="112001170"/>
    <m:section xlName="_SEC_f772829ee36d45de95f9cca03f80e340" title="期末发行在外的股票期权或其他权益工具的其他说明" headerRef="691" helpId="112001170"/>
    <m:section xlName="_SEC_8be04c479c3745bd83457c2304165bf0" title="以权益结算的股份支付情况（单表）" headerRef="692" convertSummaryRule="NoConvert" helpId="112001171" helpText="注1：本期估计与上期估计不存在重大差异的，请填写“无”。\n注2：如存在多个股份支付对象，请通过选项功能切换。" primarySection="_SEC_8be04c479c3745bd83457c2304165bf0" optionText="以权益结算的股份支付情况（单表）" optionGroupTitle="以权益结算的股份支付情况"/>
    <m:section xlName="_SEC_4157e56c7b2e4192983d8b53bcda8fec" title="以权益结算的股份支付情况（多表）" headerRef="693" convertSummaryRule="NoConvert" helpId="112001171" helpText="注：本期估计与上期估计不存在重大差异的，请填写“无”。" primarySection="_SEC_8be04c479c3745bd83457c2304165bf0" optionText="以权益结算的股份支付情况（多表）" optionGroupTitle="以权益结算的股份支付情况"/>
    <m:section xlName="_SEC_ceb0668a9ef344f4873549a6299682c4" title="以现金结算的股份支付情况" headerRef="694" helpId="112002203"/>
    <m:item xlName="_GBC_5b0304a006c7437ca2961c2d2bdf142a" headerRef="695" up="本期股份支付费用" concept="clcid-ci-ar:ShiFouShiYongGuFenZhiFuFeiYong" label="是否适用：股份支付费用" selectOptions="_buildInAppliance" controlType="CustomCheckbox" cRanges="[{&quot;StartName&quot;:&quot;_GBC_5b0304a006c7437ca2961c2d2bdf142a&quot;,&quot;EndName&quot;:&quot;_SEC_28a8d17b729847e1bbc4f523e1720242&quot;,&quot;CType&quot;:1}]"/>
    <m:section xlName="_SEC_f1d2ef590c584674bba731c2c55aca70" title="本期股份支付费用" tupleConcept="clcid-pte:GuFenZhiFuFeiYongDuoBiaoMingXi" repeatable="1" headerRef="695" helpId="112002315"/>
    <m:section xlName="_SEC_28a8d17b729847e1bbc4f523e1720242" title="本期股份支付费用的其他说明" headerRef="695"/>
    <m:section xlName="_GBC_ae153862caea4ff5a57470b6f594f167" title="股份支付的修改、终止情况" headerRef="696" convertSummaryRule="NoConvert" helpId="112001173" helpText="注：本期未发生股份支付修改、终止情况的，请填写“无”。"/>
    <m:section xlName="_GBC_d9554f13d811474eab6fe8ab0c5c8811" title="股份支付的其他情况说明" headerRef="697" helpId="112001166"/>
    <m:item xlName="_GBC_3ee02d2bff5e4dd69f75cc6148bdda8f" headerRef="699" up="重要承诺事项"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aderRef="699" helpId="112002263" helpText="注：与合营企业投资相关的未确认承诺索引至“附注九、在其他主体中的权益”部分相应内容。" keyAction="42" keyCode="2"/>
    <m:section xlName="_GBC_c667d796bd114ba58f4592903a5601f3" title="资产负债表日存在的或有事项" headerRef="701" helpId="112002204" helpText="注：与合营企业或联营企业投资相关的或有负债索引至“附注九、在其他主体中的权益”部分相应内容。" keyAction="42" keyCode="2"/>
    <m:section xlName="_GBC_428b07d001974f7390d8bb4142377be9" title="公司没有需要披露的或有事项，也应予以说明" headerRef="702" helpId="112002206"/>
    <m:section xlName="_GBC_7967de77d1eb4fa3968e072c7d0d24ca" title="承诺及或有事项的其他情况说明" headerRef="703" helpId="112001166"/>
    <m:section xlName="_GBC_5d1bcf8f61b9443ba6ffa54897c724fc" title="重要的非调整事项" headerRef="705" helpId="112001176"/>
    <m:section xlName="_GBC_0fa3d44599d34674894cec144baccd50" title="资产负债表日后利润分配情况说明" headerRef="706" convertSummaryRule="NoConvert" helpId="112001177" keyAction="42" keyCode="2"/>
    <m:section xlName="_GBC_189c429afb95427192d478a4da4061cd" title="资产负债表日后事项-销售退回说明" headerRef="707" helpId="112001178" helpText="注：说明在资产负债表日后发生重要销售退回的相关情况及对报表的影响。" keyAction="42" keyCode="2"/>
    <m:section xlName="_GBC_90d185c72bfe452398767dd3a98447a5" title="其他资产负债表日后事项说明" headerRef="708" helpId="112001166" keyAction="42" keyCode="2"/>
    <m:section xlName="_GBC_cb1f61a36a2a43b0ad30697c25cce450" title="会计差错更正(追溯重述)" headerRef="711" convertSummaryRule="ConvertDefinedText" convertText="无" helpId="112001180"/>
    <m:section xlName="_GBC_6bd40de18d9047e48f182803eefc5581" title="未来适用法本报告期是否发现采用未来适用法的前期会计差错：（..." headerRef="712" helpId="112001180"/>
    <m:section xlName="_SEC_3b93aae1bf0f4cd5afa055ee872804c3" title="债务重组" headerRef="713"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headerRef="715"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aderRef="716" helpId="112001183" helpText="注：说明重要资产置换、转让及出售的情况，包括资产账面价值、转让金额、对财务状况与经营成果的影响、转让原因等。"/>
    <m:section xlName="_GBC_868ef73c1ce14e36a7c8c41a6c9d1268" title="年金计划主要内容及重大变化" headerRef="717" convertSummaryRule="NoConvert" helpId="112001185" helpText="注：说明年金计划的主要内容及重要变化。"/>
    <m:section xlName="_GBC_eb9f713a39454ce1a2b0b09086ca70cc" title="终止经营" headerRef="718" convertSummaryRule="NoConvert" helpId="112001187"/>
    <m:section xlName="_GBC_a659f5b3817d4a3394d1850cd82bbbab" title="分部信息报告分部的确定依据与会计政策" rules="R2015_R11_033" headerRef="720" helpId="112001188"/>
    <m:section xlName="_GBC_7bcfc6b35dea4597b05ae9db882c542b" title="报告分部的财务信息" rules="R2015_R11_033" headerRef="721"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aderRef="722" helpId="112001188"/>
    <m:section xlName="_GBC_bf8b759cb5b84035861b501b67f52f53" title="分部信息其他说明" rules="R2015_R11_033" headerRef="723" helpId="112001188"/>
    <m:section xlName="_GBC_0e2af5e32a53408bb340218a0c352be0" title="其他重要事项说明" headerRef="724" convertSummaryRule="NoConvert" helpId="112001190" helpText="注：说明其他对投资者决策有影响的重要交易和事项，包括具体情况、判断依据及相关会计处理。"/>
    <m:section xlName="_GBC_a9d998641356411784b3ec54387f322d" title="其他重要事项的说明" headerRef="725" helpId="112001166"/>
    <m:section xlName="_SEC_5859d30d861c4c0292d303045c54bde7" title="按账龄披露" headerRef="728" helpId="112002207" helpText="表中“期末账面余额”指的是包含单项计提和组合计提的期末账面余额。"/>
    <m:item xlName="_GBC_bd7fb52eb7f647d5aa6c10677b261ee1" headerRef="729" up="按坏账计提方法分类披露"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22b53fc701704bd9858f1a601e7a3144&quot;,&quot;CType&quot;:1}]"/>
    <m:section xlName="_SEC_22b53fc701704bd9858f1a601e7a3144" title="(2).  按坏账计提方法分类披露" headerRef="729" helpId="112002207"/>
    <m:section xlName="_SEC_25fdb1db4e684b509f2d87c2a7766da9" title="按单项计提坏账准备：" headerRef="729" helpId="112002207"/>
    <m:item xlName="_GBC_bf96e631f2cf4f6a876dff49863ee9d3" headerRef="729" up="按组合计提坏账准备："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headerRef="729" helpId="112002207"/>
    <m:section xlName="_SEC_c60e95248c4a4b468d429be8e0ec51d3" title="如按照一般预计信用损失模型计提坏账，请参照其他应收款的披露方式披露" headerRef="729" helpId="112002207"/>
    <m:item xlName="_GBC_f73789de2ecf49c4bad380c8767c93cf" headerRef="730" up="坏账准备的情况"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计提坏账准备情况" headerRef="730" helpId="112002207"/>
    <m:section xlName="_SEC_4190eeaef32c4ff2b6c26bd394b92040" title="本期转回或收回情况" headerRef="730" convertSummaryRule="NoConvert" helpId="112002207" helpText="注：说明转回或收回原因，确定原坏账准备计提比例的依据及其合理性。"/>
    <m:section xlName="_GBC_72fe1bcd09e2470f910107f1e159af49" title="本报告期实际核销的应收账款情况" headerRef="731" convertSummaryRule="NoConvert" helpId="112002207"/>
    <m:section xlName="_SEC_3d1ed932505a4d07984c925784c16944" title="按欠款方归集的期末余额前五名的应收账款情况：" rules="R2015_R11_004" headerRef="732" helpId="112002207" helpText="注：按欠款方集中度，汇总或分别披露期末余额前五名的应收账款的期末余额及占应收账款期末余额合计数的比例，以及相应计提的坏账准备期末余额。">
      <m:axisValue occRef="母公司"/>
    </m:section>
    <m:section xlName="_GBC_eac4abdf299a4312a10e680c5fc79ef9" title="其他说明：" headerRef="732" helpId="112002207"/>
    <m:section xlName="_SEC_e2f0b728ae404babbb57dfbc1fafed13" title="项目列示" headerRef="734"/>
    <m:section xlName="_SEC_91e08163b2464f8cb5d135fd131f631f" title="应收利息分类" headerRef="736" helpId="112002209"/>
    <m:section xlName="_SEC_e80bd789f30b40de829902e04129ef49" title="重要逾期利息" headerRef="737" helpId="112002209"/>
    <m:section xlName="_SEC_b442fa9a2c684bca8071281c3cd03c34" title="按坏账计提方法分类披露" headerRef="738" helpId="112002209">
      <m:axisValue occRef="应收利息"/>
    </m:section>
    <m:section xlName="_SEC_89e2ac286b0643a7a8caf5b7e2b151a5" title="按单项计提坏账准备：  单位：元币种：人民币名称 期..." headerRef="738" helpId="112002209">
      <m:axisValue occRef="应收利息"/>
    </m:section>
    <m:item xlName="_GBC_d3043e47b1544d94a13ce780dd85e9fc" headerRef="738" up="按组合计提坏账准备：" concept="clcid-ci-ar:ShiFouShiYongMuGongSiAnZuHeJiTiHuaiZhangZhunBeiDeXiangXiQingKuang" label="是否适用：母公司按组合计提坏账准备的详细情况" selectOptions="_buildInAppliance" controlType="CustomCheckbox" cRanges="[{&quot;StartName&quot;:&quot;_GBC_d3043e47b1544d94a13ce780dd85e9fc&quot;,&quot;EndName&quot;:&quot;_SEC_d105d8ca510d42ca9fbd5947fe6f662b&quot;,&quot;CType&quot;:1}]">
      <m:axisValue occRef="应收利息"/>
    </m:item>
    <m:section xlName="_SEC_d105d8ca510d42ca9fbd5947fe6f662b" title="组合计提项目" tupleConcept="clcid-pte:AnZuHeJiTiHuaiZhangZhunBeiDeXiangXiMingXi" repeatable="1" headerRef="738" helpId="112002209">
      <m:axisValue occRef="应收利息"/>
    </m:section>
    <m:section xlName="_SEC_ce38368754b54030878f7a4b3d48648e" title="坏账准备计提情况" headerRef="739" helpId="112002209"/>
    <m:section xlName="_SEC_9bea6546387147b0820f4215aa005e52" title="母公司应收利息坏账准备的情况" headerRef="740" helpId="112002209"/>
    <m:section xlName="_SEC_152c862663f24ed881706322f4817efb" title="其中本期坏账准备收回或转回金额重要的" headerRef="740" helpId="112002209">
      <m:axisValue occRef="应收利息"/>
    </m:section>
    <m:section xlName="_SEC_82ac412e608349798785ff91b50dc0b5" title="母公司实际核销的应收利息情况" headerRef="741" helpId="112002209"/>
    <m:section xlName="_SEC_d5a3493d4d5c43979c12a289d5d94e6b" title="其中重要的应收利息核销情况" headerRef="741" helpId="112002209">
      <m:axisValue occRef="应收利息"/>
    </m:section>
    <m:section xlName="_SEC_ad2b0daa52af481d8a56e5f8f2ccc52e" title="其他说明：" headerRef="741" helpId="112002209"/>
    <m:section xlName="_SEC_18f0cc3557ff45749d07d7a27d7c9620" title="应收股利" headerRef="743" helpId="112002209"/>
    <m:section xlName="_SEC_ccfd129beeb14f31b282a062cd845e5e" title="重要的账龄超过1年的应收股利" headerRef="744" helpId="112002209"/>
    <m:section xlName="_SEC_697abfe55ee446509f5a8969b2d67a8f" title="按坏账计提方法分类披露" headerRef="745" helpId="112002209">
      <m:axisValue occRef="应收股利"/>
    </m:section>
    <m:section xlName="_SEC_781cf520716148ff97619c28f803657e" title="按单项计提坏账准备：  单位：元币种：人民币名称 期..." headerRef="745" helpId="112002209">
      <m:axisValue occRef="应收股利"/>
    </m:section>
    <m:item xlName="_GBC_9f9d44f1ec164a3da4b2c14d4d129121" headerRef="745" up="按组合计提坏账准备：" concept="clcid-ci-ar:ShiFouShiYongMuGongSiAnZuHeJiTiHuaiZhangZhunBeiDeXiangXiQingKuang" label="是否适用：母公司按组合计提坏账准备的详细情况" selectOptions="_buildInAppliance" controlType="CustomCheckbox" cRanges="[{&quot;StartName&quot;:&quot;_GBC_9f9d44f1ec164a3da4b2c14d4d129121&quot;,&quot;EndName&quot;:&quot;_SEC_c33d943e8d104301ab742de8215ea747&quot;,&quot;CType&quot;:1}]">
      <m:axisValue occRef="应收股利"/>
    </m:item>
    <m:section xlName="_SEC_c33d943e8d104301ab742de8215ea747" title="组合计提项目" tupleConcept="clcid-pte:AnZuHeJiTiHuaiZhangZhunBeiDeXiangXiMingXi" repeatable="1" headerRef="745" helpId="112002209">
      <m:axisValue occRef="应收股利"/>
    </m:section>
    <m:section xlName="_SEC_3d41530a7b3d408cbfe627f818ea914c" title="坏账准备计提情况" headerRef="746" helpId="112002209"/>
    <m:section xlName="_SEC_975a098f9e44436686992f27ed9ae1c3" title="母公司应收股利坏账准备的情况" headerRef="747" helpId="112002209"/>
    <m:section xlName="_SEC_367ce86c62fe4d36a3f067e579dc9221" title="其中本期坏账准备收回或转回金额重要的" headerRef="747" helpId="112002209">
      <m:axisValue occRef="应收股利"/>
    </m:section>
    <m:section xlName="_SEC_d86f941ba0ed440db8b5c57d27cdae38" title="母公司本期实际核销的应收股利情况" headerRef="748" helpId="112002209"/>
    <m:section xlName="_SEC_9e1f721ff3884db48731bb4d485d232f" title="其中重要的应收股利核销情况" headerRef="748" helpId="112002209">
      <m:axisValue occRef="应收股利"/>
    </m:section>
    <m:section xlName="_SEC_2b03a6eb53a24c76a6dc28f0478009f2" title="其他说明：" headerRef="748" helpId="112002209"/>
    <m:section xlName="_SEC_db399aa123ce49ddb0116f33fe18109b" title="按账龄披露" headerRef="750" helpId="112002209" helpText="表里的这里的“期末账面余额”指的是包含单项计提和组合计提的期末账面余额。"/>
    <m:section xlName="_GBC_c9f7dc8489b74105a28800b5cfad23af" title="其他应收款按款项性质分类情况" headerRef="751" helpId="112002209"/>
    <m:section xlName="_SEC_15d9e20371d54bec9233b27dd50b301d" title="坏账准备计提情况" headerRef="752" helpId="112002209" helpText="如存在坏账准备，应按照财政部企业会计准则第37号第83条规定，披露损失准备期初余额与期末余额的调节表"/>
    <m:section xlName="_SEC_1eec480beee449d4b98b9ea58a782bf3" title="坏账准备的情况" headerRef="753" helpId="112002209"/>
    <m:section xlName="_SEC_f36c1b4ef7514683b7c1ed6f28889287" title="其中本期坏账准备转回或收回金额重要的" headerRef="753" helpId="112002209"/>
    <m:section xlName="_SEC_ffe6c87a4f4a49bd9769cbeb746b444b" title="本期实际核销的其他应收款情况" headerRef="754" helpId="112002209"/>
    <m:section xlName="_SEC_6c44e00a54d34fb1a03f38b7cf5b8a5d" title="其他应收款核销说明：  " headerRef="754" helpId="112002209"/>
    <m:section xlName="_GBC_c77f7efeabc1402191807946a9bfe714" title="按欠款方归集的期末余额前五名的其他应收款情况" headerRef="755" helpId="112002209"/>
    <m:section xlName="_SEC_be582c15ca6d4a0ab5668538b5593187" title="因资金集中管理而列报于其他应收款 " headerRef="756" helpId="112002209"/>
    <m:section xlName="_GBC_4b6cd384bee54ff79269fa4457c70d49" title="其他应收款其他说明" headerRef="756" helpId="112002209"/>
    <m:item xlName="_GBC_61071b9a58624e83bfc4232808751b95" headerRef="757" up="长期股权投资"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aderRef="757" helpId="112002211"/>
    <m:section xlName="_GBC_354d808d545e41aab5b25112222d90f9" title="对子公司投资" headerRef="758" helpId="112002211"/>
    <m:section xlName="_GBC_eb61534d0a614526b319605aeaa9bf73" title="对联营、合营企业投资" headerRef="759" helpId="112002211"/>
    <m:item xlName="_GBC_c0857dc1a8eb4f79b18a90f9b4b26d58" headerRef="760" up="长期股权投资的减值测试情况" concept="clcid-ci-ar:ShiFouShiYongJianZhiCeShiQingKuang" label="是否适用：减值测试情况" selectOptions="_buildInAppliance" controlType="CustomCheckbox" cRanges="[{&quot;StartName&quot;:&quot;_GBC_c0857dc1a8eb4f79b18a90f9b4b26d58&quot;,&quot;EndName&quot;:&quot;_SEC_71ea10733b824b968c2e14cf048d7d1c&quot;,&quot;CType&quot;:1}]">
      <m:axisValue occRef="母公司"/>
      <m:axisValue occRef="长期股权投资"/>
    </m:item>
    <m:section xlName="_SEC_822d71d2a6114d65a3645fd0d6a4cb7d" title="可收回金额按公允价值减去处置费用后的净额确定" headerRef="761" helpId="112002211">
      <m:axisValue occRef="长期股权投资"/>
      <m:axisValue occRef="母公司"/>
    </m:section>
    <m:section xlName="_SEC_2294f378c2eb488185ad8620abb6d34a" title="可收回金额按预计未来现金流量的现值确定" headerRef="762" helpId="112002211">
      <m:axisValue occRef="长期股权投资"/>
      <m:axisValue occRef="母公司"/>
    </m:section>
    <m:section xlName="_SEC_14eb6745f28c4405aacca844bdf50463" title="前述信息与以前年度减值测试采用的信息或外部信息明显不一致的差..." headerRef="763" helpId="112002211">
      <m:axisValue occRef="长期股权投资"/>
      <m:axisValue occRef="母公司"/>
    </m:section>
    <m:section xlName="_SEC_71ea10733b824b968c2e14cf048d7d1c" title="公司以前年度减值测试采用信息与当年实际情况明显不一致的差异原..." headerRef="764" helpId="112002211">
      <m:axisValue occRef="长期股权投资"/>
      <m:axisValue occRef="母公司"/>
    </m:section>
    <m:section xlName="_GBC_1577b793bbce4a50b07decde0e07491e" title="长期股权投资的说明" headerRef="764" helpId="112002211"/>
    <m:section xlName="_SEC_c20353238d924d35bff1a3e0cee4af4b" title="营业收入和营业成本情况" headerRef="766" helpId="112001233" keyAction="89"/>
    <m:section xlName="_SEC_55b67c614f984b14baf467a8376baa6d" title="合同产生的收入的情况" headerRef="767" tagAction="1" helpId="112001233">
      <m:virtualTuples>
        <m:virtualTuple id="47b64d54-c0cb-4c7a-a1b2-733bbb651abd" tupleRef="clcid-pte:HeTongChanShengDeShouRuFenBuMingXi" extendDirection="2"/>
      </m:virtualTuples>
    </m:section>
    <m:section xlName="_SEC_07f314ac96bd42a28c2766bb3781c913" title="履约义务的说明" headerRef="768" helpId="112001233"/>
    <m:section xlName="_SEC_e95ad3f139c54551b2b6b25c8a85cd3e" title="分摊至剩余履约义务的说明" headerRef="769" helpId="112001233"/>
    <m:section xlName="_SEC_ced2618a2bfc45bca934a93ab08bfaa3" title="重大合同变更或重大交易价格调整" headerRef="770" helpId="112001233"/>
    <m:section xlName="_SEC_0c05b3f6a2d94f5989da6e67eb2f67d6" title="营业收入和营业成本其他说明" headerRef="770" helpId="112001233"/>
    <m:section xlName="_SEC_69cb0c27d0a845f8ab1383f9a47646b6" title="投资收益" headerRef="771" helpId="112001197"/>
    <m:section xlName="_GBC_23958e5452684882b98c8317e400c8d6" title="母公司会计报表附注的其他说明事项" headerRef="772" helpId="112002212"/>
    <m:section xlName="_SEC_cde396f022fe426bae1097e657f16e83" title="当期非经常性损益明细" headerRef="774" helpId="112001192"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GBC_7944e47348cd4cd186b958ba1902ea3f" title="对公司根据《公开发行证券的公司信息披露解释性公告第1号——非..." headerRef="774" convertSummaryRule="NoConvert" helpId="112001192"/>
    <m:section xlName="_SEC_9779a45603754f5a8e4b377ad6f06fc2" title="其他说明" headerRef="774" helpId="112001192" helpText="上市公司在披露定期报告时，应在财务报表附注中披露执行本规则对可比会计期间非经常性损益的影响情况。"/>
    <m:section xlName="_GBC_146d888914ac4591bea1ff0ea9e89617" title="净资产收益率及每股收益" headerRef="775" helpId="112001194"/>
    <m:item xlName="_GBC_3482333eff2948139884cfdd1debc958" headerRef="776" up="境内外会计准则下会计数据差异"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aderRef="777" helpId="112001195"/>
    <m:section xlName="_GBC_4dcd3e5d3e2046b28e99d35c3cbab7be" title="同时按照境外会计准则与按中国会计准则披露的财务报告中净利润和..." headerRef="778" helpId="112001195" helpText="注：境内外会计准则下会计数据差异填列合并报表数据。"/>
    <m:section xlName="_GBC_28e04aa78d514ffaa91bd2d93b36d312" title="境内外会计准则下会计数据差异说明" headerRef="779" convertSummaryRule="NoConvert" helpId="112001195"/>
    <m:section xlName="_GBC_a60672e5f86e422cbb864ef991c9106b" title="补充资料其他说明事项" headerRef="780" helpId="112001166"/>
    <m:section xlName="_SEC_05b1791af4454108ad401bb8a64cf5c6" title="落款" headerRef="780" convertSummaryRule="NoConvert" helpId="110002018"/>
    <m:section xlName="_GBC_e51b54728b2e4e53b95b0611d0df9b06" title="修订信息 " headerRef="780"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2ac0161341124c22928d7d9bda9c092a" desc="扣后基本每股收益上期数大于0" test=" $_GBC_b9acb6b637744de2b3a128c6e247d5bf &gt;  0 "/>
    <m:precondition id="CON_2ab89e5947cc4829906ec6baa0a454ef" desc="以后重分类进损益的其他综合收益横向公式" test="not (  (  $_GBC_5c655a0ef59a4277bc39216e66537c6f +  $_GBC_89a43a67e3e544edbf44809c00131299 ==  $_GBC_e110b3abe19241479fa28dadc62117e9 )  ||  (  $_GBC_5c655a0ef59a4277bc39216e66537c6f +  $_GBC_89a43a67e3e544edbf44809c00131299 -  $_GBC_3c586710a7554d53a726a15a0984f7cf ==  $_GBC_e110b3abe19241479fa28dadc62117e9 )  ||  (  $_GBC_5c655a0ef59a4277bc39216e66537c6f +  $_GBC_89a43a67e3e544edbf44809c00131299 +  $_GBC_3c586710a7554d53a726a15a0984f7cf ==  $_GBC_e110b3abe19241479fa28dadc62117e9 )  ) "/>
    <m:precondition id="CON_3bc486b5ddd6468885af782b40530a51" desc="其他综合收益合计横向公式" test="not (  (  $_GBC_7d7534c6cb1c4ffdb0ccec0f16bb954b +  $_GBC_b5118f0af02749fc806db9326d754991 ==  $_GBC_0dbee349a9e94f788424baef436dd53a )  ||  (  $_GBC_7d7534c6cb1c4ffdb0ccec0f16bb954b +  $_GBC_b5118f0af02749fc806db9326d754991 -  $_GBC_a11f3011d8674a6aa5ed7c69a7e588cd ==  $_GBC_0dbee349a9e94f788424baef436dd53a )  ||  (  $_GBC_7d7534c6cb1c4ffdb0ccec0f16bb954b +  $_GBC_b5118f0af02749fc806db9326d754991 +  $_GBC_a11f3011d8674a6aa5ed7c69a7e588cd ==  $_GBC_0dbee349a9e94f788424baef436dd53a )  ) "/>
    <m:precondition id="CON_a1eb43ebcda24b18be4383b11129a8a8" desc="以后不能重分类进损益的其他综合收益横向公式" test="not (  (  $_GBC_e2de66f3d0ff45c8b9236045779902ae +  $_GBC_85d145546e3b4f72908bbefe16244d13 ==  $_GBC_ef85990f3d1549c99f748bd71e4c8ef8 )  ||  (  $_GBC_e2de66f3d0ff45c8b9236045779902ae +  $_GBC_85d145546e3b4f72908bbefe16244d13 -  $_GBC_bd45fe5da0464410af26e48ce2a50ef6 ==  $_GBC_ef85990f3d1549c99f748bd71e4c8ef8 )  ||  (  $_GBC_e2de66f3d0ff45c8b9236045779902ae +  $_GBC_85d145546e3b4f72908bbefe16244d13 +  $_GBC_bd45fe5da0464410af26e48ce2a50ef6 ==  $_GBC_ef85990f3d1549c99f748bd71e4c8ef8 )  ) "/>
  </m:conditions>
</m:mapp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]]></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B1ABBE-7E98-445D-9B7D-614B7EDBDFE9}">
  <ds:schemaRefs>
    <ds:schemaRef ds:uri="http://mapping.word.org/2012/mapping"/>
  </ds:schemaRefs>
</ds:datastoreItem>
</file>

<file path=customXml/itemProps4.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5.xml><?xml version="1.0" encoding="utf-8"?>
<ds:datastoreItem xmlns:ds="http://schemas.openxmlformats.org/officeDocument/2006/customXml" ds:itemID="{E71466D1-C40C-4388-99A8-141CFBD225B3}">
  <ds:schemaRefs>
    <ds:schemaRef ds:uri="http://mapping.word.org/2012/template"/>
  </ds:schemaRefs>
</ds:datastoreItem>
</file>

<file path=customXml/itemProps6.xml><?xml version="1.0" encoding="utf-8"?>
<ds:datastoreItem xmlns:ds="http://schemas.openxmlformats.org/officeDocument/2006/customXml" ds:itemID="{B8C395EF-20B8-470D-9A25-62BD72CE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20</TotalTime>
  <Pages>1</Pages>
  <Words>28296</Words>
  <Characters>161293</Characters>
  <Application>Microsoft Office Word</Application>
  <DocSecurity>0</DocSecurity>
  <Lines>1344</Lines>
  <Paragraphs>378</Paragraphs>
  <ScaleCrop>false</ScaleCrop>
  <Company>Sky123.Org</Company>
  <LinksUpToDate>false</LinksUpToDate>
  <CharactersWithSpaces>189211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豆芽</dc:creator>
  <cp:keywords/>
  <dc:description/>
  <cp:lastModifiedBy>孙彬</cp:lastModifiedBy>
  <cp:revision>46</cp:revision>
  <cp:lastPrinted>2024-08-27T00:45:00Z</cp:lastPrinted>
  <dcterms:created xsi:type="dcterms:W3CDTF">2024-08-27T05:23:00Z</dcterms:created>
  <dcterms:modified xsi:type="dcterms:W3CDTF">2024-09-04T05:15:00Z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9933B259B4CC42B7A8BAB453F3BB295E_12</vt:lpwstr>
  </property>
</Properties>
</file>