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42BE4" w14:textId="4FCD8ED3" w:rsidR="00AB694A" w:rsidRDefault="00AB694A" w:rsidP="00AB694A">
      <w:pPr>
        <w:spacing w:beforeLines="50" w:before="156" w:afterLines="50" w:after="156"/>
        <w:jc w:val="center"/>
        <w:rPr>
          <w:rFonts w:ascii="黑体" w:eastAsia="黑体" w:hAnsi="黑体" w:cs="宋体"/>
          <w:b/>
          <w:bCs/>
          <w:sz w:val="44"/>
          <w:szCs w:val="44"/>
        </w:rPr>
      </w:pPr>
    </w:p>
    <w:p w14:paraId="1BED19A9" w14:textId="71FE162C" w:rsidR="00AB694A" w:rsidRDefault="00AB694A" w:rsidP="00AB694A">
      <w:pPr>
        <w:spacing w:beforeLines="50" w:before="156" w:afterLines="50" w:after="156"/>
        <w:jc w:val="center"/>
        <w:rPr>
          <w:rFonts w:ascii="黑体" w:eastAsia="黑体" w:hAnsi="黑体" w:cs="宋体"/>
          <w:b/>
          <w:bCs/>
          <w:sz w:val="44"/>
          <w:szCs w:val="44"/>
        </w:rPr>
      </w:pPr>
    </w:p>
    <w:p w14:paraId="3BA59583" w14:textId="5A65A26C" w:rsidR="00AB694A" w:rsidRDefault="00AB694A" w:rsidP="00AB694A">
      <w:pPr>
        <w:spacing w:beforeLines="50" w:before="156" w:afterLines="50" w:after="156"/>
        <w:jc w:val="center"/>
        <w:rPr>
          <w:rFonts w:ascii="黑体" w:eastAsia="黑体" w:hAnsi="黑体" w:cs="宋体"/>
          <w:b/>
          <w:bCs/>
          <w:sz w:val="44"/>
          <w:szCs w:val="44"/>
        </w:rPr>
      </w:pPr>
    </w:p>
    <w:p w14:paraId="0814EF4A" w14:textId="262CAC7F" w:rsidR="00AB694A" w:rsidRDefault="00AB694A" w:rsidP="00AB694A">
      <w:pPr>
        <w:spacing w:beforeLines="50" w:before="156" w:afterLines="50" w:after="156"/>
        <w:jc w:val="center"/>
        <w:rPr>
          <w:rFonts w:ascii="黑体" w:eastAsia="黑体" w:hAnsi="黑体" w:cs="宋体"/>
          <w:b/>
          <w:bCs/>
          <w:sz w:val="44"/>
          <w:szCs w:val="44"/>
        </w:rPr>
      </w:pPr>
    </w:p>
    <w:p w14:paraId="1AE249F9" w14:textId="6B254C90" w:rsidR="00AB694A" w:rsidRDefault="00AB694A" w:rsidP="00AB694A">
      <w:pPr>
        <w:spacing w:beforeLines="50" w:before="156" w:afterLines="50" w:after="156"/>
        <w:jc w:val="center"/>
        <w:rPr>
          <w:rFonts w:ascii="黑体" w:eastAsia="黑体" w:hAnsi="黑体" w:cs="宋体"/>
          <w:b/>
          <w:bCs/>
          <w:sz w:val="44"/>
          <w:szCs w:val="44"/>
        </w:rPr>
      </w:pPr>
      <w:r>
        <w:rPr>
          <w:rFonts w:ascii="黑体" w:eastAsia="黑体" w:hAnsi="黑体" w:cs="宋体" w:hint="eastAsia"/>
          <w:b/>
          <w:bCs/>
          <w:sz w:val="44"/>
          <w:szCs w:val="44"/>
        </w:rPr>
        <w:t>倍加洁集团股份有限公司</w:t>
      </w:r>
    </w:p>
    <w:p w14:paraId="10F730F8" w14:textId="761E48EC" w:rsidR="00AB694A" w:rsidRDefault="00AB694A" w:rsidP="00AB694A">
      <w:pPr>
        <w:spacing w:beforeLines="50" w:before="156" w:afterLines="50" w:after="156"/>
        <w:jc w:val="center"/>
        <w:rPr>
          <w:rFonts w:ascii="黑体" w:eastAsia="黑体" w:hAnsi="黑体" w:cs="宋体"/>
          <w:b/>
          <w:bCs/>
          <w:sz w:val="44"/>
          <w:szCs w:val="44"/>
        </w:rPr>
      </w:pPr>
    </w:p>
    <w:p w14:paraId="02E073BC" w14:textId="77C49948" w:rsidR="00AB694A" w:rsidRDefault="00AB694A" w:rsidP="00AB694A">
      <w:pPr>
        <w:spacing w:beforeLines="50" w:before="156" w:afterLines="50" w:after="156"/>
        <w:jc w:val="center"/>
        <w:rPr>
          <w:rFonts w:ascii="黑体" w:eastAsia="黑体" w:hAnsi="黑体" w:cs="宋体"/>
          <w:b/>
          <w:bCs/>
          <w:sz w:val="44"/>
          <w:szCs w:val="44"/>
        </w:rPr>
      </w:pPr>
    </w:p>
    <w:p w14:paraId="4C3962E2" w14:textId="50934F18" w:rsidR="00AB694A" w:rsidRDefault="00AB694A" w:rsidP="00AB694A">
      <w:pPr>
        <w:spacing w:beforeLines="50" w:before="156" w:afterLines="50" w:after="156"/>
        <w:jc w:val="center"/>
        <w:rPr>
          <w:rFonts w:ascii="黑体" w:eastAsia="黑体" w:hAnsi="黑体" w:cs="宋体"/>
          <w:b/>
          <w:bCs/>
          <w:sz w:val="44"/>
          <w:szCs w:val="44"/>
        </w:rPr>
      </w:pPr>
    </w:p>
    <w:p w14:paraId="3E4E2123" w14:textId="565A1840" w:rsidR="00AB694A" w:rsidRDefault="00AB694A" w:rsidP="00AB694A">
      <w:pPr>
        <w:spacing w:beforeLines="50" w:before="156" w:afterLines="50" w:after="156"/>
        <w:jc w:val="center"/>
        <w:rPr>
          <w:rFonts w:ascii="黑体" w:eastAsia="黑体" w:hAnsi="黑体" w:cs="宋体"/>
          <w:b/>
          <w:bCs/>
          <w:sz w:val="44"/>
          <w:szCs w:val="44"/>
        </w:rPr>
      </w:pPr>
    </w:p>
    <w:p w14:paraId="5961359A" w14:textId="778B54E2" w:rsidR="00AB694A" w:rsidRDefault="00AB694A" w:rsidP="00AB694A">
      <w:pPr>
        <w:spacing w:beforeLines="50" w:before="156" w:afterLines="50" w:after="156"/>
        <w:jc w:val="center"/>
        <w:rPr>
          <w:rFonts w:ascii="黑体" w:eastAsia="黑体" w:hAnsi="黑体" w:cs="宋体"/>
          <w:b/>
          <w:bCs/>
          <w:sz w:val="44"/>
          <w:szCs w:val="44"/>
        </w:rPr>
      </w:pPr>
      <w:r>
        <w:rPr>
          <w:rFonts w:ascii="黑体" w:eastAsia="黑体" w:hAnsi="黑体" w:cs="宋体" w:hint="eastAsia"/>
          <w:b/>
          <w:bCs/>
          <w:sz w:val="44"/>
          <w:szCs w:val="44"/>
        </w:rPr>
        <w:t>证券投资管理制度</w:t>
      </w:r>
    </w:p>
    <w:p w14:paraId="37445E8F" w14:textId="54EC628C" w:rsidR="00AB694A" w:rsidRDefault="00AB694A" w:rsidP="00AB694A">
      <w:pPr>
        <w:spacing w:beforeLines="50" w:before="156" w:afterLines="50" w:after="156"/>
        <w:jc w:val="center"/>
        <w:rPr>
          <w:rFonts w:ascii="黑体" w:eastAsia="黑体" w:hAnsi="黑体" w:cs="宋体"/>
          <w:b/>
          <w:bCs/>
          <w:sz w:val="44"/>
          <w:szCs w:val="44"/>
        </w:rPr>
      </w:pPr>
    </w:p>
    <w:p w14:paraId="0B8D8375" w14:textId="4EF8D6E0" w:rsidR="00AB694A" w:rsidRDefault="00AB694A" w:rsidP="00AB694A">
      <w:pPr>
        <w:spacing w:beforeLines="50" w:before="156" w:afterLines="50" w:after="156"/>
        <w:jc w:val="center"/>
        <w:rPr>
          <w:rFonts w:ascii="黑体" w:eastAsia="黑体" w:hAnsi="黑体" w:cs="宋体"/>
          <w:b/>
          <w:bCs/>
          <w:sz w:val="44"/>
          <w:szCs w:val="44"/>
        </w:rPr>
      </w:pPr>
    </w:p>
    <w:p w14:paraId="3B583222" w14:textId="41880543" w:rsidR="00AB694A" w:rsidRDefault="00AB694A" w:rsidP="00AB694A">
      <w:pPr>
        <w:spacing w:beforeLines="50" w:before="156" w:afterLines="50" w:after="156"/>
        <w:jc w:val="center"/>
        <w:rPr>
          <w:rFonts w:ascii="黑体" w:eastAsia="黑体" w:hAnsi="黑体" w:cs="宋体"/>
          <w:b/>
          <w:bCs/>
          <w:sz w:val="44"/>
          <w:szCs w:val="44"/>
        </w:rPr>
      </w:pPr>
    </w:p>
    <w:p w14:paraId="1A3EBD0D" w14:textId="73E749CD" w:rsidR="00AB694A" w:rsidRDefault="00AB694A" w:rsidP="00AB694A">
      <w:pPr>
        <w:spacing w:beforeLines="50" w:before="156" w:afterLines="50" w:after="156"/>
        <w:jc w:val="center"/>
        <w:rPr>
          <w:rFonts w:ascii="黑体" w:eastAsia="黑体" w:hAnsi="黑体" w:cs="宋体"/>
          <w:b/>
          <w:bCs/>
          <w:sz w:val="44"/>
          <w:szCs w:val="44"/>
        </w:rPr>
      </w:pPr>
    </w:p>
    <w:p w14:paraId="0B073284" w14:textId="2E299AF1" w:rsidR="00AB694A" w:rsidRDefault="00AB694A" w:rsidP="00AB694A">
      <w:pPr>
        <w:spacing w:beforeLines="50" w:before="156" w:afterLines="50" w:after="156"/>
        <w:jc w:val="center"/>
        <w:rPr>
          <w:rFonts w:ascii="黑体" w:eastAsia="黑体" w:hAnsi="黑体" w:cs="宋体"/>
          <w:b/>
          <w:bCs/>
          <w:sz w:val="44"/>
          <w:szCs w:val="44"/>
        </w:rPr>
      </w:pPr>
    </w:p>
    <w:p w14:paraId="0D29D0BE" w14:textId="1839BD8D" w:rsidR="00AB694A" w:rsidRDefault="00AB694A" w:rsidP="00AB694A">
      <w:pPr>
        <w:spacing w:beforeLines="50" w:before="156" w:afterLines="50" w:after="156"/>
        <w:jc w:val="center"/>
        <w:rPr>
          <w:rFonts w:ascii="黑体" w:eastAsia="黑体" w:hAnsi="黑体" w:cs="宋体"/>
          <w:b/>
          <w:bCs/>
          <w:sz w:val="44"/>
          <w:szCs w:val="44"/>
        </w:rPr>
      </w:pPr>
    </w:p>
    <w:p w14:paraId="7A298A5C" w14:textId="4F1D5A3C" w:rsidR="00AB694A" w:rsidRPr="00AB694A" w:rsidRDefault="00AB694A" w:rsidP="00AB694A">
      <w:pPr>
        <w:spacing w:beforeLines="50" w:before="156" w:afterLines="50" w:after="156"/>
        <w:jc w:val="center"/>
        <w:rPr>
          <w:rFonts w:ascii="黑体" w:eastAsia="黑体" w:hAnsi="黑体" w:cs="宋体" w:hint="eastAsia"/>
          <w:b/>
          <w:bCs/>
          <w:sz w:val="28"/>
          <w:szCs w:val="44"/>
        </w:rPr>
      </w:pPr>
      <w:r w:rsidRPr="00AB694A">
        <w:rPr>
          <w:rFonts w:ascii="黑体" w:eastAsia="黑体" w:hAnsi="黑体" w:cs="宋体" w:hint="eastAsia"/>
          <w:b/>
          <w:bCs/>
          <w:sz w:val="28"/>
          <w:szCs w:val="44"/>
        </w:rPr>
        <w:t>二零二五年八月</w:t>
      </w:r>
    </w:p>
    <w:p w14:paraId="65E143FA" w14:textId="77777777" w:rsidR="00AB694A" w:rsidRDefault="00AB694A">
      <w:pPr>
        <w:widowControl/>
        <w:jc w:val="left"/>
        <w:rPr>
          <w:rFonts w:ascii="宋体" w:hAnsi="宋体" w:cs="宋体"/>
          <w:b/>
          <w:bCs/>
          <w:sz w:val="32"/>
          <w:szCs w:val="32"/>
        </w:rPr>
        <w:sectPr w:rsidR="00AB694A">
          <w:headerReference w:type="default" r:id="rId8"/>
          <w:footerReference w:type="default" r:id="rId9"/>
          <w:pgSz w:w="11906" w:h="16838"/>
          <w:pgMar w:top="1440" w:right="1800" w:bottom="1440" w:left="1800" w:header="851" w:footer="992" w:gutter="0"/>
          <w:cols w:space="720"/>
          <w:docGrid w:type="lines" w:linePitch="312"/>
        </w:sectPr>
      </w:pPr>
      <w:r>
        <w:rPr>
          <w:rFonts w:ascii="宋体" w:hAnsi="宋体" w:cs="宋体"/>
          <w:b/>
          <w:bCs/>
          <w:sz w:val="32"/>
          <w:szCs w:val="32"/>
        </w:rPr>
        <w:br w:type="page"/>
      </w:r>
    </w:p>
    <w:p w14:paraId="5E2AD774" w14:textId="77777777" w:rsidR="00034E6F" w:rsidRDefault="000944DB">
      <w:pPr>
        <w:pStyle w:val="1"/>
        <w:spacing w:beforeLines="50" w:before="156" w:afterLines="50" w:after="156"/>
        <w:jc w:val="center"/>
      </w:pPr>
      <w:r>
        <w:rPr>
          <w:rFonts w:hint="eastAsia"/>
        </w:rPr>
        <w:lastRenderedPageBreak/>
        <w:t>第一章</w:t>
      </w:r>
      <w:r>
        <w:rPr>
          <w:rFonts w:hint="eastAsia"/>
        </w:rPr>
        <w:t xml:space="preserve"> </w:t>
      </w:r>
      <w:r>
        <w:rPr>
          <w:rFonts w:hint="eastAsia"/>
        </w:rPr>
        <w:t>总</w:t>
      </w:r>
      <w:r>
        <w:rPr>
          <w:rFonts w:hint="eastAsia"/>
        </w:rPr>
        <w:t xml:space="preserve"> </w:t>
      </w:r>
      <w:r>
        <w:rPr>
          <w:rFonts w:hint="eastAsia"/>
        </w:rPr>
        <w:t>则</w:t>
      </w:r>
    </w:p>
    <w:p w14:paraId="7A589957" w14:textId="77777777" w:rsidR="00034E6F" w:rsidRDefault="000944DB">
      <w:pPr>
        <w:spacing w:line="360" w:lineRule="auto"/>
        <w:ind w:firstLineChars="200" w:firstLine="482"/>
        <w:rPr>
          <w:rFonts w:ascii="宋体" w:hAnsi="宋体" w:cs="宋体"/>
          <w:sz w:val="24"/>
        </w:rPr>
      </w:pPr>
      <w:r>
        <w:rPr>
          <w:rFonts w:ascii="宋体" w:hAnsi="宋体" w:cs="宋体" w:hint="eastAsia"/>
          <w:b/>
          <w:bCs/>
          <w:sz w:val="24"/>
        </w:rPr>
        <w:t>第一条</w:t>
      </w:r>
      <w:r>
        <w:rPr>
          <w:rFonts w:ascii="宋体" w:hAnsi="宋体" w:cs="宋体" w:hint="eastAsia"/>
          <w:sz w:val="24"/>
        </w:rPr>
        <w:t xml:space="preserve"> </w:t>
      </w:r>
      <w:r>
        <w:rPr>
          <w:rFonts w:ascii="宋体" w:hAnsi="宋体" w:cs="宋体" w:hint="eastAsia"/>
          <w:sz w:val="24"/>
        </w:rPr>
        <w:t>为规范倍加洁集团股份有限公司（以下简称“公司”）的</w:t>
      </w:r>
      <w:r>
        <w:rPr>
          <w:rFonts w:ascii="宋体" w:hAnsi="宋体" w:cs="宋体" w:hint="eastAsia"/>
          <w:kern w:val="0"/>
          <w:sz w:val="24"/>
        </w:rPr>
        <w:t>证券</w:t>
      </w:r>
      <w:r>
        <w:rPr>
          <w:rFonts w:ascii="宋体" w:hAnsi="宋体" w:cs="宋体" w:hint="eastAsia"/>
          <w:sz w:val="24"/>
        </w:rPr>
        <w:t>投资及衍生品交易相关信息披露行为，防范投资风险，强化风险控制，保护投资者的权益和公司利益，根据《中华人民共和国证券法》、《上海证券交易所股票上市规则》等法律、行政法规、部门规章、规范性文件以及《倍加洁集团股份有限公司章程》（以下简称“公司章程”）的有关规定，制定本制度。</w:t>
      </w:r>
    </w:p>
    <w:p w14:paraId="108FABEA" w14:textId="77777777" w:rsidR="00034E6F" w:rsidRDefault="000944DB">
      <w:pPr>
        <w:spacing w:line="360" w:lineRule="auto"/>
        <w:ind w:firstLineChars="200" w:firstLine="482"/>
        <w:rPr>
          <w:rFonts w:ascii="宋体" w:hAnsi="宋体" w:cs="宋体"/>
          <w:kern w:val="0"/>
          <w:sz w:val="24"/>
        </w:rPr>
      </w:pPr>
      <w:r>
        <w:rPr>
          <w:rFonts w:ascii="宋体" w:hAnsi="宋体" w:cs="宋体" w:hint="eastAsia"/>
          <w:b/>
          <w:bCs/>
          <w:sz w:val="24"/>
        </w:rPr>
        <w:t>第二条</w:t>
      </w:r>
      <w:r>
        <w:rPr>
          <w:rFonts w:ascii="宋体" w:hAnsi="宋体" w:cs="宋体" w:hint="eastAsia"/>
          <w:sz w:val="24"/>
        </w:rPr>
        <w:t xml:space="preserve"> </w:t>
      </w:r>
      <w:r>
        <w:rPr>
          <w:rFonts w:ascii="宋体" w:hAnsi="宋体" w:cs="宋体" w:hint="eastAsia"/>
          <w:sz w:val="24"/>
        </w:rPr>
        <w:t>本制度所称的</w:t>
      </w:r>
      <w:r>
        <w:rPr>
          <w:rFonts w:ascii="宋体" w:hAnsi="宋体" w:cs="宋体" w:hint="eastAsia"/>
          <w:kern w:val="0"/>
          <w:sz w:val="24"/>
        </w:rPr>
        <w:t>证券</w:t>
      </w:r>
      <w:r>
        <w:rPr>
          <w:rFonts w:ascii="宋体" w:hAnsi="宋体" w:cs="宋体" w:hint="eastAsia"/>
          <w:sz w:val="24"/>
        </w:rPr>
        <w:t>投资包括</w:t>
      </w:r>
      <w:r>
        <w:rPr>
          <w:rFonts w:ascii="宋体" w:hAnsi="宋体" w:cs="宋体" w:hint="eastAsia"/>
          <w:kern w:val="0"/>
          <w:sz w:val="24"/>
        </w:rPr>
        <w:t>新股配售或者申购、证券回购、股票及存托凭证投资、债券投资以及上海证券交易所认定的其他投资行为。</w:t>
      </w:r>
    </w:p>
    <w:p w14:paraId="3C3B3D0E" w14:textId="77777777" w:rsidR="00034E6F" w:rsidRDefault="000944DB">
      <w:pPr>
        <w:spacing w:line="360" w:lineRule="auto"/>
        <w:ind w:firstLineChars="200" w:firstLine="480"/>
        <w:rPr>
          <w:rFonts w:ascii="宋体" w:hAnsi="宋体" w:cs="宋体"/>
          <w:kern w:val="0"/>
          <w:sz w:val="24"/>
        </w:rPr>
      </w:pPr>
      <w:r>
        <w:rPr>
          <w:rFonts w:ascii="宋体" w:hAnsi="宋体" w:cs="宋体" w:hint="eastAsia"/>
          <w:kern w:val="0"/>
          <w:sz w:val="24"/>
        </w:rPr>
        <w:t>本制度所称衍生品交易是指期货交易以外的，以互换合约、远期合约和非标准化期权合约及其组合为交易标的的交易活动。衍生品的基础资产既可以是证券、指数、利率、汇率、货币、商品等标的，也可以是上述标的的组合。</w:t>
      </w:r>
    </w:p>
    <w:p w14:paraId="2F6FC61A" w14:textId="77777777" w:rsidR="00034E6F" w:rsidRDefault="000944DB">
      <w:pPr>
        <w:spacing w:line="360" w:lineRule="auto"/>
        <w:ind w:firstLineChars="200" w:firstLine="482"/>
        <w:rPr>
          <w:rFonts w:ascii="宋体" w:hAnsi="宋体" w:cs="宋体"/>
          <w:sz w:val="24"/>
        </w:rPr>
      </w:pPr>
      <w:r>
        <w:rPr>
          <w:rFonts w:ascii="宋体" w:hAnsi="宋体" w:cs="宋体" w:hint="eastAsia"/>
          <w:b/>
          <w:bCs/>
          <w:sz w:val="24"/>
        </w:rPr>
        <w:t>第三条</w:t>
      </w:r>
      <w:r>
        <w:rPr>
          <w:rFonts w:ascii="宋体" w:hAnsi="宋体" w:cs="宋体" w:hint="eastAsia"/>
          <w:sz w:val="24"/>
        </w:rPr>
        <w:t xml:space="preserve"> </w:t>
      </w:r>
      <w:r>
        <w:rPr>
          <w:rFonts w:ascii="宋体" w:hAnsi="宋体" w:cs="宋体" w:hint="eastAsia"/>
          <w:sz w:val="24"/>
        </w:rPr>
        <w:t>以下情形不适用本制度从事证券投资与衍生品交易规范的范围：</w:t>
      </w:r>
    </w:p>
    <w:p w14:paraId="6AD73C46" w14:textId="77777777" w:rsidR="00034E6F" w:rsidRDefault="000944DB">
      <w:pPr>
        <w:spacing w:line="360" w:lineRule="auto"/>
        <w:ind w:firstLineChars="200" w:firstLine="480"/>
        <w:rPr>
          <w:rFonts w:ascii="宋体" w:hAnsi="宋体" w:cs="宋体"/>
          <w:sz w:val="24"/>
        </w:rPr>
      </w:pPr>
      <w:r>
        <w:rPr>
          <w:rFonts w:ascii="宋体" w:hAnsi="宋体" w:cs="宋体" w:hint="eastAsia"/>
          <w:sz w:val="24"/>
        </w:rPr>
        <w:t>（一）作为公司或公司子公司主营业务的证券投资与衍生品交易行为；</w:t>
      </w:r>
    </w:p>
    <w:p w14:paraId="00C0F1FE" w14:textId="77777777" w:rsidR="00034E6F" w:rsidRDefault="000944DB">
      <w:pPr>
        <w:spacing w:line="360" w:lineRule="auto"/>
        <w:ind w:firstLineChars="200" w:firstLine="480"/>
        <w:rPr>
          <w:rFonts w:ascii="宋体" w:hAnsi="宋体" w:cs="宋体"/>
          <w:sz w:val="24"/>
        </w:rPr>
      </w:pPr>
      <w:r>
        <w:rPr>
          <w:rFonts w:ascii="宋体" w:hAnsi="宋体" w:cs="宋体" w:hint="eastAsia"/>
          <w:sz w:val="24"/>
        </w:rPr>
        <w:t>（二）固定收益类或者承诺保本的投资行为；</w:t>
      </w:r>
    </w:p>
    <w:p w14:paraId="525D0C88" w14:textId="77777777" w:rsidR="00034E6F" w:rsidRDefault="000944DB">
      <w:pPr>
        <w:spacing w:line="360" w:lineRule="auto"/>
        <w:ind w:firstLineChars="200" w:firstLine="480"/>
        <w:rPr>
          <w:rFonts w:ascii="宋体" w:hAnsi="宋体" w:cs="宋体"/>
          <w:sz w:val="24"/>
        </w:rPr>
      </w:pPr>
      <w:r>
        <w:rPr>
          <w:rFonts w:ascii="宋体" w:hAnsi="宋体" w:cs="宋体" w:hint="eastAsia"/>
          <w:sz w:val="24"/>
        </w:rPr>
        <w:t>（三）参与其他上市公司的配股或者行使优先认购</w:t>
      </w:r>
      <w:r>
        <w:rPr>
          <w:rFonts w:ascii="宋体" w:hAnsi="宋体" w:cs="宋体" w:hint="eastAsia"/>
          <w:sz w:val="24"/>
        </w:rPr>
        <w:t>权利；</w:t>
      </w:r>
    </w:p>
    <w:p w14:paraId="27A55707" w14:textId="77777777" w:rsidR="00034E6F" w:rsidRDefault="000944DB">
      <w:pPr>
        <w:spacing w:line="360" w:lineRule="auto"/>
        <w:ind w:firstLineChars="200" w:firstLine="480"/>
        <w:rPr>
          <w:rFonts w:ascii="宋体" w:hAnsi="宋体" w:cs="宋体"/>
          <w:sz w:val="24"/>
        </w:rPr>
      </w:pPr>
      <w:r>
        <w:rPr>
          <w:rFonts w:ascii="宋体" w:hAnsi="宋体" w:cs="宋体" w:hint="eastAsia"/>
          <w:sz w:val="24"/>
        </w:rPr>
        <w:t>（四）购买其他上市公司股份超过总股本的</w:t>
      </w:r>
      <w:r>
        <w:rPr>
          <w:rFonts w:ascii="宋体" w:hAnsi="宋体" w:cs="宋体" w:hint="eastAsia"/>
          <w:sz w:val="24"/>
        </w:rPr>
        <w:t>10%</w:t>
      </w:r>
      <w:r>
        <w:rPr>
          <w:rFonts w:ascii="宋体" w:hAnsi="宋体" w:cs="宋体" w:hint="eastAsia"/>
          <w:sz w:val="24"/>
        </w:rPr>
        <w:t>，且拟持有三年以上的证券投资；</w:t>
      </w:r>
    </w:p>
    <w:p w14:paraId="2570572D" w14:textId="77777777" w:rsidR="00034E6F" w:rsidRDefault="000944DB">
      <w:pPr>
        <w:spacing w:line="360" w:lineRule="auto"/>
        <w:ind w:firstLineChars="200" w:firstLine="480"/>
        <w:rPr>
          <w:rFonts w:ascii="宋体" w:hAnsi="宋体" w:cs="宋体"/>
          <w:sz w:val="24"/>
        </w:rPr>
      </w:pPr>
      <w:r>
        <w:rPr>
          <w:rFonts w:ascii="宋体" w:hAnsi="宋体" w:cs="宋体" w:hint="eastAsia"/>
          <w:sz w:val="24"/>
        </w:rPr>
        <w:t>（五）公司首次公开发行股票并上市前已进行的投资。</w:t>
      </w:r>
    </w:p>
    <w:p w14:paraId="35444EEF" w14:textId="77777777" w:rsidR="00034E6F" w:rsidRDefault="000944DB">
      <w:pPr>
        <w:spacing w:line="360" w:lineRule="auto"/>
        <w:ind w:firstLineChars="200" w:firstLine="482"/>
        <w:rPr>
          <w:rFonts w:ascii="宋体" w:hAnsi="宋体" w:cs="宋体"/>
          <w:kern w:val="0"/>
          <w:sz w:val="24"/>
        </w:rPr>
      </w:pPr>
      <w:r>
        <w:rPr>
          <w:rFonts w:ascii="宋体" w:hAnsi="宋体" w:cs="宋体" w:hint="eastAsia"/>
          <w:b/>
          <w:bCs/>
          <w:kern w:val="0"/>
          <w:sz w:val="24"/>
        </w:rPr>
        <w:t>第四条</w:t>
      </w:r>
      <w:r>
        <w:rPr>
          <w:rFonts w:ascii="宋体" w:hAnsi="宋体" w:cs="宋体" w:hint="eastAsia"/>
          <w:kern w:val="0"/>
          <w:sz w:val="24"/>
        </w:rPr>
        <w:t xml:space="preserve"> </w:t>
      </w:r>
      <w:r>
        <w:rPr>
          <w:rFonts w:ascii="宋体" w:hAnsi="宋体" w:cs="宋体" w:hint="eastAsia"/>
          <w:kern w:val="0"/>
          <w:sz w:val="24"/>
        </w:rPr>
        <w:t>公司在以下期间，不得进行证券投资及衍生品交易：</w:t>
      </w:r>
    </w:p>
    <w:p w14:paraId="6AF043CC" w14:textId="77777777" w:rsidR="00034E6F" w:rsidRDefault="000944DB">
      <w:pPr>
        <w:numPr>
          <w:ilvl w:val="0"/>
          <w:numId w:val="1"/>
        </w:numPr>
        <w:spacing w:line="360" w:lineRule="auto"/>
        <w:rPr>
          <w:rFonts w:ascii="宋体" w:hAnsi="宋体" w:cs="宋体"/>
          <w:kern w:val="0"/>
          <w:sz w:val="24"/>
        </w:rPr>
      </w:pPr>
      <w:r>
        <w:rPr>
          <w:rFonts w:ascii="宋体" w:hAnsi="宋体" w:cs="宋体" w:hint="eastAsia"/>
          <w:kern w:val="0"/>
          <w:sz w:val="24"/>
        </w:rPr>
        <w:t>使用闲置资金暂时补充流动资金；</w:t>
      </w:r>
    </w:p>
    <w:p w14:paraId="6B1DF616" w14:textId="77777777" w:rsidR="00034E6F" w:rsidRDefault="000944DB">
      <w:pPr>
        <w:numPr>
          <w:ilvl w:val="0"/>
          <w:numId w:val="1"/>
        </w:numPr>
        <w:spacing w:line="360" w:lineRule="auto"/>
        <w:rPr>
          <w:rFonts w:ascii="宋体" w:hAnsi="宋体" w:cs="宋体"/>
          <w:sz w:val="24"/>
        </w:rPr>
      </w:pPr>
      <w:r>
        <w:rPr>
          <w:rFonts w:ascii="宋体" w:hAnsi="宋体" w:cs="宋体" w:hint="eastAsia"/>
          <w:kern w:val="0"/>
          <w:sz w:val="24"/>
        </w:rPr>
        <w:t>使用超募资金永久补充流动资金后十二个月内。</w:t>
      </w:r>
    </w:p>
    <w:p w14:paraId="5BFE6126" w14:textId="77777777" w:rsidR="00034E6F" w:rsidRDefault="000944DB">
      <w:pPr>
        <w:spacing w:line="360" w:lineRule="auto"/>
        <w:ind w:firstLineChars="200" w:firstLine="482"/>
        <w:rPr>
          <w:rFonts w:ascii="宋体" w:hAnsi="宋体" w:cs="宋体"/>
          <w:sz w:val="24"/>
        </w:rPr>
      </w:pPr>
      <w:r>
        <w:rPr>
          <w:rFonts w:ascii="宋体" w:hAnsi="宋体" w:cs="宋体" w:hint="eastAsia"/>
          <w:b/>
          <w:bCs/>
          <w:sz w:val="24"/>
        </w:rPr>
        <w:t>第五条</w:t>
      </w:r>
      <w:r>
        <w:rPr>
          <w:rFonts w:ascii="宋体" w:hAnsi="宋体" w:cs="宋体" w:hint="eastAsia"/>
          <w:sz w:val="24"/>
        </w:rPr>
        <w:t xml:space="preserve"> </w:t>
      </w:r>
      <w:r>
        <w:rPr>
          <w:rFonts w:ascii="宋体" w:hAnsi="宋体" w:cs="宋体" w:hint="eastAsia"/>
          <w:sz w:val="24"/>
        </w:rPr>
        <w:t>公司进行证券投资与衍生品交易的原则为：</w:t>
      </w:r>
    </w:p>
    <w:p w14:paraId="626DADAD" w14:textId="77777777" w:rsidR="00034E6F" w:rsidRDefault="000944DB">
      <w:pPr>
        <w:numPr>
          <w:ilvl w:val="0"/>
          <w:numId w:val="2"/>
        </w:numPr>
        <w:spacing w:line="360" w:lineRule="auto"/>
        <w:ind w:firstLineChars="200" w:firstLine="480"/>
        <w:rPr>
          <w:rFonts w:ascii="宋体" w:hAnsi="宋体" w:cs="宋体"/>
          <w:sz w:val="24"/>
        </w:rPr>
      </w:pPr>
      <w:r>
        <w:rPr>
          <w:rFonts w:ascii="宋体" w:hAnsi="宋体" w:cs="宋体" w:hint="eastAsia"/>
          <w:sz w:val="24"/>
        </w:rPr>
        <w:t>公司的证券投资与衍生品交易应遵守国家法律、法规、规范性文件等相关规定；</w:t>
      </w:r>
    </w:p>
    <w:p w14:paraId="57CF74B8" w14:textId="77777777" w:rsidR="00034E6F" w:rsidRDefault="000944DB">
      <w:pPr>
        <w:numPr>
          <w:ilvl w:val="0"/>
          <w:numId w:val="2"/>
        </w:numPr>
        <w:spacing w:line="360" w:lineRule="auto"/>
        <w:ind w:firstLineChars="200" w:firstLine="480"/>
        <w:rPr>
          <w:rFonts w:ascii="宋体" w:hAnsi="宋体" w:cs="宋体"/>
          <w:sz w:val="24"/>
        </w:rPr>
      </w:pPr>
      <w:r>
        <w:rPr>
          <w:rFonts w:ascii="宋体" w:hAnsi="宋体" w:cs="宋体" w:hint="eastAsia"/>
          <w:sz w:val="24"/>
        </w:rPr>
        <w:t>公司的证券投资与衍生品交易应当遵循合法、审慎、安全、有效的原则，建立健全内控制度，控制投资风险、注重投资效益；</w:t>
      </w:r>
    </w:p>
    <w:p w14:paraId="33A02AE7" w14:textId="77777777" w:rsidR="00034E6F" w:rsidRDefault="000944DB">
      <w:pPr>
        <w:numPr>
          <w:ilvl w:val="0"/>
          <w:numId w:val="2"/>
        </w:numPr>
        <w:spacing w:line="360" w:lineRule="auto"/>
        <w:ind w:firstLineChars="200" w:firstLine="480"/>
        <w:rPr>
          <w:rFonts w:ascii="宋体" w:hAnsi="宋体" w:cs="宋体"/>
          <w:sz w:val="24"/>
        </w:rPr>
      </w:pPr>
      <w:r>
        <w:rPr>
          <w:rFonts w:ascii="宋体" w:hAnsi="宋体" w:cs="宋体" w:hint="eastAsia"/>
          <w:sz w:val="24"/>
        </w:rPr>
        <w:t>公司的证券投资</w:t>
      </w:r>
      <w:r>
        <w:rPr>
          <w:rFonts w:ascii="宋体" w:hAnsi="宋体" w:cs="宋体" w:hint="eastAsia"/>
          <w:sz w:val="24"/>
        </w:rPr>
        <w:t>与衍生品交易必须与资产结构相适应，规模适度，量力而行，不能影响自身主营业务的发展。</w:t>
      </w:r>
    </w:p>
    <w:p w14:paraId="02685133" w14:textId="77777777" w:rsidR="00034E6F" w:rsidRDefault="000944DB">
      <w:pPr>
        <w:spacing w:line="360" w:lineRule="auto"/>
        <w:ind w:firstLineChars="200" w:firstLine="482"/>
        <w:rPr>
          <w:rFonts w:ascii="宋体" w:hAnsi="宋体" w:cs="宋体"/>
          <w:sz w:val="24"/>
        </w:rPr>
      </w:pPr>
      <w:r>
        <w:rPr>
          <w:rFonts w:ascii="宋体" w:hAnsi="宋体" w:cs="宋体" w:hint="eastAsia"/>
          <w:b/>
          <w:bCs/>
          <w:sz w:val="24"/>
        </w:rPr>
        <w:lastRenderedPageBreak/>
        <w:t>第六条</w:t>
      </w:r>
      <w:r>
        <w:rPr>
          <w:rFonts w:ascii="宋体" w:hAnsi="宋体" w:cs="宋体" w:hint="eastAsia"/>
          <w:sz w:val="24"/>
        </w:rPr>
        <w:t xml:space="preserve"> </w:t>
      </w:r>
      <w:r>
        <w:rPr>
          <w:rFonts w:ascii="宋体" w:hAnsi="宋体" w:cs="宋体" w:hint="eastAsia"/>
          <w:sz w:val="24"/>
        </w:rPr>
        <w:t>公司应当合理安排、使用资金，致力发展公司主营业务，不得使用募集资金从事证券投资与衍生品交易。</w:t>
      </w:r>
    </w:p>
    <w:p w14:paraId="19C01A72" w14:textId="77777777" w:rsidR="00034E6F" w:rsidRDefault="000944DB">
      <w:pPr>
        <w:spacing w:line="360" w:lineRule="auto"/>
        <w:ind w:firstLineChars="200" w:firstLine="480"/>
        <w:rPr>
          <w:rFonts w:ascii="宋体" w:hAnsi="宋体" w:cs="宋体"/>
          <w:sz w:val="24"/>
        </w:rPr>
      </w:pPr>
      <w:r>
        <w:rPr>
          <w:rFonts w:ascii="宋体" w:hAnsi="宋体" w:cs="宋体" w:hint="eastAsia"/>
          <w:sz w:val="24"/>
        </w:rPr>
        <w:t>公司从事套期保值业务的期货品种应当仅限于与公司生产经营相关的产品或者所需的原材料，不鼓励公司从事以投机为目的的衍生品交易。</w:t>
      </w:r>
    </w:p>
    <w:p w14:paraId="5B34C86F" w14:textId="77777777" w:rsidR="00034E6F" w:rsidRDefault="000944DB">
      <w:pPr>
        <w:spacing w:line="360" w:lineRule="auto"/>
        <w:ind w:firstLineChars="200" w:firstLine="482"/>
        <w:rPr>
          <w:rFonts w:ascii="宋体" w:hAnsi="宋体" w:cs="宋体"/>
          <w:kern w:val="0"/>
          <w:sz w:val="24"/>
        </w:rPr>
      </w:pPr>
      <w:r>
        <w:rPr>
          <w:rFonts w:ascii="宋体" w:hAnsi="宋体" w:cs="宋体" w:hint="eastAsia"/>
          <w:b/>
          <w:bCs/>
          <w:kern w:val="0"/>
          <w:sz w:val="24"/>
        </w:rPr>
        <w:t>第七条</w:t>
      </w:r>
      <w:r>
        <w:rPr>
          <w:rFonts w:ascii="宋体" w:hAnsi="宋体" w:cs="宋体" w:hint="eastAsia"/>
          <w:kern w:val="0"/>
          <w:sz w:val="24"/>
        </w:rPr>
        <w:t xml:space="preserve"> </w:t>
      </w:r>
      <w:r>
        <w:rPr>
          <w:rFonts w:ascii="宋体" w:hAnsi="宋体" w:cs="宋体" w:hint="eastAsia"/>
          <w:kern w:val="0"/>
          <w:sz w:val="24"/>
        </w:rPr>
        <w:t>公司进行证券投资与衍生品交易的，应当分析投资的可行性与必要性，制定严格的决策程序、报告制度和监控措施，明确授权范围、操作要点与信息披露等具体要求，并根据公司的风险承受能力确定投资规模及期限。</w:t>
      </w:r>
    </w:p>
    <w:p w14:paraId="65E208AF" w14:textId="77777777" w:rsidR="00034E6F" w:rsidRDefault="000944DB">
      <w:pPr>
        <w:spacing w:line="360" w:lineRule="auto"/>
        <w:ind w:firstLineChars="200" w:firstLine="480"/>
        <w:rPr>
          <w:rFonts w:ascii="宋体" w:hAnsi="宋体" w:cs="宋体"/>
          <w:kern w:val="0"/>
          <w:sz w:val="24"/>
        </w:rPr>
      </w:pPr>
      <w:r>
        <w:rPr>
          <w:rFonts w:ascii="宋体" w:hAnsi="宋体" w:cs="宋体" w:hint="eastAsia"/>
          <w:kern w:val="0"/>
          <w:sz w:val="24"/>
        </w:rPr>
        <w:t>公司董事会应当持续跟踪证券投资与衍生品交易的执行进展和投资安全状况，如出现投资发生较大损失等异常情况的，应当立即采取措施并按规定履行披露义务。</w:t>
      </w:r>
    </w:p>
    <w:p w14:paraId="24840036" w14:textId="77777777" w:rsidR="00034E6F" w:rsidRDefault="000944DB">
      <w:pPr>
        <w:spacing w:line="360" w:lineRule="auto"/>
        <w:ind w:firstLineChars="200" w:firstLine="482"/>
        <w:rPr>
          <w:rFonts w:ascii="宋体" w:hAnsi="宋体" w:cs="宋体"/>
          <w:kern w:val="0"/>
          <w:sz w:val="24"/>
        </w:rPr>
      </w:pPr>
      <w:r>
        <w:rPr>
          <w:rFonts w:ascii="宋体" w:hAnsi="宋体" w:cs="宋体" w:hint="eastAsia"/>
          <w:b/>
          <w:bCs/>
          <w:kern w:val="0"/>
          <w:sz w:val="24"/>
        </w:rPr>
        <w:t>第八条</w:t>
      </w:r>
      <w:r>
        <w:rPr>
          <w:rFonts w:ascii="宋体" w:hAnsi="宋体" w:cs="宋体" w:hint="eastAsia"/>
          <w:kern w:val="0"/>
          <w:sz w:val="24"/>
        </w:rPr>
        <w:t xml:space="preserve"> </w:t>
      </w:r>
      <w:r>
        <w:rPr>
          <w:rFonts w:ascii="宋体" w:hAnsi="宋体" w:cs="宋体" w:hint="eastAsia"/>
          <w:kern w:val="0"/>
          <w:sz w:val="24"/>
        </w:rPr>
        <w:t>公司从事衍生品交易的，应当合理配备投资决策、业务操作、风险控制等专业人员，指定董事会相关委员会审查衍生品交易的必要性、可行性及风险控制情况。必要时可以聘请专业机构就衍生品交易出具可行性分析报告。</w:t>
      </w:r>
    </w:p>
    <w:p w14:paraId="535ABEC8" w14:textId="77777777" w:rsidR="00034E6F" w:rsidRDefault="000944DB">
      <w:pPr>
        <w:spacing w:line="360" w:lineRule="auto"/>
        <w:ind w:firstLineChars="200" w:firstLine="480"/>
        <w:rPr>
          <w:rFonts w:ascii="宋体" w:hAnsi="宋体" w:cs="宋体"/>
          <w:kern w:val="0"/>
          <w:sz w:val="24"/>
        </w:rPr>
      </w:pPr>
      <w:r>
        <w:rPr>
          <w:rFonts w:ascii="宋体" w:hAnsi="宋体" w:cs="宋体" w:hint="eastAsia"/>
          <w:kern w:val="0"/>
          <w:sz w:val="24"/>
        </w:rPr>
        <w:t>公司从事衍生品交易的，原则上应当控制现货与衍生品在种类、规模及时间上相匹配，并制定切实可行的应急处理预案，以及时应对交易过程中可能发生的重大突发事件。</w:t>
      </w:r>
    </w:p>
    <w:p w14:paraId="413085EA" w14:textId="77777777" w:rsidR="00034E6F" w:rsidRDefault="000944DB">
      <w:pPr>
        <w:pStyle w:val="1"/>
        <w:spacing w:beforeLines="50" w:before="156" w:afterLines="50" w:after="156"/>
        <w:jc w:val="center"/>
      </w:pPr>
      <w:r>
        <w:rPr>
          <w:rFonts w:hint="eastAsia"/>
        </w:rPr>
        <w:t>第二章</w:t>
      </w:r>
      <w:r>
        <w:rPr>
          <w:rFonts w:hint="eastAsia"/>
        </w:rPr>
        <w:t xml:space="preserve"> </w:t>
      </w:r>
      <w:r>
        <w:rPr>
          <w:rFonts w:hint="eastAsia"/>
        </w:rPr>
        <w:t>证券</w:t>
      </w:r>
      <w:r>
        <w:rPr>
          <w:rFonts w:hint="eastAsia"/>
        </w:rPr>
        <w:t>投资与衍生品交易审批权限</w:t>
      </w:r>
    </w:p>
    <w:p w14:paraId="3FB73818" w14:textId="77777777" w:rsidR="00034E6F" w:rsidRDefault="000944DB">
      <w:pPr>
        <w:spacing w:line="360" w:lineRule="auto"/>
        <w:ind w:firstLineChars="200" w:firstLine="482"/>
        <w:rPr>
          <w:rFonts w:ascii="宋体" w:hAnsi="宋体" w:cs="宋体"/>
          <w:sz w:val="24"/>
        </w:rPr>
      </w:pPr>
      <w:r>
        <w:rPr>
          <w:rFonts w:ascii="宋体" w:hAnsi="宋体" w:cs="宋体" w:hint="eastAsia"/>
          <w:b/>
          <w:bCs/>
          <w:sz w:val="24"/>
        </w:rPr>
        <w:t>第九条</w:t>
      </w:r>
      <w:r>
        <w:rPr>
          <w:rFonts w:ascii="宋体" w:hAnsi="宋体" w:cs="宋体" w:hint="eastAsia"/>
          <w:sz w:val="24"/>
        </w:rPr>
        <w:t xml:space="preserve"> </w:t>
      </w:r>
      <w:r>
        <w:rPr>
          <w:rFonts w:ascii="宋体" w:hAnsi="宋体" w:cs="宋体" w:hint="eastAsia"/>
          <w:sz w:val="24"/>
        </w:rPr>
        <w:t>公司进行证券投资的决策权限如下：</w:t>
      </w:r>
    </w:p>
    <w:p w14:paraId="033D00DD" w14:textId="77777777" w:rsidR="00034E6F" w:rsidRDefault="000944DB">
      <w:pPr>
        <w:spacing w:line="360" w:lineRule="auto"/>
        <w:ind w:firstLineChars="200" w:firstLine="480"/>
        <w:rPr>
          <w:rFonts w:ascii="宋体" w:hAnsi="宋体" w:cs="宋体"/>
          <w:kern w:val="0"/>
          <w:sz w:val="24"/>
        </w:rPr>
      </w:pPr>
      <w:r>
        <w:rPr>
          <w:rFonts w:ascii="宋体" w:hAnsi="宋体" w:cs="宋体" w:hint="eastAsia"/>
          <w:kern w:val="0"/>
          <w:sz w:val="24"/>
        </w:rPr>
        <w:t>（一）公司证券投资总额占公司最近一期经审计净资产</w:t>
      </w:r>
      <w:r>
        <w:rPr>
          <w:rFonts w:ascii="宋体" w:hAnsi="宋体" w:cs="宋体" w:hint="eastAsia"/>
          <w:kern w:val="0"/>
          <w:sz w:val="24"/>
        </w:rPr>
        <w:t>10%</w:t>
      </w:r>
      <w:r>
        <w:rPr>
          <w:rFonts w:ascii="宋体" w:hAnsi="宋体" w:cs="宋体" w:hint="eastAsia"/>
          <w:kern w:val="0"/>
          <w:sz w:val="24"/>
        </w:rPr>
        <w:t>以上且绝对金额超过</w:t>
      </w:r>
      <w:r>
        <w:rPr>
          <w:rFonts w:ascii="宋体" w:hAnsi="宋体" w:cs="宋体" w:hint="eastAsia"/>
          <w:kern w:val="0"/>
          <w:sz w:val="24"/>
        </w:rPr>
        <w:t>1000</w:t>
      </w:r>
      <w:r>
        <w:rPr>
          <w:rFonts w:ascii="宋体" w:hAnsi="宋体" w:cs="宋体" w:hint="eastAsia"/>
          <w:kern w:val="0"/>
          <w:sz w:val="24"/>
        </w:rPr>
        <w:t>万元人民币的，应当在投资之前经公司董事会审议通过并及时履行信息披露义务；</w:t>
      </w:r>
    </w:p>
    <w:p w14:paraId="08264F77" w14:textId="77777777" w:rsidR="00034E6F" w:rsidRDefault="000944DB">
      <w:pPr>
        <w:spacing w:line="360" w:lineRule="auto"/>
        <w:ind w:firstLineChars="200" w:firstLine="480"/>
        <w:rPr>
          <w:rFonts w:ascii="宋体" w:hAnsi="宋体" w:cs="宋体"/>
          <w:kern w:val="0"/>
          <w:sz w:val="24"/>
        </w:rPr>
      </w:pPr>
      <w:r>
        <w:rPr>
          <w:rFonts w:ascii="宋体" w:hAnsi="宋体" w:cs="宋体" w:hint="eastAsia"/>
          <w:kern w:val="0"/>
          <w:sz w:val="24"/>
        </w:rPr>
        <w:t>（二）公司证券投资总额占公司最近一期经审计净资产</w:t>
      </w:r>
      <w:r>
        <w:rPr>
          <w:rFonts w:ascii="宋体" w:hAnsi="宋体" w:cs="宋体" w:hint="eastAsia"/>
          <w:kern w:val="0"/>
          <w:sz w:val="24"/>
        </w:rPr>
        <w:t>50%</w:t>
      </w:r>
      <w:r>
        <w:rPr>
          <w:rFonts w:ascii="宋体" w:hAnsi="宋体" w:cs="宋体" w:hint="eastAsia"/>
          <w:kern w:val="0"/>
          <w:sz w:val="24"/>
        </w:rPr>
        <w:t>以上且绝对金额超过</w:t>
      </w:r>
      <w:r>
        <w:rPr>
          <w:rFonts w:ascii="宋体" w:hAnsi="宋体" w:cs="宋体" w:hint="eastAsia"/>
          <w:kern w:val="0"/>
          <w:sz w:val="24"/>
        </w:rPr>
        <w:t>5000</w:t>
      </w:r>
      <w:r>
        <w:rPr>
          <w:rFonts w:ascii="宋体" w:hAnsi="宋体" w:cs="宋体" w:hint="eastAsia"/>
          <w:kern w:val="0"/>
          <w:sz w:val="24"/>
        </w:rPr>
        <w:t>万元人民币的，或者根据《公司章程》规定应当提交股东会审议的，公司在投资前除应当及时披露外，还应当提交股东会审议；</w:t>
      </w:r>
    </w:p>
    <w:p w14:paraId="0DFDA1A5" w14:textId="77777777" w:rsidR="00034E6F" w:rsidRDefault="000944DB">
      <w:pPr>
        <w:spacing w:line="360" w:lineRule="auto"/>
        <w:ind w:firstLineChars="200" w:firstLine="480"/>
        <w:rPr>
          <w:rFonts w:ascii="宋体" w:hAnsi="宋体" w:cs="宋体"/>
          <w:kern w:val="0"/>
          <w:sz w:val="24"/>
        </w:rPr>
      </w:pPr>
      <w:r>
        <w:rPr>
          <w:rFonts w:ascii="宋体" w:hAnsi="宋体" w:cs="宋体" w:hint="eastAsia"/>
          <w:kern w:val="0"/>
          <w:sz w:val="24"/>
        </w:rPr>
        <w:t>（三）上市公司因交易频次和时效要求等原因难以对每次证券投资履行审议程序和披露义务的，可以对未来十</w:t>
      </w:r>
      <w:r>
        <w:rPr>
          <w:rFonts w:ascii="宋体" w:hAnsi="宋体" w:cs="宋体" w:hint="eastAsia"/>
          <w:kern w:val="0"/>
          <w:sz w:val="24"/>
        </w:rPr>
        <w:t>二个月内证券投资范围、额度及期限等进行合理预计，按照预计金额进行审批决策。相关额度的使用期限不应超过</w:t>
      </w:r>
      <w:r>
        <w:rPr>
          <w:rFonts w:ascii="宋体" w:hAnsi="宋体" w:cs="宋体" w:hint="eastAsia"/>
          <w:kern w:val="0"/>
          <w:sz w:val="24"/>
        </w:rPr>
        <w:t>12</w:t>
      </w:r>
      <w:r>
        <w:rPr>
          <w:rFonts w:ascii="宋体" w:hAnsi="宋体" w:cs="宋体" w:hint="eastAsia"/>
          <w:kern w:val="0"/>
          <w:sz w:val="24"/>
        </w:rPr>
        <w:t>个月，期限内任一时点的交易金额（含前述投资的收益进行再投资的相关金额）不应超</w:t>
      </w:r>
      <w:r>
        <w:rPr>
          <w:rFonts w:ascii="宋体" w:hAnsi="宋体" w:cs="宋体" w:hint="eastAsia"/>
          <w:kern w:val="0"/>
          <w:sz w:val="24"/>
        </w:rPr>
        <w:lastRenderedPageBreak/>
        <w:t>过证券投资额度；</w:t>
      </w:r>
    </w:p>
    <w:p w14:paraId="1A9DD564" w14:textId="77777777" w:rsidR="00034E6F" w:rsidRDefault="000944DB">
      <w:pPr>
        <w:spacing w:line="360" w:lineRule="auto"/>
        <w:ind w:firstLineChars="200" w:firstLine="480"/>
        <w:rPr>
          <w:rFonts w:ascii="宋体" w:hAnsi="宋体" w:cs="宋体"/>
          <w:kern w:val="0"/>
          <w:sz w:val="24"/>
        </w:rPr>
      </w:pPr>
      <w:r>
        <w:rPr>
          <w:rFonts w:ascii="宋体" w:hAnsi="宋体" w:cs="宋体" w:hint="eastAsia"/>
          <w:kern w:val="0"/>
          <w:sz w:val="24"/>
        </w:rPr>
        <w:t>（四）公司证券投资单次或连续十二个月内累计金额未达到董事会审议标准的，由公司董事长审批。</w:t>
      </w:r>
    </w:p>
    <w:p w14:paraId="5818224A" w14:textId="77777777" w:rsidR="00034E6F" w:rsidRDefault="000944DB">
      <w:pPr>
        <w:spacing w:line="360" w:lineRule="auto"/>
        <w:ind w:firstLineChars="200" w:firstLine="480"/>
        <w:rPr>
          <w:rFonts w:ascii="宋体" w:hAnsi="宋体" w:cs="宋体"/>
          <w:kern w:val="0"/>
          <w:sz w:val="24"/>
        </w:rPr>
      </w:pPr>
      <w:r>
        <w:rPr>
          <w:rFonts w:ascii="宋体" w:hAnsi="宋体" w:cs="宋体" w:hint="eastAsia"/>
          <w:kern w:val="0"/>
          <w:sz w:val="24"/>
        </w:rPr>
        <w:t>（五）公司董事会应当持续跟踪证券投资与衍生品交易的执行进展和投资安全状况，如出现投资发生较大损失等异常情况的，应当立即采取措施并按规定履行披露义务。</w:t>
      </w:r>
    </w:p>
    <w:p w14:paraId="14AE53B4" w14:textId="77777777" w:rsidR="00034E6F" w:rsidRDefault="000944DB">
      <w:pPr>
        <w:autoSpaceDE w:val="0"/>
        <w:autoSpaceDN w:val="0"/>
        <w:adjustRightInd w:val="0"/>
        <w:spacing w:line="360" w:lineRule="auto"/>
        <w:ind w:firstLineChars="200" w:firstLine="482"/>
        <w:jc w:val="left"/>
        <w:rPr>
          <w:rFonts w:ascii="宋体" w:hAnsi="宋体" w:cs="宋体"/>
          <w:sz w:val="24"/>
        </w:rPr>
      </w:pPr>
      <w:r>
        <w:rPr>
          <w:rFonts w:ascii="宋体" w:hAnsi="宋体" w:cs="宋体" w:hint="eastAsia"/>
          <w:b/>
          <w:bCs/>
          <w:sz w:val="24"/>
        </w:rPr>
        <w:t>第十条</w:t>
      </w:r>
      <w:r>
        <w:rPr>
          <w:rFonts w:ascii="宋体" w:hAnsi="宋体" w:cs="宋体" w:hint="eastAsia"/>
          <w:sz w:val="24"/>
        </w:rPr>
        <w:t xml:space="preserve"> </w:t>
      </w:r>
      <w:r>
        <w:rPr>
          <w:rFonts w:ascii="宋体" w:hAnsi="宋体" w:cs="宋体" w:hint="eastAsia"/>
          <w:sz w:val="24"/>
        </w:rPr>
        <w:t>公司进行衍生品交易的决策权限如下：</w:t>
      </w:r>
    </w:p>
    <w:p w14:paraId="1B25E29E" w14:textId="77777777" w:rsidR="00034E6F" w:rsidRDefault="000944DB">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（一）公司从事衍生品交易，管理</w:t>
      </w:r>
      <w:r>
        <w:rPr>
          <w:rFonts w:ascii="宋体" w:hAnsi="宋体" w:cs="宋体" w:hint="eastAsia"/>
          <w:kern w:val="0"/>
          <w:sz w:val="24"/>
        </w:rPr>
        <w:t>层应当就衍生品交易出具可行性分析报告并提交董事会，需经董事会审议通过并及时披露后方可执行；</w:t>
      </w:r>
    </w:p>
    <w:p w14:paraId="41EA9C24" w14:textId="77777777" w:rsidR="00034E6F" w:rsidRDefault="000944DB">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（二）公司预计动用的交易保证金和权利金上限（包括为交易而提供的担保物价值、预计占用的金融机构授信额度、为应急措施所预留的保证金等）占公司最近一期经审计净利润的</w:t>
      </w:r>
      <w:r>
        <w:rPr>
          <w:rFonts w:ascii="宋体" w:hAnsi="宋体" w:cs="宋体" w:hint="eastAsia"/>
          <w:kern w:val="0"/>
          <w:sz w:val="24"/>
        </w:rPr>
        <w:t>50%</w:t>
      </w:r>
      <w:r>
        <w:rPr>
          <w:rFonts w:ascii="宋体" w:hAnsi="宋体" w:cs="宋体" w:hint="eastAsia"/>
          <w:kern w:val="0"/>
          <w:sz w:val="24"/>
        </w:rPr>
        <w:t>以上，且绝对金额超过</w:t>
      </w:r>
      <w:r>
        <w:rPr>
          <w:rFonts w:ascii="宋体" w:hAnsi="宋体" w:cs="宋体" w:hint="eastAsia"/>
          <w:kern w:val="0"/>
          <w:sz w:val="24"/>
        </w:rPr>
        <w:t>500</w:t>
      </w:r>
      <w:r>
        <w:rPr>
          <w:rFonts w:ascii="宋体" w:hAnsi="宋体" w:cs="宋体" w:hint="eastAsia"/>
          <w:kern w:val="0"/>
          <w:sz w:val="24"/>
        </w:rPr>
        <w:t>万元人民币或者根据《公司章程》规定应当提交股东会审议的，公司在投资前除应当及时披露外，还应当提交股东会审议；</w:t>
      </w:r>
    </w:p>
    <w:p w14:paraId="63994CD6" w14:textId="77777777" w:rsidR="00034E6F" w:rsidRDefault="000944DB">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（三）公司预计任一交易日持有的最高合约价值占公司最近一期经审计净资产的</w:t>
      </w:r>
      <w:r>
        <w:rPr>
          <w:rFonts w:ascii="宋体" w:hAnsi="宋体" w:cs="宋体" w:hint="eastAsia"/>
          <w:kern w:val="0"/>
          <w:sz w:val="24"/>
        </w:rPr>
        <w:t>50%</w:t>
      </w:r>
      <w:r>
        <w:rPr>
          <w:rFonts w:ascii="宋体" w:hAnsi="宋体" w:cs="宋体" w:hint="eastAsia"/>
          <w:kern w:val="0"/>
          <w:sz w:val="24"/>
        </w:rPr>
        <w:t>以上，且绝对金额超过</w:t>
      </w:r>
      <w:r>
        <w:rPr>
          <w:rFonts w:ascii="宋体" w:hAnsi="宋体" w:cs="宋体" w:hint="eastAsia"/>
          <w:kern w:val="0"/>
          <w:sz w:val="24"/>
        </w:rPr>
        <w:t>5000</w:t>
      </w:r>
      <w:r>
        <w:rPr>
          <w:rFonts w:ascii="宋体" w:hAnsi="宋体" w:cs="宋体" w:hint="eastAsia"/>
          <w:kern w:val="0"/>
          <w:sz w:val="24"/>
        </w:rPr>
        <w:t>万元人民币的，应</w:t>
      </w:r>
      <w:r>
        <w:rPr>
          <w:rFonts w:ascii="宋体" w:hAnsi="宋体" w:cs="宋体" w:hint="eastAsia"/>
          <w:kern w:val="0"/>
          <w:sz w:val="24"/>
        </w:rPr>
        <w:t>当在董事会审议通过后提交股东会审议；</w:t>
      </w:r>
    </w:p>
    <w:p w14:paraId="475B327B" w14:textId="77777777" w:rsidR="00034E6F" w:rsidRDefault="000944DB">
      <w:pPr>
        <w:autoSpaceDE w:val="0"/>
        <w:autoSpaceDN w:val="0"/>
        <w:adjustRightInd w:val="0"/>
        <w:spacing w:line="360" w:lineRule="auto"/>
        <w:ind w:firstLineChars="200" w:firstLine="480"/>
        <w:jc w:val="left"/>
        <w:rPr>
          <w:rFonts w:ascii="宋体" w:hAnsi="宋体" w:cs="宋体"/>
          <w:color w:val="FF0000"/>
          <w:kern w:val="0"/>
          <w:sz w:val="24"/>
        </w:rPr>
      </w:pPr>
      <w:r>
        <w:rPr>
          <w:rFonts w:ascii="宋体" w:hAnsi="宋体" w:cs="宋体" w:hint="eastAsia"/>
          <w:kern w:val="0"/>
          <w:sz w:val="24"/>
        </w:rPr>
        <w:t>（四）公司因交易频次和时效要求等原因难以对每次期货和衍生品交易履行审议程序和披露义务的，可以对未来</w:t>
      </w:r>
      <w:r>
        <w:rPr>
          <w:rFonts w:ascii="宋体" w:hAnsi="宋体" w:cs="宋体" w:hint="eastAsia"/>
          <w:kern w:val="0"/>
          <w:sz w:val="24"/>
        </w:rPr>
        <w:t>12</w:t>
      </w:r>
      <w:r>
        <w:rPr>
          <w:rFonts w:ascii="宋体" w:hAnsi="宋体" w:cs="宋体" w:hint="eastAsia"/>
          <w:kern w:val="0"/>
          <w:sz w:val="24"/>
        </w:rPr>
        <w:t>个月内期货和衍生品交易的范围、额度及期限等进行合理预计并审议。相关额度的使用期限不应超过</w:t>
      </w:r>
      <w:r>
        <w:rPr>
          <w:rFonts w:ascii="宋体" w:hAnsi="宋体" w:cs="宋体" w:hint="eastAsia"/>
          <w:kern w:val="0"/>
          <w:sz w:val="24"/>
        </w:rPr>
        <w:t>12</w:t>
      </w:r>
      <w:r>
        <w:rPr>
          <w:rFonts w:ascii="宋体" w:hAnsi="宋体" w:cs="宋体" w:hint="eastAsia"/>
          <w:kern w:val="0"/>
          <w:sz w:val="24"/>
        </w:rPr>
        <w:t>个月，期限内任一时点的金额（含使用前述交易的收益进行交易的相关金额）不应超过已审议额度。</w:t>
      </w:r>
    </w:p>
    <w:p w14:paraId="4DE787C5" w14:textId="77777777" w:rsidR="00034E6F" w:rsidRDefault="000944DB">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（五）公司从事超出董事会权限范围的衍生品交易，应在董事会审议通过后，提交股东会审议通过后方可执行；</w:t>
      </w:r>
    </w:p>
    <w:p w14:paraId="5B3EC4E4" w14:textId="77777777" w:rsidR="00034E6F" w:rsidRDefault="000944DB">
      <w:pPr>
        <w:numPr>
          <w:ilvl w:val="255"/>
          <w:numId w:val="0"/>
        </w:num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（六）公司期货和衍生品交易已确认损益及浮动亏损金额每达到公司最近一年经审计的归属于上市公司</w:t>
      </w:r>
      <w:r>
        <w:rPr>
          <w:rFonts w:ascii="宋体" w:hAnsi="宋体" w:cs="宋体" w:hint="eastAsia"/>
          <w:kern w:val="0"/>
          <w:sz w:val="24"/>
        </w:rPr>
        <w:t>股东净利润的</w:t>
      </w:r>
      <w:r>
        <w:rPr>
          <w:rFonts w:ascii="宋体" w:hAnsi="宋体" w:cs="宋体" w:hint="eastAsia"/>
          <w:kern w:val="0"/>
          <w:sz w:val="24"/>
        </w:rPr>
        <w:t>10%</w:t>
      </w:r>
      <w:r>
        <w:rPr>
          <w:rFonts w:ascii="宋体" w:hAnsi="宋体" w:cs="宋体" w:hint="eastAsia"/>
          <w:kern w:val="0"/>
          <w:sz w:val="24"/>
        </w:rPr>
        <w:t>且绝对金额超过一千万元人民币的，应当及时披露。公司开展套期保值业务的，可以将套期工具与被套期项目价值变动加总后适用前述规定。</w:t>
      </w:r>
    </w:p>
    <w:p w14:paraId="6459CA89" w14:textId="77777777" w:rsidR="00034E6F" w:rsidRDefault="000944DB">
      <w:pPr>
        <w:numPr>
          <w:ilvl w:val="255"/>
          <w:numId w:val="0"/>
        </w:numPr>
        <w:autoSpaceDE w:val="0"/>
        <w:autoSpaceDN w:val="0"/>
        <w:adjustRightInd w:val="0"/>
        <w:spacing w:line="360" w:lineRule="auto"/>
        <w:ind w:firstLineChars="200" w:firstLine="482"/>
        <w:jc w:val="left"/>
        <w:rPr>
          <w:rFonts w:ascii="宋体" w:hAnsi="宋体" w:cs="宋体"/>
          <w:kern w:val="0"/>
          <w:sz w:val="24"/>
        </w:rPr>
      </w:pPr>
      <w:r>
        <w:rPr>
          <w:rFonts w:ascii="宋体" w:hAnsi="宋体" w:cs="宋体" w:hint="eastAsia"/>
          <w:b/>
          <w:bCs/>
          <w:kern w:val="0"/>
          <w:sz w:val="24"/>
        </w:rPr>
        <w:t>第十一条</w:t>
      </w:r>
      <w:r>
        <w:rPr>
          <w:rFonts w:ascii="宋体" w:hAnsi="宋体" w:cs="宋体" w:hint="eastAsia"/>
          <w:kern w:val="0"/>
          <w:sz w:val="24"/>
        </w:rPr>
        <w:t xml:space="preserve"> </w:t>
      </w:r>
      <w:r>
        <w:rPr>
          <w:rFonts w:ascii="宋体" w:hAnsi="宋体" w:cs="宋体" w:hint="eastAsia"/>
          <w:kern w:val="0"/>
          <w:sz w:val="24"/>
        </w:rPr>
        <w:t>董事会在审议证券投资与衍生品交易等投资事项时，董事应当充分关注公司是否建立专门内部控制制度，投资风险是否可控以及风险控制措施是</w:t>
      </w:r>
      <w:r>
        <w:rPr>
          <w:rFonts w:ascii="宋体" w:hAnsi="宋体" w:cs="宋体" w:hint="eastAsia"/>
          <w:kern w:val="0"/>
          <w:sz w:val="24"/>
        </w:rPr>
        <w:lastRenderedPageBreak/>
        <w:t>否有效，投资规模是否影响公司正常经营，资金来源是否为自有资金，是否存在违反规定的投资等情形。</w:t>
      </w:r>
    </w:p>
    <w:p w14:paraId="5C946F3A" w14:textId="77777777" w:rsidR="00034E6F" w:rsidRDefault="000944DB">
      <w:pPr>
        <w:numPr>
          <w:ilvl w:val="255"/>
          <w:numId w:val="0"/>
        </w:numPr>
        <w:autoSpaceDE w:val="0"/>
        <w:autoSpaceDN w:val="0"/>
        <w:adjustRightInd w:val="0"/>
        <w:spacing w:line="360" w:lineRule="auto"/>
        <w:ind w:firstLineChars="200" w:firstLine="482"/>
        <w:jc w:val="left"/>
        <w:rPr>
          <w:rFonts w:ascii="宋体" w:hAnsi="宋体" w:cs="宋体"/>
          <w:kern w:val="0"/>
          <w:sz w:val="24"/>
        </w:rPr>
      </w:pPr>
      <w:r>
        <w:rPr>
          <w:rFonts w:ascii="宋体" w:hAnsi="宋体" w:cs="宋体" w:hint="eastAsia"/>
          <w:b/>
          <w:bCs/>
          <w:sz w:val="24"/>
        </w:rPr>
        <w:t>第十二条</w:t>
      </w:r>
      <w:r>
        <w:rPr>
          <w:rFonts w:ascii="宋体" w:hAnsi="宋体" w:cs="宋体" w:hint="eastAsia"/>
          <w:b/>
          <w:bCs/>
          <w:sz w:val="24"/>
        </w:rPr>
        <w:t xml:space="preserve"> </w:t>
      </w:r>
      <w:r>
        <w:rPr>
          <w:rFonts w:ascii="宋体" w:hAnsi="宋体" w:cs="宋体" w:hint="eastAsia"/>
          <w:kern w:val="0"/>
          <w:sz w:val="24"/>
        </w:rPr>
        <w:t>公司进行证券投资或者衍生品交易应当经公司董事会或者股东会审议通过的，不得将审批权限授予董事个人或者经营管理层行使。</w:t>
      </w:r>
    </w:p>
    <w:p w14:paraId="1598647A" w14:textId="77777777" w:rsidR="00034E6F" w:rsidRDefault="000944DB">
      <w:pPr>
        <w:pStyle w:val="1"/>
        <w:spacing w:beforeLines="50" w:before="156" w:afterLines="50" w:after="156"/>
        <w:ind w:firstLineChars="200" w:firstLine="562"/>
        <w:jc w:val="center"/>
        <w:rPr>
          <w:kern w:val="2"/>
          <w:sz w:val="24"/>
        </w:rPr>
      </w:pPr>
      <w:r>
        <w:rPr>
          <w:kern w:val="2"/>
          <w:szCs w:val="28"/>
        </w:rPr>
        <w:t>第三章</w:t>
      </w:r>
      <w:r>
        <w:rPr>
          <w:kern w:val="2"/>
          <w:szCs w:val="28"/>
        </w:rPr>
        <w:t xml:space="preserve"> </w:t>
      </w:r>
      <w:r>
        <w:rPr>
          <w:szCs w:val="28"/>
        </w:rPr>
        <w:t>证券投资与衍</w:t>
      </w:r>
      <w:r>
        <w:t>生品交易的管理和实施</w:t>
      </w:r>
    </w:p>
    <w:p w14:paraId="28F0B156" w14:textId="77777777" w:rsidR="00034E6F" w:rsidRDefault="000944DB">
      <w:pPr>
        <w:numPr>
          <w:ilvl w:val="255"/>
          <w:numId w:val="0"/>
        </w:numPr>
        <w:autoSpaceDE w:val="0"/>
        <w:autoSpaceDN w:val="0"/>
        <w:adjustRightInd w:val="0"/>
        <w:spacing w:line="360" w:lineRule="auto"/>
        <w:ind w:firstLineChars="200" w:firstLine="482"/>
        <w:jc w:val="left"/>
        <w:rPr>
          <w:rFonts w:ascii="宋体" w:hAnsi="宋体" w:cs="宋体"/>
          <w:b/>
          <w:bCs/>
          <w:kern w:val="0"/>
          <w:sz w:val="24"/>
        </w:rPr>
      </w:pPr>
      <w:r>
        <w:rPr>
          <w:rFonts w:ascii="宋体" w:hAnsi="宋体" w:cs="宋体" w:hint="eastAsia"/>
          <w:b/>
          <w:bCs/>
          <w:kern w:val="0"/>
          <w:sz w:val="24"/>
        </w:rPr>
        <w:t>第十三条</w:t>
      </w:r>
      <w:r>
        <w:rPr>
          <w:rFonts w:ascii="宋体" w:hAnsi="宋体" w:cs="宋体" w:hint="eastAsia"/>
          <w:b/>
          <w:bCs/>
          <w:kern w:val="0"/>
          <w:sz w:val="24"/>
        </w:rPr>
        <w:t xml:space="preserve"> </w:t>
      </w:r>
      <w:r>
        <w:rPr>
          <w:rFonts w:ascii="宋体" w:hAnsi="宋体" w:cs="宋体" w:hint="eastAsia"/>
          <w:kern w:val="0"/>
          <w:sz w:val="24"/>
        </w:rPr>
        <w:t>根据公司部门职责分工，由公司及其子公司财务部门负责证券投资与衍生品交易的具体实施和管理。公司进行投资前应成立由财务总监等相关负责人组成的工作小组，工作小组应该配备投资决策、业务操作、风险控制等专业人员。参与人员应充分理解证券投资及衍生品交易的风险，严格执行业务操作和风险管理制度。工作小组在董事会、股东会的授权范围内负责有关证券投资与衍生品交易业务操作事宜。在股东会或董事会批准的投资最高额度内，由公司财务总监确定具体的金额和时间。</w:t>
      </w:r>
    </w:p>
    <w:p w14:paraId="16C72B8F" w14:textId="77777777" w:rsidR="00034E6F" w:rsidRDefault="000944DB">
      <w:pPr>
        <w:numPr>
          <w:ilvl w:val="255"/>
          <w:numId w:val="0"/>
        </w:numPr>
        <w:autoSpaceDE w:val="0"/>
        <w:autoSpaceDN w:val="0"/>
        <w:adjustRightInd w:val="0"/>
        <w:spacing w:line="360" w:lineRule="auto"/>
        <w:ind w:firstLineChars="200" w:firstLine="482"/>
        <w:jc w:val="left"/>
        <w:rPr>
          <w:rFonts w:ascii="宋体" w:hAnsi="宋体" w:cs="宋体"/>
          <w:b/>
          <w:bCs/>
          <w:kern w:val="0"/>
          <w:sz w:val="24"/>
        </w:rPr>
      </w:pPr>
      <w:r>
        <w:rPr>
          <w:rFonts w:ascii="宋体" w:hAnsi="宋体" w:cs="宋体" w:hint="eastAsia"/>
          <w:b/>
          <w:bCs/>
          <w:kern w:val="0"/>
          <w:sz w:val="24"/>
        </w:rPr>
        <w:t>第十四条</w:t>
      </w:r>
      <w:r>
        <w:rPr>
          <w:rFonts w:ascii="宋体" w:hAnsi="宋体" w:cs="宋体" w:hint="eastAsia"/>
          <w:b/>
          <w:bCs/>
          <w:kern w:val="0"/>
          <w:sz w:val="24"/>
        </w:rPr>
        <w:t xml:space="preserve"> </w:t>
      </w:r>
      <w:r>
        <w:rPr>
          <w:rFonts w:ascii="宋体" w:hAnsi="宋体" w:cs="宋体" w:hint="eastAsia"/>
          <w:kern w:val="0"/>
          <w:sz w:val="24"/>
        </w:rPr>
        <w:t>工作小组应针对已开展的衍生品业务，应当控制现货与衍生品在种类、规模及时间上相匹配，制定切实可行的应急处理预案，以及时应对衍生品业务操作过程中可能发生的重大突发事件。</w:t>
      </w:r>
    </w:p>
    <w:p w14:paraId="72682C6F" w14:textId="77777777" w:rsidR="00034E6F" w:rsidRDefault="000944DB">
      <w:pPr>
        <w:numPr>
          <w:ilvl w:val="255"/>
          <w:numId w:val="0"/>
        </w:numPr>
        <w:autoSpaceDE w:val="0"/>
        <w:autoSpaceDN w:val="0"/>
        <w:adjustRightInd w:val="0"/>
        <w:spacing w:line="360" w:lineRule="auto"/>
        <w:ind w:firstLineChars="200" w:firstLine="482"/>
        <w:jc w:val="left"/>
        <w:rPr>
          <w:rFonts w:ascii="宋体" w:hAnsi="宋体" w:cs="宋体"/>
          <w:kern w:val="0"/>
          <w:sz w:val="24"/>
        </w:rPr>
      </w:pPr>
      <w:r>
        <w:rPr>
          <w:rFonts w:ascii="宋体" w:hAnsi="宋体" w:cs="宋体" w:hint="eastAsia"/>
          <w:b/>
          <w:bCs/>
          <w:kern w:val="0"/>
          <w:sz w:val="24"/>
        </w:rPr>
        <w:t>第十五条</w:t>
      </w:r>
      <w:r>
        <w:rPr>
          <w:rFonts w:ascii="宋体" w:hAnsi="宋体" w:cs="宋体" w:hint="eastAsia"/>
          <w:b/>
          <w:bCs/>
          <w:kern w:val="0"/>
          <w:sz w:val="24"/>
        </w:rPr>
        <w:t xml:space="preserve"> </w:t>
      </w:r>
      <w:r>
        <w:rPr>
          <w:rFonts w:ascii="宋体" w:hAnsi="宋体" w:cs="宋体" w:hint="eastAsia"/>
          <w:kern w:val="0"/>
          <w:sz w:val="24"/>
        </w:rPr>
        <w:t>工作小组应根据已投资衍生品的特点，针对各类衍生品或不同交易对手设定适当的止损限额，明确止损处理业务流程，并严格执行止损规定。</w:t>
      </w:r>
    </w:p>
    <w:p w14:paraId="6433079B" w14:textId="77777777" w:rsidR="00034E6F" w:rsidRDefault="000944DB">
      <w:pPr>
        <w:numPr>
          <w:ilvl w:val="255"/>
          <w:numId w:val="0"/>
        </w:num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工作小组应当跟踪衍生品公开市场价格或者公允价值的变化，及时评估已交易衍生品的风险敞口变化情况，并向管理层和董事会提交包括衍生品交易授权执行情况、衍生品交易头寸情况、风险评估结果、本期衍生品交易盈亏状况、止损限额</w:t>
      </w:r>
      <w:r>
        <w:rPr>
          <w:rFonts w:ascii="宋体" w:hAnsi="宋体" w:cs="宋体" w:hint="eastAsia"/>
          <w:kern w:val="0"/>
          <w:sz w:val="24"/>
        </w:rPr>
        <w:t>执行情况等内容的风险分析报告。</w:t>
      </w:r>
    </w:p>
    <w:p w14:paraId="37405F8F" w14:textId="77777777" w:rsidR="00034E6F" w:rsidRDefault="000944DB">
      <w:pPr>
        <w:numPr>
          <w:ilvl w:val="255"/>
          <w:numId w:val="0"/>
        </w:numPr>
        <w:autoSpaceDE w:val="0"/>
        <w:autoSpaceDN w:val="0"/>
        <w:adjustRightInd w:val="0"/>
        <w:spacing w:line="360" w:lineRule="auto"/>
        <w:ind w:firstLineChars="200" w:firstLine="482"/>
        <w:jc w:val="left"/>
        <w:rPr>
          <w:rFonts w:ascii="宋体" w:hAnsi="宋体" w:cs="宋体"/>
          <w:b/>
          <w:bCs/>
          <w:kern w:val="0"/>
          <w:sz w:val="24"/>
        </w:rPr>
      </w:pPr>
      <w:r>
        <w:rPr>
          <w:rFonts w:ascii="宋体" w:hAnsi="宋体" w:cs="宋体" w:hint="eastAsia"/>
          <w:b/>
          <w:bCs/>
          <w:kern w:val="0"/>
          <w:sz w:val="24"/>
        </w:rPr>
        <w:t>第十六条</w:t>
      </w:r>
      <w:r>
        <w:rPr>
          <w:rFonts w:ascii="宋体" w:hAnsi="宋体" w:cs="宋体" w:hint="eastAsia"/>
          <w:b/>
          <w:bCs/>
          <w:kern w:val="0"/>
          <w:sz w:val="24"/>
        </w:rPr>
        <w:t xml:space="preserve"> </w:t>
      </w:r>
      <w:r>
        <w:rPr>
          <w:rFonts w:ascii="宋体" w:hAnsi="宋体" w:cs="宋体" w:hint="eastAsia"/>
          <w:kern w:val="0"/>
          <w:sz w:val="24"/>
        </w:rPr>
        <w:t>公司在证券投资及衍生品交易有实际性进展或实施过程发生变化时，相关责任人应在第一时间（一个工作日内）向总经理报告并同时知会董事会秘书，总经理立即向董事会报告。</w:t>
      </w:r>
    </w:p>
    <w:p w14:paraId="08FBEA8C" w14:textId="77777777" w:rsidR="00034E6F" w:rsidRDefault="000944DB">
      <w:pPr>
        <w:numPr>
          <w:ilvl w:val="255"/>
          <w:numId w:val="0"/>
        </w:numPr>
        <w:autoSpaceDE w:val="0"/>
        <w:autoSpaceDN w:val="0"/>
        <w:adjustRightInd w:val="0"/>
        <w:spacing w:line="360" w:lineRule="auto"/>
        <w:ind w:firstLineChars="200" w:firstLine="482"/>
        <w:jc w:val="left"/>
        <w:rPr>
          <w:rFonts w:ascii="宋体" w:hAnsi="宋体" w:cs="宋体"/>
          <w:b/>
          <w:bCs/>
          <w:kern w:val="0"/>
          <w:sz w:val="24"/>
        </w:rPr>
      </w:pPr>
      <w:r>
        <w:rPr>
          <w:rFonts w:ascii="宋体" w:hAnsi="宋体" w:cs="宋体" w:hint="eastAsia"/>
          <w:b/>
          <w:bCs/>
          <w:kern w:val="0"/>
          <w:sz w:val="24"/>
        </w:rPr>
        <w:t>第十七条</w:t>
      </w:r>
      <w:r>
        <w:rPr>
          <w:rFonts w:ascii="宋体" w:hAnsi="宋体" w:cs="宋体" w:hint="eastAsia"/>
          <w:b/>
          <w:bCs/>
          <w:kern w:val="0"/>
          <w:sz w:val="24"/>
        </w:rPr>
        <w:t xml:space="preserve"> </w:t>
      </w:r>
      <w:r>
        <w:rPr>
          <w:rFonts w:ascii="宋体" w:hAnsi="宋体" w:cs="宋体" w:hint="eastAsia"/>
          <w:kern w:val="0"/>
          <w:sz w:val="24"/>
        </w:rPr>
        <w:t>公司财务部门负责证券投资与衍生品交易所需资金的筹集、划拨和使用管理；负责对相关项目进行会计核算，并检查、监督其合法性、真实性，防止公司资产流失；负责对相关项目保证金管理；负责及时对证券投资与衍生品交易相关业务进行账务处理并进行相关档案的归档。</w:t>
      </w:r>
    </w:p>
    <w:p w14:paraId="3C852146" w14:textId="77777777" w:rsidR="00034E6F" w:rsidRDefault="000944DB">
      <w:pPr>
        <w:spacing w:line="360" w:lineRule="auto"/>
        <w:ind w:firstLineChars="200" w:firstLine="482"/>
        <w:rPr>
          <w:rFonts w:ascii="宋体" w:hAnsi="宋体" w:cs="宋体"/>
          <w:sz w:val="24"/>
        </w:rPr>
      </w:pPr>
      <w:r>
        <w:rPr>
          <w:rFonts w:ascii="宋体" w:hAnsi="宋体" w:cs="宋体" w:hint="eastAsia"/>
          <w:b/>
          <w:bCs/>
          <w:sz w:val="24"/>
        </w:rPr>
        <w:lastRenderedPageBreak/>
        <w:t>第十八条</w:t>
      </w:r>
      <w:r>
        <w:rPr>
          <w:rFonts w:ascii="宋体" w:hAnsi="宋体" w:cs="宋体" w:hint="eastAsia"/>
          <w:sz w:val="24"/>
        </w:rPr>
        <w:t xml:space="preserve"> </w:t>
      </w:r>
      <w:r>
        <w:rPr>
          <w:rFonts w:ascii="宋体" w:hAnsi="宋体" w:cs="宋体" w:hint="eastAsia"/>
          <w:sz w:val="24"/>
        </w:rPr>
        <w:t>公司内审部门应当定期或不定期的对证券投资及衍生品</w:t>
      </w:r>
      <w:r>
        <w:rPr>
          <w:rFonts w:ascii="宋体" w:hAnsi="宋体" w:cs="宋体" w:hint="eastAsia"/>
          <w:sz w:val="24"/>
        </w:rPr>
        <w:t>交易项目进展情况进行全面的监督和检查，并根据谨慎原则，合理预计各项证券投资与衍生品交易可能发生的收益和损失，出具检查报告并提交审计委员会。</w:t>
      </w:r>
    </w:p>
    <w:p w14:paraId="3D84A649" w14:textId="77777777" w:rsidR="00034E6F" w:rsidRDefault="000944DB">
      <w:pPr>
        <w:spacing w:line="360" w:lineRule="auto"/>
        <w:ind w:firstLineChars="200" w:firstLine="482"/>
        <w:jc w:val="left"/>
        <w:rPr>
          <w:rFonts w:ascii="宋体" w:hAnsi="宋体" w:cs="宋体"/>
          <w:color w:val="000000"/>
          <w:sz w:val="24"/>
        </w:rPr>
      </w:pPr>
      <w:r>
        <w:rPr>
          <w:rFonts w:ascii="宋体" w:hAnsi="宋体" w:cs="宋体" w:hint="eastAsia"/>
          <w:b/>
          <w:bCs/>
          <w:color w:val="000000"/>
          <w:sz w:val="24"/>
        </w:rPr>
        <w:t>第十九条</w:t>
      </w:r>
      <w:r>
        <w:rPr>
          <w:rFonts w:ascii="宋体" w:hAnsi="宋体" w:cs="宋体" w:hint="eastAsia"/>
          <w:color w:val="000000"/>
          <w:sz w:val="24"/>
        </w:rPr>
        <w:t xml:space="preserve"> </w:t>
      </w:r>
      <w:r>
        <w:rPr>
          <w:rFonts w:ascii="宋体" w:hAnsi="宋体" w:cs="宋体" w:hint="eastAsia"/>
          <w:color w:val="000000"/>
          <w:sz w:val="24"/>
        </w:rPr>
        <w:t>证券投资与衍生品交易实施过程中，发现投资方案有重大漏洞、项目投资实施的外部环境发生重大变化或受到不可抗力的影响、项目有实质性进展或实施过程中发生重大变化时，董事、高级管理人员或公司其他信息知情人应第一时间向董事长报告并知会董事会秘书。</w:t>
      </w:r>
    </w:p>
    <w:p w14:paraId="7D471945" w14:textId="77777777" w:rsidR="00034E6F" w:rsidRDefault="000944DB">
      <w:pPr>
        <w:pStyle w:val="1"/>
        <w:numPr>
          <w:ilvl w:val="255"/>
          <w:numId w:val="0"/>
        </w:numPr>
        <w:spacing w:beforeLines="50" w:before="156" w:afterLines="50" w:after="156"/>
        <w:jc w:val="center"/>
      </w:pPr>
      <w:r>
        <w:rPr>
          <w:rFonts w:hint="eastAsia"/>
        </w:rPr>
        <w:t>第四章</w:t>
      </w:r>
      <w:r>
        <w:rPr>
          <w:rFonts w:hint="eastAsia"/>
        </w:rPr>
        <w:t xml:space="preserve"> </w:t>
      </w:r>
      <w:r>
        <w:rPr>
          <w:rFonts w:hint="eastAsia"/>
        </w:rPr>
        <w:t>信息披露</w:t>
      </w:r>
    </w:p>
    <w:p w14:paraId="4790E086" w14:textId="77777777" w:rsidR="00034E6F" w:rsidRDefault="000944DB">
      <w:pPr>
        <w:spacing w:line="360" w:lineRule="auto"/>
        <w:ind w:firstLineChars="200" w:firstLine="482"/>
        <w:jc w:val="left"/>
        <w:rPr>
          <w:rFonts w:ascii="宋体" w:hAnsi="宋体" w:cs="宋体"/>
          <w:kern w:val="0"/>
          <w:sz w:val="24"/>
        </w:rPr>
      </w:pPr>
      <w:r>
        <w:rPr>
          <w:rFonts w:ascii="宋体" w:hAnsi="宋体" w:cs="宋体" w:hint="eastAsia"/>
          <w:b/>
          <w:bCs/>
          <w:color w:val="000000"/>
          <w:sz w:val="24"/>
        </w:rPr>
        <w:t>第二十条</w:t>
      </w:r>
      <w:r>
        <w:rPr>
          <w:rFonts w:ascii="宋体" w:hAnsi="宋体" w:cs="宋体" w:hint="eastAsia"/>
          <w:color w:val="000000"/>
          <w:sz w:val="24"/>
        </w:rPr>
        <w:t xml:space="preserve"> </w:t>
      </w:r>
      <w:r>
        <w:rPr>
          <w:rFonts w:ascii="宋体" w:hAnsi="宋体" w:cs="宋体" w:hint="eastAsia"/>
          <w:color w:val="000000"/>
          <w:sz w:val="24"/>
        </w:rPr>
        <w:t>公</w:t>
      </w:r>
      <w:r>
        <w:rPr>
          <w:rFonts w:ascii="宋体" w:hAnsi="宋体" w:cs="宋体" w:hint="eastAsia"/>
          <w:kern w:val="0"/>
          <w:sz w:val="24"/>
        </w:rPr>
        <w:t>司应按照中国证监会及上海证券交易所的有关规定，及时披露公司开展证券投资及衍生品业务的相关信息。</w:t>
      </w:r>
    </w:p>
    <w:p w14:paraId="2A6F1DF7" w14:textId="77777777" w:rsidR="00034E6F" w:rsidRDefault="000944DB">
      <w:pPr>
        <w:spacing w:line="360" w:lineRule="auto"/>
        <w:ind w:firstLineChars="200" w:firstLine="482"/>
        <w:jc w:val="left"/>
        <w:rPr>
          <w:rFonts w:ascii="宋体" w:hAnsi="宋体" w:cs="宋体"/>
          <w:kern w:val="0"/>
          <w:sz w:val="24"/>
        </w:rPr>
      </w:pPr>
      <w:r>
        <w:rPr>
          <w:rFonts w:ascii="宋体" w:hAnsi="宋体" w:cs="宋体" w:hint="eastAsia"/>
          <w:b/>
          <w:bCs/>
          <w:color w:val="000000"/>
          <w:sz w:val="24"/>
        </w:rPr>
        <w:t>第二十一条</w:t>
      </w:r>
      <w:r>
        <w:rPr>
          <w:rFonts w:ascii="宋体" w:hAnsi="宋体" w:cs="宋体" w:hint="eastAsia"/>
          <w:color w:val="000000"/>
          <w:sz w:val="24"/>
        </w:rPr>
        <w:t xml:space="preserve"> </w:t>
      </w:r>
      <w:r>
        <w:rPr>
          <w:rFonts w:ascii="宋体" w:hAnsi="宋体" w:cs="宋体" w:hint="eastAsia"/>
          <w:kern w:val="0"/>
          <w:sz w:val="24"/>
        </w:rPr>
        <w:t>公司董事会应当持续跟踪证券投资与衍生品交易的执行进展和投资安全状况，如出现投资发生较大损失等异常情况的，应当立即采取措施并按规定履行披露义务。</w:t>
      </w:r>
    </w:p>
    <w:p w14:paraId="7476BD60" w14:textId="77777777" w:rsidR="00034E6F" w:rsidRDefault="000944DB">
      <w:pPr>
        <w:spacing w:line="360" w:lineRule="auto"/>
        <w:ind w:firstLineChars="200" w:firstLine="482"/>
        <w:jc w:val="left"/>
        <w:rPr>
          <w:rFonts w:ascii="宋体" w:hAnsi="宋体" w:cs="宋体"/>
          <w:kern w:val="0"/>
          <w:sz w:val="24"/>
        </w:rPr>
      </w:pPr>
      <w:r>
        <w:rPr>
          <w:rFonts w:ascii="宋体" w:hAnsi="宋体" w:cs="宋体" w:hint="eastAsia"/>
          <w:b/>
          <w:bCs/>
          <w:color w:val="000000"/>
          <w:sz w:val="24"/>
        </w:rPr>
        <w:t>第二十二条</w:t>
      </w:r>
      <w:r>
        <w:rPr>
          <w:rFonts w:ascii="宋体" w:hAnsi="宋体" w:cs="宋体" w:hint="eastAsia"/>
          <w:color w:val="000000"/>
          <w:sz w:val="24"/>
        </w:rPr>
        <w:t xml:space="preserve"> </w:t>
      </w:r>
      <w:r>
        <w:rPr>
          <w:rFonts w:ascii="宋体" w:hAnsi="宋体" w:cs="宋体" w:hint="eastAsia"/>
          <w:kern w:val="0"/>
          <w:sz w:val="24"/>
        </w:rPr>
        <w:t>公司已交易衍生品的公允价值减值与用于风险对冲的资产（如有）价值变动加总，导致合计亏损或者浮动亏损金额每达到公司最近一年经审计的归属于上市公司股东净利润的</w:t>
      </w:r>
      <w:r>
        <w:rPr>
          <w:rFonts w:ascii="宋体" w:hAnsi="宋体" w:cs="宋体" w:hint="eastAsia"/>
          <w:kern w:val="0"/>
          <w:sz w:val="24"/>
        </w:rPr>
        <w:t>10%</w:t>
      </w:r>
      <w:r>
        <w:rPr>
          <w:rFonts w:ascii="宋体" w:hAnsi="宋体" w:cs="宋体" w:hint="eastAsia"/>
          <w:kern w:val="0"/>
          <w:sz w:val="24"/>
        </w:rPr>
        <w:t>且绝对金额超过</w:t>
      </w:r>
      <w:r>
        <w:rPr>
          <w:rFonts w:ascii="宋体" w:hAnsi="宋体" w:cs="宋体" w:hint="eastAsia"/>
          <w:kern w:val="0"/>
          <w:sz w:val="24"/>
        </w:rPr>
        <w:t>1000</w:t>
      </w:r>
      <w:r>
        <w:rPr>
          <w:rFonts w:ascii="宋体" w:hAnsi="宋体" w:cs="宋体" w:hint="eastAsia"/>
          <w:kern w:val="0"/>
          <w:sz w:val="24"/>
        </w:rPr>
        <w:t>万人民币的，公司应当及时披露。</w:t>
      </w:r>
    </w:p>
    <w:p w14:paraId="24E5A3D3" w14:textId="77777777" w:rsidR="00034E6F" w:rsidRDefault="000944DB">
      <w:pPr>
        <w:pStyle w:val="1"/>
        <w:spacing w:beforeLines="50" w:before="156" w:afterLines="50" w:after="156"/>
        <w:jc w:val="center"/>
      </w:pPr>
      <w:r>
        <w:rPr>
          <w:rFonts w:hint="eastAsia"/>
        </w:rPr>
        <w:t>第五章</w:t>
      </w:r>
      <w:r>
        <w:rPr>
          <w:rFonts w:hint="eastAsia"/>
        </w:rPr>
        <w:t xml:space="preserve"> </w:t>
      </w:r>
      <w:r>
        <w:rPr>
          <w:rFonts w:hint="eastAsia"/>
        </w:rPr>
        <w:t>其</w:t>
      </w:r>
      <w:r>
        <w:rPr>
          <w:rFonts w:hint="eastAsia"/>
        </w:rPr>
        <w:t xml:space="preserve"> </w:t>
      </w:r>
      <w:r>
        <w:rPr>
          <w:rFonts w:hint="eastAsia"/>
        </w:rPr>
        <w:t>他</w:t>
      </w:r>
    </w:p>
    <w:p w14:paraId="29C565BA" w14:textId="77777777" w:rsidR="00034E6F" w:rsidRDefault="000944DB">
      <w:pPr>
        <w:spacing w:line="360" w:lineRule="auto"/>
        <w:ind w:firstLineChars="200" w:firstLine="482"/>
        <w:jc w:val="left"/>
        <w:rPr>
          <w:rFonts w:ascii="宋体" w:hAnsi="宋体" w:cs="宋体"/>
          <w:color w:val="000000"/>
          <w:sz w:val="24"/>
        </w:rPr>
      </w:pPr>
      <w:r>
        <w:rPr>
          <w:rFonts w:ascii="宋体" w:hAnsi="宋体" w:cs="宋体" w:hint="eastAsia"/>
          <w:b/>
          <w:bCs/>
          <w:color w:val="000000"/>
          <w:sz w:val="24"/>
        </w:rPr>
        <w:t>第二十三条</w:t>
      </w:r>
      <w:r>
        <w:rPr>
          <w:rFonts w:ascii="宋体" w:hAnsi="宋体" w:cs="宋体" w:hint="eastAsia"/>
          <w:color w:val="000000"/>
          <w:sz w:val="24"/>
        </w:rPr>
        <w:t xml:space="preserve"> </w:t>
      </w:r>
      <w:r>
        <w:rPr>
          <w:rFonts w:ascii="宋体" w:hAnsi="宋体" w:cs="宋体" w:hint="eastAsia"/>
          <w:color w:val="000000"/>
          <w:sz w:val="24"/>
        </w:rPr>
        <w:t>公司在调研、洽谈、评估证券投资与衍生品交易项目时，内幕信息知情人对已获知的未公开的信息负有保密的义务，不得擅自以任何形式对外披露。由于工作失职或违反本制度规定，给公司带来严重影响或损失的，公司将根据情况给予该责任人相应的批评、警告、直至解除劳动合同等处分；情节严重的，将由中国证监会给予行政或经济处罚；涉嫌违法犯罪的，公司将按相关法律法规的相关规定移送司法机关进行处理。</w:t>
      </w:r>
    </w:p>
    <w:p w14:paraId="5DE8CEE3" w14:textId="77777777" w:rsidR="00034E6F" w:rsidRDefault="000944DB">
      <w:pPr>
        <w:spacing w:line="360" w:lineRule="auto"/>
        <w:ind w:firstLineChars="200" w:firstLine="482"/>
        <w:jc w:val="left"/>
        <w:rPr>
          <w:rFonts w:ascii="宋体" w:hAnsi="宋体" w:cs="宋体"/>
          <w:color w:val="000000"/>
          <w:sz w:val="24"/>
        </w:rPr>
      </w:pPr>
      <w:r>
        <w:rPr>
          <w:rFonts w:ascii="宋体" w:hAnsi="宋体" w:cs="宋体" w:hint="eastAsia"/>
          <w:b/>
          <w:bCs/>
          <w:color w:val="000000"/>
          <w:sz w:val="24"/>
        </w:rPr>
        <w:t>第二十四条</w:t>
      </w:r>
      <w:r>
        <w:rPr>
          <w:rFonts w:ascii="宋体" w:hAnsi="宋体" w:cs="宋体" w:hint="eastAsia"/>
          <w:color w:val="000000"/>
          <w:sz w:val="24"/>
        </w:rPr>
        <w:t xml:space="preserve"> </w:t>
      </w:r>
      <w:r>
        <w:rPr>
          <w:rFonts w:ascii="宋体" w:hAnsi="宋体" w:cs="宋体" w:hint="eastAsia"/>
          <w:color w:val="000000"/>
          <w:sz w:val="24"/>
        </w:rPr>
        <w:t>公司子公司进行</w:t>
      </w:r>
      <w:r>
        <w:rPr>
          <w:rFonts w:ascii="宋体" w:hAnsi="宋体" w:cs="宋体" w:hint="eastAsia"/>
          <w:sz w:val="24"/>
        </w:rPr>
        <w:t>证券投资及衍生品交易</w:t>
      </w:r>
      <w:r>
        <w:rPr>
          <w:rFonts w:ascii="宋体" w:hAnsi="宋体" w:cs="宋体" w:hint="eastAsia"/>
          <w:color w:val="000000"/>
          <w:sz w:val="24"/>
        </w:rPr>
        <w:t>，视同上市公司的行为，适用本制度相关规定。公司参股公司进行</w:t>
      </w:r>
      <w:r>
        <w:rPr>
          <w:rFonts w:ascii="宋体" w:hAnsi="宋体" w:cs="宋体" w:hint="eastAsia"/>
          <w:sz w:val="24"/>
        </w:rPr>
        <w:t>证券投资及衍生品交易</w:t>
      </w:r>
      <w:r>
        <w:rPr>
          <w:rFonts w:ascii="宋体" w:hAnsi="宋体" w:cs="宋体" w:hint="eastAsia"/>
          <w:color w:val="000000"/>
          <w:sz w:val="24"/>
        </w:rPr>
        <w:t>，对公司业绩可能造成较大影响的，公司应当参照本制度相关规定，履行信息披露义务。</w:t>
      </w:r>
    </w:p>
    <w:p w14:paraId="75E2548F" w14:textId="77777777" w:rsidR="00034E6F" w:rsidRDefault="000944DB">
      <w:pPr>
        <w:pStyle w:val="1"/>
        <w:spacing w:beforeLines="50" w:before="156" w:afterLines="50" w:after="156"/>
        <w:jc w:val="center"/>
      </w:pPr>
      <w:r>
        <w:rPr>
          <w:rFonts w:hint="eastAsia"/>
        </w:rPr>
        <w:lastRenderedPageBreak/>
        <w:t>第六章</w:t>
      </w:r>
      <w:r>
        <w:rPr>
          <w:rFonts w:hint="eastAsia"/>
        </w:rPr>
        <w:t xml:space="preserve"> </w:t>
      </w:r>
      <w:r>
        <w:rPr>
          <w:rFonts w:hint="eastAsia"/>
        </w:rPr>
        <w:t>附</w:t>
      </w:r>
      <w:r>
        <w:rPr>
          <w:rFonts w:hint="eastAsia"/>
        </w:rPr>
        <w:t xml:space="preserve"> </w:t>
      </w:r>
      <w:r>
        <w:rPr>
          <w:rFonts w:hint="eastAsia"/>
        </w:rPr>
        <w:t>则</w:t>
      </w:r>
    </w:p>
    <w:p w14:paraId="0906B810" w14:textId="77777777" w:rsidR="00034E6F" w:rsidRDefault="000944DB">
      <w:pPr>
        <w:spacing w:line="360" w:lineRule="auto"/>
        <w:ind w:firstLineChars="200" w:firstLine="482"/>
        <w:jc w:val="left"/>
        <w:rPr>
          <w:rFonts w:ascii="宋体" w:hAnsi="宋体" w:cs="宋体"/>
          <w:color w:val="000000"/>
          <w:sz w:val="24"/>
        </w:rPr>
      </w:pPr>
      <w:r>
        <w:rPr>
          <w:rFonts w:ascii="宋体" w:hAnsi="宋体" w:cs="宋体" w:hint="eastAsia"/>
          <w:b/>
          <w:bCs/>
          <w:color w:val="000000"/>
          <w:sz w:val="24"/>
        </w:rPr>
        <w:t>第二十五条</w:t>
      </w:r>
      <w:r>
        <w:rPr>
          <w:rFonts w:ascii="宋体" w:hAnsi="宋体" w:cs="宋体" w:hint="eastAsia"/>
          <w:b/>
          <w:bCs/>
          <w:color w:val="000000"/>
          <w:sz w:val="24"/>
        </w:rPr>
        <w:t xml:space="preserve"> </w:t>
      </w:r>
      <w:r>
        <w:rPr>
          <w:rFonts w:ascii="宋体" w:hAnsi="宋体" w:cs="宋体" w:hint="eastAsia"/>
          <w:color w:val="000000"/>
          <w:sz w:val="24"/>
        </w:rPr>
        <w:t>本制度经董事会审议通过后生效并实施，修改时亦同。</w:t>
      </w:r>
    </w:p>
    <w:p w14:paraId="63F1FC51" w14:textId="77777777" w:rsidR="00034E6F" w:rsidRDefault="000944DB">
      <w:pPr>
        <w:spacing w:line="360" w:lineRule="auto"/>
        <w:ind w:firstLineChars="200" w:firstLine="482"/>
        <w:jc w:val="left"/>
        <w:rPr>
          <w:rFonts w:ascii="宋体" w:hAnsi="宋体" w:cs="宋体"/>
          <w:color w:val="000000"/>
          <w:sz w:val="24"/>
        </w:rPr>
      </w:pPr>
      <w:r>
        <w:rPr>
          <w:rFonts w:ascii="宋体" w:hAnsi="宋体" w:cs="宋体" w:hint="eastAsia"/>
          <w:b/>
          <w:bCs/>
          <w:color w:val="000000"/>
          <w:sz w:val="24"/>
        </w:rPr>
        <w:t>第二十六条</w:t>
      </w:r>
      <w:r>
        <w:rPr>
          <w:rFonts w:ascii="宋体" w:hAnsi="宋体" w:cs="宋体" w:hint="eastAsia"/>
          <w:color w:val="000000"/>
          <w:sz w:val="24"/>
        </w:rPr>
        <w:t xml:space="preserve"> </w:t>
      </w:r>
      <w:r>
        <w:rPr>
          <w:rFonts w:ascii="宋体" w:hAnsi="宋体" w:cs="宋体" w:hint="eastAsia"/>
          <w:color w:val="000000"/>
          <w:sz w:val="24"/>
        </w:rPr>
        <w:t>本制度中“以上”含本数，“超过”不含本数。</w:t>
      </w:r>
    </w:p>
    <w:p w14:paraId="234EF32E" w14:textId="77777777" w:rsidR="00034E6F" w:rsidRDefault="000944DB">
      <w:pPr>
        <w:spacing w:line="360" w:lineRule="auto"/>
        <w:ind w:firstLineChars="200" w:firstLine="482"/>
        <w:rPr>
          <w:rFonts w:ascii="宋体" w:hAnsi="宋体" w:cs="宋体"/>
          <w:color w:val="000000"/>
          <w:sz w:val="24"/>
        </w:rPr>
      </w:pPr>
      <w:r>
        <w:rPr>
          <w:rFonts w:ascii="宋体" w:hAnsi="宋体" w:cs="宋体" w:hint="eastAsia"/>
          <w:b/>
          <w:bCs/>
          <w:color w:val="000000"/>
          <w:sz w:val="24"/>
        </w:rPr>
        <w:t>第二十七条</w:t>
      </w:r>
      <w:r>
        <w:rPr>
          <w:rFonts w:ascii="宋体" w:hAnsi="宋体" w:cs="宋体" w:hint="eastAsia"/>
          <w:color w:val="000000"/>
          <w:sz w:val="24"/>
        </w:rPr>
        <w:t xml:space="preserve"> </w:t>
      </w:r>
      <w:r>
        <w:rPr>
          <w:rFonts w:ascii="宋体" w:hAnsi="宋体" w:cs="宋体" w:hint="eastAsia"/>
          <w:color w:val="000000"/>
          <w:sz w:val="24"/>
        </w:rPr>
        <w:t>本制度未尽事宜，按国家有关法律、行政法规、部门规章、规范性文件和《公司章程》的规定执行；本制度与有关法律、行政法规、部门规章、规范性文件以及《公司章程》的有关规定不一致的，以有关法律、行政法规、部门规章、规范性文件以及《公司章程》的有关规定为准；本制度如与国家日后颁布的法律、行政法规、</w:t>
      </w:r>
      <w:r>
        <w:rPr>
          <w:rFonts w:ascii="宋体" w:hAnsi="宋体" w:cs="宋体" w:hint="eastAsia"/>
          <w:color w:val="000000"/>
          <w:sz w:val="24"/>
        </w:rPr>
        <w:t>部门规章、规范性文件或经合法程序修改后的《公司章程》相抵触时，按国家有关法律、行政法规、部门规章、规范性文件和《公司章程》的规定执行。</w:t>
      </w:r>
    </w:p>
    <w:p w14:paraId="239281B8" w14:textId="77777777" w:rsidR="00034E6F" w:rsidRDefault="000944DB">
      <w:pPr>
        <w:spacing w:line="360" w:lineRule="auto"/>
        <w:ind w:firstLineChars="200" w:firstLine="482"/>
        <w:rPr>
          <w:rFonts w:ascii="宋体" w:hAnsi="宋体" w:cs="宋体"/>
          <w:color w:val="000000"/>
          <w:sz w:val="24"/>
        </w:rPr>
      </w:pPr>
      <w:r>
        <w:rPr>
          <w:rFonts w:ascii="宋体" w:hAnsi="宋体" w:cs="宋体" w:hint="eastAsia"/>
          <w:b/>
          <w:bCs/>
          <w:color w:val="000000"/>
          <w:sz w:val="24"/>
        </w:rPr>
        <w:t>第二十八条</w:t>
      </w:r>
      <w:r>
        <w:rPr>
          <w:rFonts w:ascii="宋体" w:hAnsi="宋体" w:cs="宋体" w:hint="eastAsia"/>
          <w:color w:val="000000"/>
          <w:sz w:val="24"/>
        </w:rPr>
        <w:t xml:space="preserve"> </w:t>
      </w:r>
      <w:r>
        <w:rPr>
          <w:rFonts w:ascii="宋体" w:hAnsi="宋体" w:cs="宋体" w:hint="eastAsia"/>
          <w:color w:val="000000"/>
          <w:sz w:val="24"/>
        </w:rPr>
        <w:t>本制度由董事会负责解释。</w:t>
      </w:r>
      <w:bookmarkStart w:id="0" w:name="_GoBack"/>
      <w:bookmarkEnd w:id="0"/>
    </w:p>
    <w:sectPr w:rsidR="00034E6F" w:rsidSect="00AB694A">
      <w:footerReference w:type="default" r:id="rId10"/>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0235F" w14:textId="77777777" w:rsidR="000944DB" w:rsidRDefault="000944DB" w:rsidP="00AB694A">
      <w:r>
        <w:separator/>
      </w:r>
    </w:p>
  </w:endnote>
  <w:endnote w:type="continuationSeparator" w:id="0">
    <w:p w14:paraId="797ABDF1" w14:textId="77777777" w:rsidR="000944DB" w:rsidRDefault="000944DB" w:rsidP="00AB6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DE916" w14:textId="7C060521" w:rsidR="00AB694A" w:rsidRDefault="00AB694A">
    <w:pPr>
      <w:pStyle w:val="a6"/>
      <w:jc w:val="center"/>
    </w:pPr>
  </w:p>
  <w:p w14:paraId="1357421A" w14:textId="77777777" w:rsidR="00AB694A" w:rsidRDefault="00AB694A">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696094"/>
      <w:docPartObj>
        <w:docPartGallery w:val="Page Numbers (Bottom of Page)"/>
        <w:docPartUnique/>
      </w:docPartObj>
    </w:sdtPr>
    <w:sdtContent>
      <w:p w14:paraId="5FE07A59" w14:textId="66CD9117" w:rsidR="00AB694A" w:rsidRDefault="00AB694A">
        <w:pPr>
          <w:pStyle w:val="a6"/>
          <w:jc w:val="center"/>
        </w:pPr>
        <w:r>
          <w:fldChar w:fldCharType="begin"/>
        </w:r>
        <w:r>
          <w:instrText>PAGE   \* MERGEFORMAT</w:instrText>
        </w:r>
        <w:r>
          <w:fldChar w:fldCharType="separate"/>
        </w:r>
        <w:r w:rsidRPr="00AB694A">
          <w:rPr>
            <w:noProof/>
            <w:lang w:val="zh-CN"/>
          </w:rPr>
          <w:t>6</w:t>
        </w:r>
        <w:r>
          <w:fldChar w:fldCharType="end"/>
        </w:r>
      </w:p>
    </w:sdtContent>
  </w:sdt>
  <w:p w14:paraId="41C28864" w14:textId="77777777" w:rsidR="00AB694A" w:rsidRDefault="00AB694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9962E" w14:textId="77777777" w:rsidR="000944DB" w:rsidRDefault="000944DB" w:rsidP="00AB694A">
      <w:r>
        <w:separator/>
      </w:r>
    </w:p>
  </w:footnote>
  <w:footnote w:type="continuationSeparator" w:id="0">
    <w:p w14:paraId="18151E40" w14:textId="77777777" w:rsidR="000944DB" w:rsidRDefault="000944DB" w:rsidP="00AB69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A8786" w14:textId="3256C269" w:rsidR="00AB694A" w:rsidRDefault="00AB694A">
    <w:pPr>
      <w:pStyle w:val="a4"/>
    </w:pPr>
    <w:r>
      <w:rPr>
        <w:rFonts w:hint="eastAsia"/>
      </w:rPr>
      <w:t>倍加洁集团股份有限公司</w:t>
    </w:r>
    <w:r>
      <w:ptab w:relativeTo="margin" w:alignment="center" w:leader="none"/>
    </w:r>
    <w:r>
      <w:ptab w:relativeTo="margin" w:alignment="right" w:leader="none"/>
    </w:r>
    <w:r>
      <w:rPr>
        <w:rFonts w:hint="eastAsia"/>
      </w:rPr>
      <w:t>证券投资管理制度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9F60498"/>
    <w:multiLevelType w:val="singleLevel"/>
    <w:tmpl w:val="E9F60498"/>
    <w:lvl w:ilvl="0">
      <w:start w:val="1"/>
      <w:numFmt w:val="chineseCounting"/>
      <w:suff w:val="nothing"/>
      <w:lvlText w:val="（%1）"/>
      <w:lvlJc w:val="left"/>
      <w:rPr>
        <w:rFonts w:hint="eastAsia"/>
      </w:rPr>
    </w:lvl>
  </w:abstractNum>
  <w:abstractNum w:abstractNumId="1" w15:restartNumberingAfterBreak="0">
    <w:nsid w:val="3F693678"/>
    <w:multiLevelType w:val="singleLevel"/>
    <w:tmpl w:val="3F693678"/>
    <w:lvl w:ilvl="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4ZTZhNjNjM2I5Njg2ZTI3MjVhMzQwYzk0Mzk2M2YifQ=="/>
    <w:docVar w:name="KSO_WPS_MARK_KEY" w:val="93d28559-f271-47a1-af16-db3bce9b57db"/>
  </w:docVars>
  <w:rsids>
    <w:rsidRoot w:val="263F26AE"/>
    <w:rsid w:val="00034E6F"/>
    <w:rsid w:val="000944DB"/>
    <w:rsid w:val="000D2504"/>
    <w:rsid w:val="0010207C"/>
    <w:rsid w:val="001220E9"/>
    <w:rsid w:val="00175865"/>
    <w:rsid w:val="00190778"/>
    <w:rsid w:val="001D7F8B"/>
    <w:rsid w:val="002102FF"/>
    <w:rsid w:val="00240B1A"/>
    <w:rsid w:val="0026045E"/>
    <w:rsid w:val="002B0DFA"/>
    <w:rsid w:val="00393020"/>
    <w:rsid w:val="003F1685"/>
    <w:rsid w:val="004A25D0"/>
    <w:rsid w:val="00610340"/>
    <w:rsid w:val="00616FF7"/>
    <w:rsid w:val="00685C97"/>
    <w:rsid w:val="006D20B4"/>
    <w:rsid w:val="007054BB"/>
    <w:rsid w:val="00753757"/>
    <w:rsid w:val="00754102"/>
    <w:rsid w:val="007E4BDD"/>
    <w:rsid w:val="00811E28"/>
    <w:rsid w:val="00850D64"/>
    <w:rsid w:val="00870EBA"/>
    <w:rsid w:val="009F42A4"/>
    <w:rsid w:val="00A15719"/>
    <w:rsid w:val="00AA7EDA"/>
    <w:rsid w:val="00AB694A"/>
    <w:rsid w:val="00B2733D"/>
    <w:rsid w:val="00C81460"/>
    <w:rsid w:val="00C94616"/>
    <w:rsid w:val="00CC5C24"/>
    <w:rsid w:val="00D24171"/>
    <w:rsid w:val="00D532A1"/>
    <w:rsid w:val="00DB7D3C"/>
    <w:rsid w:val="00DF3C1B"/>
    <w:rsid w:val="00E60597"/>
    <w:rsid w:val="00E71816"/>
    <w:rsid w:val="00E816D2"/>
    <w:rsid w:val="00E95A26"/>
    <w:rsid w:val="00E9760B"/>
    <w:rsid w:val="00EB3727"/>
    <w:rsid w:val="00EF7D09"/>
    <w:rsid w:val="00F30320"/>
    <w:rsid w:val="00F85BCE"/>
    <w:rsid w:val="00FB1F58"/>
    <w:rsid w:val="00FB6414"/>
    <w:rsid w:val="06CD538B"/>
    <w:rsid w:val="0AAE6186"/>
    <w:rsid w:val="0EC37E38"/>
    <w:rsid w:val="0EF238AA"/>
    <w:rsid w:val="0F1A1273"/>
    <w:rsid w:val="131A0A4F"/>
    <w:rsid w:val="14FC65B6"/>
    <w:rsid w:val="16E86827"/>
    <w:rsid w:val="18570E5B"/>
    <w:rsid w:val="22CB0935"/>
    <w:rsid w:val="23C02CA2"/>
    <w:rsid w:val="2561181D"/>
    <w:rsid w:val="263F26AE"/>
    <w:rsid w:val="26F32E47"/>
    <w:rsid w:val="26FC15BE"/>
    <w:rsid w:val="277509DD"/>
    <w:rsid w:val="29E13F5C"/>
    <w:rsid w:val="2C70102F"/>
    <w:rsid w:val="2C9A4ACB"/>
    <w:rsid w:val="31804BB7"/>
    <w:rsid w:val="33CC01B8"/>
    <w:rsid w:val="349D1AAC"/>
    <w:rsid w:val="35EB7920"/>
    <w:rsid w:val="38CA175E"/>
    <w:rsid w:val="39CB483F"/>
    <w:rsid w:val="3C3A18E4"/>
    <w:rsid w:val="3C741F79"/>
    <w:rsid w:val="3D581728"/>
    <w:rsid w:val="3DE1145C"/>
    <w:rsid w:val="3E4C3DDB"/>
    <w:rsid w:val="407A4732"/>
    <w:rsid w:val="41A06527"/>
    <w:rsid w:val="41F5686E"/>
    <w:rsid w:val="44752BFA"/>
    <w:rsid w:val="45413559"/>
    <w:rsid w:val="45802344"/>
    <w:rsid w:val="47301C30"/>
    <w:rsid w:val="491440DB"/>
    <w:rsid w:val="4C5B6998"/>
    <w:rsid w:val="4CE66389"/>
    <w:rsid w:val="4DD83574"/>
    <w:rsid w:val="4E191C2F"/>
    <w:rsid w:val="56316BAB"/>
    <w:rsid w:val="57073ABD"/>
    <w:rsid w:val="59BC2C20"/>
    <w:rsid w:val="5A6E6036"/>
    <w:rsid w:val="5CD879CE"/>
    <w:rsid w:val="5D4A665B"/>
    <w:rsid w:val="5DF04A8B"/>
    <w:rsid w:val="5EFB4B4A"/>
    <w:rsid w:val="5F904542"/>
    <w:rsid w:val="641246A2"/>
    <w:rsid w:val="6D3A5D09"/>
    <w:rsid w:val="6F327BF9"/>
    <w:rsid w:val="75B45C9A"/>
    <w:rsid w:val="769C7C6C"/>
    <w:rsid w:val="7979083E"/>
    <w:rsid w:val="79DB3C74"/>
    <w:rsid w:val="79E9345A"/>
    <w:rsid w:val="7CFE6F28"/>
    <w:rsid w:val="7EDD1D22"/>
    <w:rsid w:val="7EE854DE"/>
    <w:rsid w:val="7FB16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C7F64"/>
  <w15:docId w15:val="{9DD0C124-E4F8-48EF-85AC-09394D08F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120" w:after="120" w:line="360" w:lineRule="auto"/>
      <w:outlineLvl w:val="0"/>
    </w:pPr>
    <w:rPr>
      <w:b/>
      <w:kern w:val="44"/>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header"/>
    <w:basedOn w:val="a"/>
    <w:link w:val="a5"/>
    <w:rsid w:val="00AB694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AB694A"/>
    <w:rPr>
      <w:kern w:val="2"/>
      <w:sz w:val="18"/>
      <w:szCs w:val="18"/>
    </w:rPr>
  </w:style>
  <w:style w:type="paragraph" w:styleId="a6">
    <w:name w:val="footer"/>
    <w:basedOn w:val="a"/>
    <w:link w:val="a7"/>
    <w:uiPriority w:val="99"/>
    <w:rsid w:val="00AB694A"/>
    <w:pPr>
      <w:tabs>
        <w:tab w:val="center" w:pos="4153"/>
        <w:tab w:val="right" w:pos="8306"/>
      </w:tabs>
      <w:snapToGrid w:val="0"/>
      <w:jc w:val="left"/>
    </w:pPr>
    <w:rPr>
      <w:sz w:val="18"/>
      <w:szCs w:val="18"/>
    </w:rPr>
  </w:style>
  <w:style w:type="character" w:customStyle="1" w:styleId="a7">
    <w:name w:val="页脚 字符"/>
    <w:basedOn w:val="a0"/>
    <w:link w:val="a6"/>
    <w:uiPriority w:val="99"/>
    <w:rsid w:val="00AB694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30B"/>
    <w:rsid w:val="000F030B"/>
    <w:rsid w:val="00D44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9E9299FEF0459B999FCAF1CD6309ED">
    <w:name w:val="DE9E9299FEF0459B999FCAF1CD6309ED"/>
    <w:rsid w:val="000F030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EDB5F-CC10-4556-803C-F39E559E2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648</Words>
  <Characters>3696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tingyan.huang</dc:creator>
  <cp:lastModifiedBy>孙彬</cp:lastModifiedBy>
  <cp:revision>391</cp:revision>
  <dcterms:created xsi:type="dcterms:W3CDTF">2020-08-31T07:23:00Z</dcterms:created>
  <dcterms:modified xsi:type="dcterms:W3CDTF">2025-08-26T07:17:00Z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50C55CA86374407AA70351FB637EC383_13</vt:lpwstr>
  </property>
  <property fmtid="{D5CDD505-2E9C-101B-9397-08002B2CF9AE}" pid="4" name="KSOTemplateDocerSaveRecord">
    <vt:lpwstr>eyJoZGlkIjoiNTZmN2Y3YzM1OTcwMDliZTg1ZDBmYzdhZDJmZWNhZTIifQ==</vt:lpwstr>
  </property>
</Properties>
</file>