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74B9A" w14:textId="77777777" w:rsidR="00845FA6" w:rsidRPr="008E3FD3" w:rsidRDefault="0054652D" w:rsidP="0054652D">
      <w:pPr>
        <w:spacing w:line="360" w:lineRule="auto"/>
        <w:jc w:val="center"/>
        <w:rPr>
          <w:rFonts w:ascii="黑体" w:eastAsia="黑体" w:hAnsi="黑体"/>
          <w:b/>
          <w:color w:val="FF0000"/>
          <w:sz w:val="36"/>
        </w:rPr>
      </w:pPr>
      <w:r w:rsidRPr="008E3FD3">
        <w:rPr>
          <w:rFonts w:ascii="黑体" w:eastAsia="黑体" w:hAnsi="黑体" w:hint="eastAsia"/>
          <w:b/>
          <w:color w:val="FF0000"/>
          <w:sz w:val="36"/>
        </w:rPr>
        <w:t>倍加洁集团股份有限</w:t>
      </w:r>
      <w:r w:rsidRPr="008E3FD3">
        <w:rPr>
          <w:rFonts w:ascii="黑体" w:eastAsia="黑体" w:hAnsi="黑体"/>
          <w:b/>
          <w:color w:val="FF0000"/>
          <w:sz w:val="36"/>
        </w:rPr>
        <w:t>公司</w:t>
      </w:r>
    </w:p>
    <w:p w14:paraId="5C7C0106" w14:textId="6F1F037C" w:rsidR="00D17E81" w:rsidRPr="008E3FD3" w:rsidRDefault="00213718" w:rsidP="0054652D">
      <w:pPr>
        <w:spacing w:line="360" w:lineRule="auto"/>
        <w:jc w:val="center"/>
        <w:rPr>
          <w:rFonts w:ascii="黑体" w:eastAsia="黑体" w:hAnsi="黑体"/>
          <w:b/>
          <w:color w:val="FF0000"/>
          <w:sz w:val="36"/>
        </w:rPr>
      </w:pPr>
      <w:r>
        <w:rPr>
          <w:rFonts w:ascii="黑体" w:eastAsia="黑体" w:hAnsi="黑体" w:hint="eastAsia"/>
          <w:b/>
          <w:color w:val="FF0000"/>
          <w:sz w:val="36"/>
        </w:rPr>
        <w:t>对</w:t>
      </w:r>
      <w:r w:rsidR="0054652D" w:rsidRPr="008E3FD3">
        <w:rPr>
          <w:rFonts w:ascii="黑体" w:eastAsia="黑体" w:hAnsi="黑体"/>
          <w:b/>
          <w:color w:val="FF0000"/>
          <w:sz w:val="36"/>
        </w:rPr>
        <w:t>会计师事务所</w:t>
      </w:r>
      <w:r w:rsidRPr="008E3FD3">
        <w:rPr>
          <w:rFonts w:ascii="黑体" w:eastAsia="黑体" w:hAnsi="黑体" w:hint="eastAsia"/>
          <w:b/>
          <w:color w:val="FF0000"/>
          <w:sz w:val="36"/>
        </w:rPr>
        <w:t>2</w:t>
      </w:r>
      <w:r w:rsidRPr="008E3FD3">
        <w:rPr>
          <w:rFonts w:ascii="黑体" w:eastAsia="黑体" w:hAnsi="黑体"/>
          <w:b/>
          <w:color w:val="FF0000"/>
          <w:sz w:val="36"/>
        </w:rPr>
        <w:t>02</w:t>
      </w:r>
      <w:r>
        <w:rPr>
          <w:rFonts w:ascii="黑体" w:eastAsia="黑体" w:hAnsi="黑体"/>
          <w:b/>
          <w:color w:val="FF0000"/>
          <w:sz w:val="36"/>
        </w:rPr>
        <w:t>4</w:t>
      </w:r>
      <w:r w:rsidRPr="008E3FD3">
        <w:rPr>
          <w:rFonts w:ascii="黑体" w:eastAsia="黑体" w:hAnsi="黑体" w:hint="eastAsia"/>
          <w:b/>
          <w:color w:val="FF0000"/>
          <w:sz w:val="36"/>
        </w:rPr>
        <w:t>年度</w:t>
      </w:r>
      <w:r w:rsidR="00652361" w:rsidRPr="008E3FD3">
        <w:rPr>
          <w:rFonts w:ascii="黑体" w:eastAsia="黑体" w:hAnsi="黑体"/>
          <w:b/>
          <w:color w:val="FF0000"/>
          <w:sz w:val="36"/>
        </w:rPr>
        <w:t>履职</w:t>
      </w:r>
      <w:r w:rsidR="0054652D" w:rsidRPr="008E3FD3">
        <w:rPr>
          <w:rFonts w:ascii="黑体" w:eastAsia="黑体" w:hAnsi="黑体"/>
          <w:b/>
          <w:color w:val="FF0000"/>
          <w:sz w:val="36"/>
        </w:rPr>
        <w:t>情况</w:t>
      </w:r>
      <w:r w:rsidR="00652361" w:rsidRPr="008E3FD3">
        <w:rPr>
          <w:rFonts w:ascii="黑体" w:eastAsia="黑体" w:hAnsi="黑体" w:hint="eastAsia"/>
          <w:b/>
          <w:color w:val="FF0000"/>
          <w:sz w:val="36"/>
        </w:rPr>
        <w:t>评估</w:t>
      </w:r>
      <w:r w:rsidR="0054652D" w:rsidRPr="008E3FD3">
        <w:rPr>
          <w:rFonts w:ascii="黑体" w:eastAsia="黑体" w:hAnsi="黑体"/>
          <w:b/>
          <w:color w:val="FF0000"/>
          <w:sz w:val="36"/>
        </w:rPr>
        <w:t>报告</w:t>
      </w:r>
    </w:p>
    <w:p w14:paraId="1C403838" w14:textId="7E74F87E" w:rsidR="00F67C97" w:rsidRPr="008E3FD3" w:rsidRDefault="00F67C97" w:rsidP="00234F2B">
      <w:pPr>
        <w:spacing w:line="360" w:lineRule="auto"/>
        <w:ind w:firstLineChars="200" w:firstLine="420"/>
        <w:rPr>
          <w:rFonts w:ascii="宋体" w:eastAsia="宋体" w:hAnsi="宋体"/>
          <w:szCs w:val="21"/>
        </w:rPr>
      </w:pPr>
      <w:r w:rsidRPr="008E3FD3">
        <w:rPr>
          <w:rFonts w:ascii="宋体" w:eastAsia="宋体" w:hAnsi="宋体" w:hint="eastAsia"/>
          <w:szCs w:val="21"/>
        </w:rPr>
        <w:t>倍加洁集团股份有限公司（以下简称“公司”或“本公司”）聘请立信会计师事务所（特殊普通合伙）（以下简称</w:t>
      </w:r>
      <w:r w:rsidRPr="008E3FD3">
        <w:rPr>
          <w:rFonts w:ascii="宋体" w:eastAsia="宋体" w:hAnsi="宋体"/>
          <w:szCs w:val="21"/>
        </w:rPr>
        <w:t>“</w:t>
      </w:r>
      <w:r w:rsidRPr="008E3FD3">
        <w:rPr>
          <w:rFonts w:ascii="宋体" w:eastAsia="宋体" w:hAnsi="宋体" w:hint="eastAsia"/>
          <w:szCs w:val="21"/>
        </w:rPr>
        <w:t>立信</w:t>
      </w:r>
      <w:r w:rsidRPr="008E3FD3">
        <w:rPr>
          <w:rFonts w:ascii="宋体" w:eastAsia="宋体" w:hAnsi="宋体"/>
          <w:szCs w:val="21"/>
        </w:rPr>
        <w:t>”</w:t>
      </w:r>
      <w:r w:rsidRPr="008E3FD3">
        <w:rPr>
          <w:rFonts w:ascii="宋体" w:eastAsia="宋体" w:hAnsi="宋体" w:hint="eastAsia"/>
          <w:szCs w:val="21"/>
        </w:rPr>
        <w:t>）作为公司2</w:t>
      </w:r>
      <w:r w:rsidRPr="008E3FD3">
        <w:rPr>
          <w:rFonts w:ascii="宋体" w:eastAsia="宋体" w:hAnsi="宋体"/>
          <w:szCs w:val="21"/>
        </w:rPr>
        <w:t>02</w:t>
      </w:r>
      <w:r w:rsidR="00D43EC4">
        <w:rPr>
          <w:rFonts w:ascii="宋体" w:eastAsia="宋体" w:hAnsi="宋体"/>
          <w:szCs w:val="21"/>
        </w:rPr>
        <w:t>4</w:t>
      </w:r>
      <w:r w:rsidRPr="008E3FD3">
        <w:rPr>
          <w:rFonts w:ascii="宋体" w:eastAsia="宋体" w:hAnsi="宋体" w:hint="eastAsia"/>
          <w:szCs w:val="21"/>
        </w:rPr>
        <w:t>年度年报审计机构。根据财政部、国务院国资委及证监会颁布的《国有企业、上市公司选聘会计师事务所管理办法》，公司对立信会计师事务所审计过程中的</w:t>
      </w:r>
      <w:r w:rsidR="00C90B69" w:rsidRPr="008E3FD3">
        <w:rPr>
          <w:rFonts w:ascii="宋体" w:eastAsia="宋体" w:hAnsi="宋体" w:hint="eastAsia"/>
          <w:szCs w:val="21"/>
        </w:rPr>
        <w:t>履</w:t>
      </w:r>
      <w:r w:rsidRPr="008E3FD3">
        <w:rPr>
          <w:rFonts w:ascii="宋体" w:eastAsia="宋体" w:hAnsi="宋体" w:hint="eastAsia"/>
          <w:szCs w:val="21"/>
        </w:rPr>
        <w:t>职情况进行评估。经评估，公司认为</w:t>
      </w:r>
      <w:r w:rsidR="006103BB" w:rsidRPr="008E3FD3">
        <w:rPr>
          <w:rFonts w:ascii="宋体" w:eastAsia="宋体" w:hAnsi="宋体" w:hint="eastAsia"/>
          <w:szCs w:val="21"/>
        </w:rPr>
        <w:t>立信</w:t>
      </w:r>
      <w:r w:rsidRPr="008E3FD3">
        <w:rPr>
          <w:rFonts w:ascii="宋体" w:eastAsia="宋体" w:hAnsi="宋体" w:hint="eastAsia"/>
          <w:szCs w:val="21"/>
        </w:rPr>
        <w:t>资质等方面合规有效，</w:t>
      </w:r>
      <w:r w:rsidR="00CB057D" w:rsidRPr="008E3FD3">
        <w:rPr>
          <w:rFonts w:ascii="宋体" w:eastAsia="宋体" w:hAnsi="宋体" w:hint="eastAsia"/>
          <w:szCs w:val="21"/>
        </w:rPr>
        <w:t>履</w:t>
      </w:r>
      <w:r w:rsidRPr="008E3FD3">
        <w:rPr>
          <w:rFonts w:ascii="宋体" w:eastAsia="宋体" w:hAnsi="宋体" w:hint="eastAsia"/>
          <w:szCs w:val="21"/>
        </w:rPr>
        <w:t>职保持独立性，勤勉尽责，公允表达意见</w:t>
      </w:r>
      <w:r w:rsidR="00011F97" w:rsidRPr="008E3FD3">
        <w:rPr>
          <w:rFonts w:ascii="宋体" w:eastAsia="宋体" w:hAnsi="宋体" w:hint="eastAsia"/>
          <w:szCs w:val="21"/>
        </w:rPr>
        <w:t>，具体情况如下</w:t>
      </w:r>
      <w:r w:rsidR="00B74AD7" w:rsidRPr="008E3FD3">
        <w:rPr>
          <w:rFonts w:ascii="宋体" w:eastAsia="宋体" w:hAnsi="宋体" w:hint="eastAsia"/>
          <w:szCs w:val="21"/>
        </w:rPr>
        <w:t>：</w:t>
      </w:r>
      <w:bookmarkStart w:id="0" w:name="_GoBack"/>
      <w:bookmarkEnd w:id="0"/>
    </w:p>
    <w:p w14:paraId="66B98B8A" w14:textId="221F99B8" w:rsidR="0054652D" w:rsidRPr="00B57432" w:rsidRDefault="00B57432" w:rsidP="00B57432">
      <w:pPr>
        <w:spacing w:line="360" w:lineRule="auto"/>
        <w:ind w:firstLineChars="200" w:firstLine="422"/>
        <w:jc w:val="left"/>
        <w:rPr>
          <w:rFonts w:ascii="宋体" w:eastAsia="宋体" w:hAnsi="宋体"/>
          <w:b/>
          <w:szCs w:val="21"/>
        </w:rPr>
      </w:pPr>
      <w:r>
        <w:rPr>
          <w:rFonts w:ascii="宋体" w:eastAsia="宋体" w:hAnsi="宋体" w:hint="eastAsia"/>
          <w:b/>
          <w:szCs w:val="21"/>
        </w:rPr>
        <w:t>一、</w:t>
      </w:r>
      <w:r w:rsidR="00554F21" w:rsidRPr="00B57432">
        <w:rPr>
          <w:rFonts w:ascii="宋体" w:eastAsia="宋体" w:hAnsi="宋体" w:hint="eastAsia"/>
          <w:b/>
          <w:szCs w:val="21"/>
        </w:rPr>
        <w:t>资质条件</w:t>
      </w:r>
    </w:p>
    <w:p w14:paraId="772B2D1B" w14:textId="420FC0B6" w:rsidR="00EA750E" w:rsidRPr="008E3FD3" w:rsidRDefault="00EA750E"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立信于</w:t>
      </w:r>
      <w:r w:rsidRPr="008E3FD3">
        <w:rPr>
          <w:rFonts w:ascii="宋体" w:eastAsia="宋体" w:hAnsi="宋体"/>
          <w:szCs w:val="21"/>
        </w:rPr>
        <w:t>1927</w:t>
      </w:r>
      <w:r w:rsidRPr="008E3FD3">
        <w:rPr>
          <w:rFonts w:ascii="宋体" w:eastAsia="宋体" w:hAnsi="宋体" w:hint="eastAsia"/>
          <w:szCs w:val="21"/>
        </w:rPr>
        <w:t>年在上海创建，</w:t>
      </w:r>
      <w:r w:rsidRPr="008E3FD3">
        <w:rPr>
          <w:rFonts w:ascii="宋体" w:eastAsia="宋体" w:hAnsi="宋体"/>
          <w:szCs w:val="21"/>
        </w:rPr>
        <w:t>1986</w:t>
      </w:r>
      <w:r w:rsidRPr="008E3FD3">
        <w:rPr>
          <w:rFonts w:ascii="宋体" w:eastAsia="宋体" w:hAnsi="宋体" w:hint="eastAsia"/>
          <w:szCs w:val="21"/>
        </w:rPr>
        <w:t>年复办，</w:t>
      </w:r>
      <w:r w:rsidRPr="008E3FD3">
        <w:rPr>
          <w:rFonts w:ascii="宋体" w:eastAsia="宋体" w:hAnsi="宋体"/>
          <w:szCs w:val="21"/>
        </w:rPr>
        <w:t>2010</w:t>
      </w:r>
      <w:r w:rsidRPr="008E3FD3">
        <w:rPr>
          <w:rFonts w:ascii="宋体" w:eastAsia="宋体" w:hAnsi="宋体" w:hint="eastAsia"/>
          <w:szCs w:val="21"/>
        </w:rPr>
        <w:t>年成为全国首家完成改制的特殊普通合伙制会计师事务所，注册地址为上海市，首席合伙人为朱建弟先生。立信是国际会计网络</w:t>
      </w:r>
      <w:r w:rsidRPr="008E3FD3">
        <w:rPr>
          <w:rFonts w:ascii="宋体" w:eastAsia="宋体" w:hAnsi="宋体"/>
          <w:szCs w:val="21"/>
        </w:rPr>
        <w:t>BDO</w:t>
      </w:r>
      <w:r w:rsidRPr="008E3FD3">
        <w:rPr>
          <w:rFonts w:ascii="宋体" w:eastAsia="宋体" w:hAnsi="宋体" w:hint="eastAsia"/>
          <w:szCs w:val="21"/>
        </w:rPr>
        <w:t>的成员所，长期从事证券服务业务，新证券法实施前具有证券、期货业务许可证，具有</w:t>
      </w:r>
      <w:r w:rsidRPr="008E3FD3">
        <w:rPr>
          <w:rFonts w:ascii="宋体" w:eastAsia="宋体" w:hAnsi="宋体"/>
          <w:szCs w:val="21"/>
        </w:rPr>
        <w:t>H</w:t>
      </w:r>
      <w:r w:rsidRPr="008E3FD3">
        <w:rPr>
          <w:rFonts w:ascii="宋体" w:eastAsia="宋体" w:hAnsi="宋体" w:hint="eastAsia"/>
          <w:szCs w:val="21"/>
        </w:rPr>
        <w:t>股审计资格，并已向美国公众公司会计监督委员会（</w:t>
      </w:r>
      <w:r w:rsidRPr="008E3FD3">
        <w:rPr>
          <w:rFonts w:ascii="宋体" w:eastAsia="宋体" w:hAnsi="宋体"/>
          <w:szCs w:val="21"/>
        </w:rPr>
        <w:t>PCAOB</w:t>
      </w:r>
      <w:r w:rsidRPr="008E3FD3">
        <w:rPr>
          <w:rFonts w:ascii="宋体" w:eastAsia="宋体" w:hAnsi="宋体" w:hint="eastAsia"/>
          <w:szCs w:val="21"/>
        </w:rPr>
        <w:t>）注册登记。</w:t>
      </w:r>
    </w:p>
    <w:p w14:paraId="4E6E6E4D" w14:textId="2FECA3A3" w:rsidR="00EA750E" w:rsidRPr="003D1D71" w:rsidRDefault="00EA750E" w:rsidP="00B57432">
      <w:pPr>
        <w:spacing w:line="360" w:lineRule="auto"/>
        <w:ind w:firstLineChars="200" w:firstLine="420"/>
        <w:rPr>
          <w:rFonts w:ascii="宋体" w:eastAsia="宋体" w:hAnsi="宋体"/>
          <w:szCs w:val="21"/>
        </w:rPr>
      </w:pPr>
      <w:r w:rsidRPr="00E427FA">
        <w:rPr>
          <w:rFonts w:ascii="宋体" w:eastAsia="宋体" w:hAnsi="宋体" w:hint="eastAsia"/>
          <w:szCs w:val="21"/>
        </w:rPr>
        <w:t>截至</w:t>
      </w:r>
      <w:r w:rsidRPr="00E427FA">
        <w:rPr>
          <w:rFonts w:ascii="宋体" w:eastAsia="宋体" w:hAnsi="宋体"/>
          <w:szCs w:val="21"/>
        </w:rPr>
        <w:t>202</w:t>
      </w:r>
      <w:r w:rsidR="003D1D71" w:rsidRPr="00E427FA">
        <w:rPr>
          <w:rFonts w:ascii="宋体" w:eastAsia="宋体" w:hAnsi="宋体"/>
          <w:szCs w:val="21"/>
        </w:rPr>
        <w:t>4</w:t>
      </w:r>
      <w:r w:rsidRPr="00E427FA">
        <w:rPr>
          <w:rFonts w:ascii="宋体" w:eastAsia="宋体" w:hAnsi="宋体" w:hint="eastAsia"/>
          <w:szCs w:val="21"/>
        </w:rPr>
        <w:t>年末，立信拥有合伙人</w:t>
      </w:r>
      <w:r w:rsidR="003D1D71" w:rsidRPr="00E427FA">
        <w:rPr>
          <w:rFonts w:ascii="宋体" w:eastAsia="宋体" w:hAnsi="宋体"/>
          <w:szCs w:val="21"/>
        </w:rPr>
        <w:t>296</w:t>
      </w:r>
      <w:r w:rsidRPr="00E427FA">
        <w:rPr>
          <w:rFonts w:ascii="宋体" w:eastAsia="宋体" w:hAnsi="宋体" w:hint="eastAsia"/>
          <w:szCs w:val="21"/>
        </w:rPr>
        <w:t>名、注册会计师</w:t>
      </w:r>
      <w:r w:rsidR="003D1D71" w:rsidRPr="00E427FA">
        <w:rPr>
          <w:rFonts w:ascii="宋体" w:eastAsia="宋体" w:hAnsi="宋体"/>
          <w:szCs w:val="21"/>
        </w:rPr>
        <w:t>2</w:t>
      </w:r>
      <w:r w:rsidR="00E427FA" w:rsidRPr="00E427FA">
        <w:rPr>
          <w:rFonts w:ascii="宋体" w:eastAsia="宋体" w:hAnsi="宋体"/>
          <w:szCs w:val="21"/>
        </w:rPr>
        <w:t>,</w:t>
      </w:r>
      <w:r w:rsidR="003D1D71" w:rsidRPr="00E427FA">
        <w:rPr>
          <w:rFonts w:ascii="宋体" w:eastAsia="宋体" w:hAnsi="宋体"/>
          <w:szCs w:val="21"/>
        </w:rPr>
        <w:t>498</w:t>
      </w:r>
      <w:r w:rsidRPr="00E427FA">
        <w:rPr>
          <w:rFonts w:ascii="宋体" w:eastAsia="宋体" w:hAnsi="宋体" w:hint="eastAsia"/>
          <w:szCs w:val="21"/>
        </w:rPr>
        <w:t>名、从业人员总数</w:t>
      </w:r>
      <w:r w:rsidR="003D1D71" w:rsidRPr="00E427FA">
        <w:rPr>
          <w:rFonts w:ascii="宋体" w:eastAsia="宋体" w:hAnsi="宋体"/>
          <w:szCs w:val="21"/>
        </w:rPr>
        <w:t>1</w:t>
      </w:r>
      <w:r w:rsidR="001E64A5" w:rsidRPr="00E427FA">
        <w:rPr>
          <w:rFonts w:ascii="宋体" w:eastAsia="宋体" w:hAnsi="宋体"/>
          <w:szCs w:val="21"/>
        </w:rPr>
        <w:t>0</w:t>
      </w:r>
      <w:r w:rsidR="00E427FA" w:rsidRPr="00E427FA">
        <w:rPr>
          <w:rFonts w:ascii="宋体" w:eastAsia="宋体" w:hAnsi="宋体"/>
          <w:szCs w:val="21"/>
        </w:rPr>
        <w:t>,</w:t>
      </w:r>
      <w:r w:rsidR="003D1D71" w:rsidRPr="00E427FA">
        <w:rPr>
          <w:rFonts w:ascii="宋体" w:eastAsia="宋体" w:hAnsi="宋体"/>
          <w:szCs w:val="21"/>
        </w:rPr>
        <w:t>021</w:t>
      </w:r>
      <w:r w:rsidRPr="00E427FA">
        <w:rPr>
          <w:rFonts w:ascii="宋体" w:eastAsia="宋体" w:hAnsi="宋体" w:hint="eastAsia"/>
          <w:szCs w:val="21"/>
        </w:rPr>
        <w:t>名，签署过证券服务业务审计报告的注册会计师</w:t>
      </w:r>
      <w:r w:rsidR="003D1D71" w:rsidRPr="00E427FA">
        <w:rPr>
          <w:rFonts w:ascii="宋体" w:eastAsia="宋体" w:hAnsi="宋体"/>
          <w:szCs w:val="21"/>
        </w:rPr>
        <w:t>743</w:t>
      </w:r>
      <w:r w:rsidRPr="00E427FA">
        <w:rPr>
          <w:rFonts w:ascii="宋体" w:eastAsia="宋体" w:hAnsi="宋体" w:hint="eastAsia"/>
          <w:szCs w:val="21"/>
        </w:rPr>
        <w:t>名。</w:t>
      </w:r>
    </w:p>
    <w:p w14:paraId="7D8A65CC" w14:textId="56F8E3CC" w:rsidR="009976DB" w:rsidRPr="008E3FD3" w:rsidRDefault="009976DB" w:rsidP="00B57432">
      <w:pPr>
        <w:spacing w:line="360" w:lineRule="auto"/>
        <w:ind w:firstLineChars="200" w:firstLine="420"/>
        <w:rPr>
          <w:rFonts w:ascii="宋体" w:eastAsia="宋体" w:hAnsi="宋体"/>
          <w:szCs w:val="21"/>
        </w:rPr>
      </w:pPr>
      <w:r w:rsidRPr="008E3FD3">
        <w:rPr>
          <w:rFonts w:ascii="宋体" w:eastAsia="宋体" w:hAnsi="宋体" w:hint="eastAsia"/>
          <w:szCs w:val="21"/>
        </w:rPr>
        <w:t>项目合伙人：</w:t>
      </w:r>
      <w:r w:rsidR="00737B77" w:rsidRPr="008E3FD3">
        <w:rPr>
          <w:rFonts w:ascii="宋体" w:eastAsia="宋体" w:hAnsi="宋体" w:hint="eastAsia"/>
          <w:szCs w:val="21"/>
        </w:rPr>
        <w:t>杜志强</w:t>
      </w:r>
      <w:r w:rsidRPr="008E3FD3">
        <w:rPr>
          <w:rFonts w:ascii="宋体" w:eastAsia="宋体" w:hAnsi="宋体"/>
          <w:szCs w:val="21"/>
        </w:rPr>
        <w:t xml:space="preserve">, </w:t>
      </w:r>
      <w:r w:rsidR="00737B77" w:rsidRPr="008E3FD3">
        <w:rPr>
          <w:rFonts w:ascii="宋体" w:eastAsia="宋体" w:hAnsi="宋体"/>
          <w:szCs w:val="21"/>
        </w:rPr>
        <w:t>1997</w:t>
      </w:r>
      <w:r w:rsidRPr="008E3FD3">
        <w:rPr>
          <w:rFonts w:ascii="宋体" w:eastAsia="宋体" w:hAnsi="宋体" w:hint="eastAsia"/>
          <w:szCs w:val="21"/>
        </w:rPr>
        <w:t>年成为注册会计师，</w:t>
      </w:r>
      <w:r w:rsidR="00737B77" w:rsidRPr="008E3FD3">
        <w:rPr>
          <w:rFonts w:ascii="宋体" w:eastAsia="宋体" w:hAnsi="宋体"/>
          <w:szCs w:val="21"/>
        </w:rPr>
        <w:t>1999</w:t>
      </w:r>
      <w:r w:rsidRPr="008E3FD3">
        <w:rPr>
          <w:rFonts w:ascii="宋体" w:eastAsia="宋体" w:hAnsi="宋体" w:hint="eastAsia"/>
          <w:szCs w:val="21"/>
        </w:rPr>
        <w:t>年开始从事上市公司审计业务，</w:t>
      </w:r>
      <w:r w:rsidR="00737B77" w:rsidRPr="008E3FD3">
        <w:rPr>
          <w:rFonts w:ascii="宋体" w:eastAsia="宋体" w:hAnsi="宋体"/>
          <w:szCs w:val="21"/>
        </w:rPr>
        <w:t>2000</w:t>
      </w:r>
      <w:r w:rsidRPr="008E3FD3">
        <w:rPr>
          <w:rFonts w:ascii="宋体" w:eastAsia="宋体" w:hAnsi="宋体" w:hint="eastAsia"/>
          <w:szCs w:val="21"/>
        </w:rPr>
        <w:t>年开始在立信执业，</w:t>
      </w:r>
      <w:r w:rsidR="00737B77" w:rsidRPr="008E3FD3">
        <w:rPr>
          <w:rFonts w:ascii="宋体" w:eastAsia="宋体" w:hAnsi="宋体"/>
          <w:szCs w:val="21"/>
        </w:rPr>
        <w:t>2022</w:t>
      </w:r>
      <w:r w:rsidRPr="008E3FD3">
        <w:rPr>
          <w:rFonts w:ascii="宋体" w:eastAsia="宋体" w:hAnsi="宋体" w:hint="eastAsia"/>
          <w:szCs w:val="21"/>
        </w:rPr>
        <w:t>年开始为本公司提供审计服务；近三年签署</w:t>
      </w:r>
      <w:r w:rsidR="00737B77" w:rsidRPr="008E3FD3">
        <w:rPr>
          <w:rFonts w:ascii="宋体" w:eastAsia="宋体" w:hAnsi="宋体"/>
          <w:szCs w:val="21"/>
        </w:rPr>
        <w:t>4</w:t>
      </w:r>
      <w:r w:rsidRPr="008E3FD3">
        <w:rPr>
          <w:rFonts w:ascii="宋体" w:eastAsia="宋体" w:hAnsi="宋体" w:hint="eastAsia"/>
          <w:szCs w:val="21"/>
        </w:rPr>
        <w:t>家上市公司审计报告。</w:t>
      </w:r>
    </w:p>
    <w:p w14:paraId="41703D8B" w14:textId="6F2A4D88" w:rsidR="009976DB" w:rsidRPr="008E3FD3" w:rsidRDefault="009976DB" w:rsidP="00B57432">
      <w:pPr>
        <w:spacing w:line="360" w:lineRule="auto"/>
        <w:ind w:firstLineChars="200" w:firstLine="420"/>
        <w:rPr>
          <w:rFonts w:ascii="宋体" w:eastAsia="宋体" w:hAnsi="宋体"/>
          <w:szCs w:val="21"/>
        </w:rPr>
      </w:pPr>
      <w:r w:rsidRPr="008E3FD3">
        <w:rPr>
          <w:rFonts w:ascii="宋体" w:eastAsia="宋体" w:hAnsi="宋体" w:hint="eastAsia"/>
          <w:szCs w:val="21"/>
        </w:rPr>
        <w:t>签字注册会计师：</w:t>
      </w:r>
      <w:r w:rsidR="001E64A5">
        <w:rPr>
          <w:rFonts w:ascii="宋体" w:eastAsia="宋体" w:hAnsi="宋体" w:hint="eastAsia"/>
          <w:szCs w:val="21"/>
        </w:rPr>
        <w:t>宋凯</w:t>
      </w:r>
      <w:r w:rsidRPr="008E3FD3">
        <w:rPr>
          <w:rFonts w:ascii="宋体" w:eastAsia="宋体" w:hAnsi="宋体" w:hint="eastAsia"/>
          <w:szCs w:val="21"/>
        </w:rPr>
        <w:t>，</w:t>
      </w:r>
      <w:r w:rsidR="001E64A5">
        <w:rPr>
          <w:rFonts w:ascii="宋体" w:eastAsia="宋体" w:hAnsi="宋体"/>
          <w:szCs w:val="21"/>
        </w:rPr>
        <w:t>2024</w:t>
      </w:r>
      <w:r w:rsidRPr="008E3FD3">
        <w:rPr>
          <w:rFonts w:ascii="宋体" w:eastAsia="宋体" w:hAnsi="宋体" w:hint="eastAsia"/>
          <w:szCs w:val="21"/>
        </w:rPr>
        <w:t>年成为注册会计师，</w:t>
      </w:r>
      <w:r w:rsidR="00737B77" w:rsidRPr="008E3FD3">
        <w:rPr>
          <w:rFonts w:ascii="宋体" w:eastAsia="宋体" w:hAnsi="宋体"/>
          <w:szCs w:val="21"/>
        </w:rPr>
        <w:t>20</w:t>
      </w:r>
      <w:r w:rsidR="001E64A5">
        <w:rPr>
          <w:rFonts w:ascii="宋体" w:eastAsia="宋体" w:hAnsi="宋体"/>
          <w:szCs w:val="21"/>
        </w:rPr>
        <w:t>22</w:t>
      </w:r>
      <w:r w:rsidRPr="008E3FD3">
        <w:rPr>
          <w:rFonts w:ascii="宋体" w:eastAsia="宋体" w:hAnsi="宋体" w:hint="eastAsia"/>
          <w:szCs w:val="21"/>
        </w:rPr>
        <w:t>年开始从事上市公司审计业务，</w:t>
      </w:r>
      <w:r w:rsidR="00737B77" w:rsidRPr="008E3FD3">
        <w:rPr>
          <w:rFonts w:ascii="宋体" w:eastAsia="宋体" w:hAnsi="宋体"/>
          <w:szCs w:val="21"/>
        </w:rPr>
        <w:t>20</w:t>
      </w:r>
      <w:r w:rsidR="001E64A5">
        <w:rPr>
          <w:rFonts w:ascii="宋体" w:eastAsia="宋体" w:hAnsi="宋体"/>
          <w:szCs w:val="21"/>
        </w:rPr>
        <w:t>24</w:t>
      </w:r>
      <w:r w:rsidRPr="008E3FD3">
        <w:rPr>
          <w:rFonts w:ascii="宋体" w:eastAsia="宋体" w:hAnsi="宋体" w:hint="eastAsia"/>
          <w:szCs w:val="21"/>
        </w:rPr>
        <w:t>年开始在立信执业，</w:t>
      </w:r>
      <w:r w:rsidR="00737B77" w:rsidRPr="008E3FD3">
        <w:rPr>
          <w:rFonts w:ascii="宋体" w:eastAsia="宋体" w:hAnsi="宋体"/>
          <w:szCs w:val="21"/>
        </w:rPr>
        <w:t>20</w:t>
      </w:r>
      <w:r w:rsidR="001E64A5">
        <w:rPr>
          <w:rFonts w:ascii="宋体" w:eastAsia="宋体" w:hAnsi="宋体"/>
          <w:szCs w:val="21"/>
        </w:rPr>
        <w:t>22</w:t>
      </w:r>
      <w:r w:rsidRPr="008E3FD3">
        <w:rPr>
          <w:rFonts w:ascii="宋体" w:eastAsia="宋体" w:hAnsi="宋体" w:hint="eastAsia"/>
          <w:szCs w:val="21"/>
        </w:rPr>
        <w:t>年开始为本公司提供审计服务，</w:t>
      </w:r>
      <w:r w:rsidR="00737B77" w:rsidRPr="008E3FD3">
        <w:rPr>
          <w:rFonts w:ascii="宋体" w:eastAsia="宋体" w:hAnsi="宋体"/>
          <w:szCs w:val="21"/>
        </w:rPr>
        <w:t>20</w:t>
      </w:r>
      <w:r w:rsidR="001E64A5">
        <w:rPr>
          <w:rFonts w:ascii="宋体" w:eastAsia="宋体" w:hAnsi="宋体"/>
          <w:szCs w:val="21"/>
        </w:rPr>
        <w:t>25</w:t>
      </w:r>
      <w:r w:rsidRPr="008E3FD3">
        <w:rPr>
          <w:rFonts w:ascii="宋体" w:eastAsia="宋体" w:hAnsi="宋体" w:hint="eastAsia"/>
          <w:szCs w:val="21"/>
        </w:rPr>
        <w:t>年成为本公司签字注册会计师。</w:t>
      </w:r>
    </w:p>
    <w:p w14:paraId="09F5CFD9" w14:textId="3BED7E8A" w:rsidR="009976DB" w:rsidRPr="0019015A" w:rsidRDefault="009976DB" w:rsidP="00B57432">
      <w:pPr>
        <w:spacing w:line="360" w:lineRule="auto"/>
        <w:ind w:firstLineChars="200" w:firstLine="420"/>
        <w:rPr>
          <w:rFonts w:ascii="宋体" w:eastAsia="宋体" w:hAnsi="宋体"/>
          <w:szCs w:val="21"/>
        </w:rPr>
      </w:pPr>
      <w:r w:rsidRPr="0019015A">
        <w:rPr>
          <w:rFonts w:ascii="宋体" w:eastAsia="宋体" w:hAnsi="宋体" w:hint="eastAsia"/>
          <w:szCs w:val="21"/>
        </w:rPr>
        <w:t>项目质量控制复核人：</w:t>
      </w:r>
      <w:r w:rsidR="0019015A" w:rsidRPr="0019015A">
        <w:rPr>
          <w:rFonts w:ascii="宋体" w:eastAsia="宋体" w:hAnsi="宋体" w:hint="eastAsia"/>
          <w:szCs w:val="21"/>
        </w:rPr>
        <w:t>林盛宇</w:t>
      </w:r>
      <w:r w:rsidR="0084486C" w:rsidRPr="0019015A">
        <w:rPr>
          <w:rFonts w:ascii="宋体" w:eastAsia="宋体" w:hAnsi="宋体" w:hint="eastAsia"/>
          <w:szCs w:val="21"/>
        </w:rPr>
        <w:t>，</w:t>
      </w:r>
      <w:r w:rsidR="00737B77" w:rsidRPr="0019015A">
        <w:rPr>
          <w:rFonts w:ascii="宋体" w:eastAsia="宋体" w:hAnsi="宋体"/>
          <w:szCs w:val="21"/>
        </w:rPr>
        <w:t>200</w:t>
      </w:r>
      <w:r w:rsidR="0019015A" w:rsidRPr="0019015A">
        <w:rPr>
          <w:rFonts w:ascii="宋体" w:eastAsia="宋体" w:hAnsi="宋体"/>
          <w:szCs w:val="21"/>
        </w:rPr>
        <w:t>4</w:t>
      </w:r>
      <w:r w:rsidR="00737B77" w:rsidRPr="0019015A">
        <w:rPr>
          <w:rFonts w:ascii="宋体" w:eastAsia="宋体" w:hAnsi="宋体"/>
          <w:szCs w:val="21"/>
        </w:rPr>
        <w:t xml:space="preserve"> </w:t>
      </w:r>
      <w:r w:rsidRPr="0019015A">
        <w:rPr>
          <w:rFonts w:ascii="宋体" w:eastAsia="宋体" w:hAnsi="宋体" w:hint="eastAsia"/>
          <w:szCs w:val="21"/>
        </w:rPr>
        <w:t>年成为注册会计师，</w:t>
      </w:r>
      <w:r w:rsidR="0019015A" w:rsidRPr="0019015A">
        <w:rPr>
          <w:rFonts w:ascii="宋体" w:eastAsia="宋体" w:hAnsi="宋体"/>
          <w:szCs w:val="21"/>
        </w:rPr>
        <w:t>1999</w:t>
      </w:r>
      <w:r w:rsidRPr="0019015A">
        <w:rPr>
          <w:rFonts w:ascii="宋体" w:eastAsia="宋体" w:hAnsi="宋体" w:hint="eastAsia"/>
          <w:szCs w:val="21"/>
        </w:rPr>
        <w:t>年开始从事上市公司审计，</w:t>
      </w:r>
      <w:r w:rsidR="00737B77" w:rsidRPr="0019015A">
        <w:rPr>
          <w:rFonts w:ascii="宋体" w:eastAsia="宋体" w:hAnsi="宋体"/>
          <w:szCs w:val="21"/>
        </w:rPr>
        <w:t>200</w:t>
      </w:r>
      <w:r w:rsidR="0019015A" w:rsidRPr="0019015A">
        <w:rPr>
          <w:rFonts w:ascii="宋体" w:eastAsia="宋体" w:hAnsi="宋体"/>
          <w:szCs w:val="21"/>
        </w:rPr>
        <w:t>4</w:t>
      </w:r>
      <w:r w:rsidRPr="0019015A">
        <w:rPr>
          <w:rFonts w:ascii="宋体" w:eastAsia="宋体" w:hAnsi="宋体" w:hint="eastAsia"/>
          <w:szCs w:val="21"/>
        </w:rPr>
        <w:t>年开始在</w:t>
      </w:r>
      <w:r w:rsidR="00737B77" w:rsidRPr="0019015A">
        <w:rPr>
          <w:rFonts w:ascii="宋体" w:eastAsia="宋体" w:hAnsi="宋体" w:hint="eastAsia"/>
          <w:szCs w:val="21"/>
        </w:rPr>
        <w:t>立信</w:t>
      </w:r>
      <w:r w:rsidRPr="0019015A">
        <w:rPr>
          <w:rFonts w:ascii="宋体" w:eastAsia="宋体" w:hAnsi="宋体" w:hint="eastAsia"/>
          <w:szCs w:val="21"/>
        </w:rPr>
        <w:t>执业，</w:t>
      </w:r>
      <w:r w:rsidR="00737B77" w:rsidRPr="0019015A">
        <w:rPr>
          <w:rFonts w:ascii="宋体" w:eastAsia="宋体" w:hAnsi="宋体"/>
          <w:szCs w:val="21"/>
        </w:rPr>
        <w:t>202</w:t>
      </w:r>
      <w:r w:rsidR="0019015A" w:rsidRPr="0019015A">
        <w:rPr>
          <w:rFonts w:ascii="宋体" w:eastAsia="宋体" w:hAnsi="宋体"/>
          <w:szCs w:val="21"/>
        </w:rPr>
        <w:t>5</w:t>
      </w:r>
      <w:r w:rsidRPr="0019015A">
        <w:rPr>
          <w:rFonts w:ascii="宋体" w:eastAsia="宋体" w:hAnsi="宋体" w:hint="eastAsia"/>
          <w:szCs w:val="21"/>
        </w:rPr>
        <w:t>年开始为本公司提供审计服务；截至本报告日，近三年复核</w:t>
      </w:r>
      <w:r w:rsidR="0019015A" w:rsidRPr="0019015A">
        <w:rPr>
          <w:rFonts w:ascii="宋体" w:eastAsia="宋体" w:hAnsi="宋体"/>
          <w:szCs w:val="21"/>
        </w:rPr>
        <w:t>9</w:t>
      </w:r>
      <w:r w:rsidRPr="0019015A">
        <w:rPr>
          <w:rFonts w:ascii="宋体" w:eastAsia="宋体" w:hAnsi="宋体" w:hint="eastAsia"/>
          <w:szCs w:val="21"/>
        </w:rPr>
        <w:t>家上市公司审计报告。</w:t>
      </w:r>
    </w:p>
    <w:p w14:paraId="36335CD9" w14:textId="4F651E10" w:rsidR="00DB7A4B" w:rsidRPr="00B57432" w:rsidRDefault="00B57432" w:rsidP="00B57432">
      <w:pPr>
        <w:spacing w:line="360" w:lineRule="auto"/>
        <w:ind w:firstLineChars="200" w:firstLine="422"/>
        <w:jc w:val="left"/>
        <w:rPr>
          <w:rFonts w:ascii="宋体" w:eastAsia="宋体" w:hAnsi="宋体"/>
          <w:b/>
          <w:szCs w:val="21"/>
        </w:rPr>
      </w:pPr>
      <w:r>
        <w:rPr>
          <w:rFonts w:ascii="宋体" w:eastAsia="宋体" w:hAnsi="宋体" w:hint="eastAsia"/>
          <w:b/>
          <w:szCs w:val="21"/>
        </w:rPr>
        <w:t>二、</w:t>
      </w:r>
      <w:r w:rsidR="00EE5AEF" w:rsidRPr="00B57432">
        <w:rPr>
          <w:rFonts w:ascii="宋体" w:eastAsia="宋体" w:hAnsi="宋体" w:hint="eastAsia"/>
          <w:b/>
          <w:szCs w:val="21"/>
        </w:rPr>
        <w:t>执业记录</w:t>
      </w:r>
    </w:p>
    <w:p w14:paraId="6B7DC054" w14:textId="07724C93" w:rsidR="00DB7A4B" w:rsidRPr="008E3FD3" w:rsidRDefault="00DB7A4B" w:rsidP="00B57432">
      <w:pPr>
        <w:spacing w:line="360" w:lineRule="auto"/>
        <w:ind w:firstLineChars="200" w:firstLine="420"/>
        <w:rPr>
          <w:rFonts w:ascii="宋体" w:eastAsia="宋体" w:hAnsi="宋体"/>
          <w:szCs w:val="21"/>
        </w:rPr>
      </w:pPr>
      <w:r w:rsidRPr="008E3FD3">
        <w:rPr>
          <w:rFonts w:ascii="宋体" w:eastAsia="宋体" w:hAnsi="宋体" w:hint="eastAsia"/>
          <w:szCs w:val="21"/>
        </w:rPr>
        <w:t>项目合伙人</w:t>
      </w:r>
      <w:r w:rsidR="00737B77" w:rsidRPr="008E3FD3">
        <w:rPr>
          <w:rFonts w:ascii="宋体" w:eastAsia="宋体" w:hAnsi="宋体" w:hint="eastAsia"/>
          <w:szCs w:val="21"/>
        </w:rPr>
        <w:t>杜志强</w:t>
      </w:r>
      <w:r w:rsidRPr="008E3FD3">
        <w:rPr>
          <w:rFonts w:ascii="宋体" w:eastAsia="宋体" w:hAnsi="宋体" w:hint="eastAsia"/>
          <w:szCs w:val="21"/>
        </w:rPr>
        <w:t>、签字注册会计师</w:t>
      </w:r>
      <w:r w:rsidR="001E64A5">
        <w:rPr>
          <w:rFonts w:ascii="宋体" w:eastAsia="宋体" w:hAnsi="宋体" w:hint="eastAsia"/>
          <w:szCs w:val="21"/>
        </w:rPr>
        <w:t>宋凯</w:t>
      </w:r>
      <w:r w:rsidRPr="008E3FD3">
        <w:rPr>
          <w:rFonts w:ascii="宋体" w:eastAsia="宋体" w:hAnsi="宋体" w:hint="eastAsia"/>
          <w:szCs w:val="21"/>
        </w:rPr>
        <w:t>最近三年未受到证监会及其派出机构、行业主管部门等的行政处罚、监督管理措施，未受到证券交易所、行业协会等自律组织的自律监管措施、纪律处分。</w:t>
      </w:r>
    </w:p>
    <w:p w14:paraId="52484C01" w14:textId="4D1D0039" w:rsidR="00DB7A4B" w:rsidRPr="00B57432" w:rsidRDefault="00B57432" w:rsidP="00B57432">
      <w:pPr>
        <w:spacing w:line="360" w:lineRule="auto"/>
        <w:ind w:firstLineChars="200" w:firstLine="422"/>
        <w:jc w:val="left"/>
        <w:rPr>
          <w:rFonts w:ascii="宋体" w:eastAsia="宋体" w:hAnsi="宋体"/>
          <w:b/>
          <w:szCs w:val="21"/>
        </w:rPr>
      </w:pPr>
      <w:r>
        <w:rPr>
          <w:rFonts w:ascii="宋体" w:eastAsia="宋体" w:hAnsi="宋体" w:hint="eastAsia"/>
          <w:b/>
          <w:szCs w:val="21"/>
        </w:rPr>
        <w:t>三、</w:t>
      </w:r>
      <w:r w:rsidR="007B1603" w:rsidRPr="00B57432">
        <w:rPr>
          <w:rFonts w:ascii="宋体" w:eastAsia="宋体" w:hAnsi="宋体" w:hint="eastAsia"/>
          <w:b/>
          <w:szCs w:val="21"/>
        </w:rPr>
        <w:t>质量管理水平</w:t>
      </w:r>
    </w:p>
    <w:p w14:paraId="3A989503" w14:textId="3AD26B6E" w:rsidR="00340E20" w:rsidRPr="008E3FD3" w:rsidRDefault="00B57432" w:rsidP="00B57432">
      <w:pPr>
        <w:spacing w:line="360" w:lineRule="auto"/>
        <w:ind w:firstLineChars="200" w:firstLine="420"/>
        <w:jc w:val="left"/>
        <w:rPr>
          <w:rFonts w:ascii="宋体" w:eastAsia="宋体" w:hAnsi="宋体"/>
          <w:szCs w:val="21"/>
        </w:rPr>
      </w:pPr>
      <w:r>
        <w:rPr>
          <w:rFonts w:ascii="宋体" w:eastAsia="宋体" w:hAnsi="宋体" w:hint="eastAsia"/>
          <w:szCs w:val="21"/>
        </w:rPr>
        <w:t>（一）</w:t>
      </w:r>
      <w:r w:rsidR="00340E20" w:rsidRPr="008E3FD3">
        <w:rPr>
          <w:rFonts w:ascii="宋体" w:eastAsia="宋体" w:hAnsi="宋体" w:hint="eastAsia"/>
          <w:szCs w:val="21"/>
        </w:rPr>
        <w:t>项目咨询</w:t>
      </w:r>
    </w:p>
    <w:p w14:paraId="0A9954FB" w14:textId="6F8C658D" w:rsidR="00340E20" w:rsidRPr="008E3FD3" w:rsidRDefault="00340E20" w:rsidP="00B57432">
      <w:pPr>
        <w:spacing w:line="360" w:lineRule="auto"/>
        <w:ind w:firstLineChars="200" w:firstLine="420"/>
        <w:rPr>
          <w:rFonts w:ascii="宋体" w:eastAsia="宋体" w:hAnsi="宋体"/>
          <w:szCs w:val="21"/>
        </w:rPr>
      </w:pPr>
      <w:r w:rsidRPr="008E3FD3">
        <w:rPr>
          <w:rFonts w:ascii="宋体" w:eastAsia="宋体" w:hAnsi="宋体"/>
          <w:szCs w:val="21"/>
        </w:rPr>
        <w:lastRenderedPageBreak/>
        <w:t>202</w:t>
      </w:r>
      <w:r w:rsidR="00A8357F">
        <w:rPr>
          <w:rFonts w:ascii="宋体" w:eastAsia="宋体" w:hAnsi="宋体"/>
          <w:szCs w:val="21"/>
        </w:rPr>
        <w:t>4</w:t>
      </w:r>
      <w:r w:rsidRPr="008E3FD3">
        <w:rPr>
          <w:rFonts w:ascii="宋体" w:eastAsia="宋体" w:hAnsi="宋体" w:hint="eastAsia"/>
          <w:szCs w:val="21"/>
        </w:rPr>
        <w:t>年年度审计过程中，</w:t>
      </w:r>
      <w:r w:rsidR="001F614C" w:rsidRPr="008E3FD3">
        <w:rPr>
          <w:rFonts w:ascii="宋体" w:eastAsia="宋体" w:hAnsi="宋体" w:hint="eastAsia"/>
          <w:szCs w:val="21"/>
        </w:rPr>
        <w:t>立信</w:t>
      </w:r>
      <w:r w:rsidRPr="008E3FD3">
        <w:rPr>
          <w:rFonts w:ascii="宋体" w:eastAsia="宋体" w:hAnsi="宋体" w:hint="eastAsia"/>
          <w:szCs w:val="21"/>
        </w:rPr>
        <w:t>就公司重大</w:t>
      </w:r>
      <w:r w:rsidR="00B57432">
        <w:rPr>
          <w:rFonts w:ascii="宋体" w:eastAsia="宋体" w:hAnsi="宋体" w:hint="eastAsia"/>
          <w:szCs w:val="21"/>
        </w:rPr>
        <w:t>会计审计事项与专业技术部及时咨询，按时解决公司重点难点技术问题。</w:t>
      </w:r>
    </w:p>
    <w:p w14:paraId="375DE033" w14:textId="6071D953" w:rsidR="00340E20" w:rsidRPr="008E3FD3" w:rsidRDefault="00B57432" w:rsidP="00B57432">
      <w:pPr>
        <w:spacing w:line="360" w:lineRule="auto"/>
        <w:ind w:firstLineChars="200" w:firstLine="420"/>
        <w:jc w:val="left"/>
        <w:rPr>
          <w:rFonts w:ascii="宋体" w:eastAsia="宋体" w:hAnsi="宋体"/>
          <w:szCs w:val="21"/>
        </w:rPr>
      </w:pPr>
      <w:r>
        <w:rPr>
          <w:rFonts w:ascii="宋体" w:eastAsia="宋体" w:hAnsi="宋体" w:hint="eastAsia"/>
          <w:szCs w:val="21"/>
        </w:rPr>
        <w:t>（二）</w:t>
      </w:r>
      <w:r w:rsidR="00340E20" w:rsidRPr="008E3FD3">
        <w:rPr>
          <w:rFonts w:ascii="宋体" w:eastAsia="宋体" w:hAnsi="宋体" w:hint="eastAsia"/>
          <w:szCs w:val="21"/>
        </w:rPr>
        <w:t>意见分歧解决</w:t>
      </w:r>
    </w:p>
    <w:p w14:paraId="276ED527" w14:textId="68BF58CE" w:rsidR="00340E20" w:rsidRPr="008E3FD3" w:rsidRDefault="001F614C"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w:t>
      </w:r>
      <w:r w:rsidR="00340E20" w:rsidRPr="008E3FD3">
        <w:rPr>
          <w:rFonts w:ascii="宋体" w:eastAsia="宋体" w:hAnsi="宋体" w:hint="eastAsia"/>
          <w:szCs w:val="21"/>
        </w:rPr>
        <w:t>制定明确的专业意见分歧解决机制。当项目组成员、项目质量复核人或专业技术部成员之间存在未解决的专业意见分歧时，视需要咨询专业技术部负责人。在专业意见分歧解决之前不得出具报告。</w:t>
      </w:r>
      <w:r w:rsidR="00340E20" w:rsidRPr="008E3FD3">
        <w:rPr>
          <w:rFonts w:ascii="宋体" w:eastAsia="宋体" w:hAnsi="宋体"/>
          <w:szCs w:val="21"/>
        </w:rPr>
        <w:t>202</w:t>
      </w:r>
      <w:r w:rsidR="00B21BB5">
        <w:rPr>
          <w:rFonts w:ascii="宋体" w:eastAsia="宋体" w:hAnsi="宋体"/>
          <w:szCs w:val="21"/>
        </w:rPr>
        <w:t>4</w:t>
      </w:r>
      <w:r w:rsidR="00340E20" w:rsidRPr="008E3FD3">
        <w:rPr>
          <w:rFonts w:ascii="宋体" w:eastAsia="宋体" w:hAnsi="宋体" w:hint="eastAsia"/>
          <w:szCs w:val="21"/>
        </w:rPr>
        <w:t>年年度审计过程中，</w:t>
      </w:r>
      <w:r w:rsidRPr="008E3FD3">
        <w:rPr>
          <w:rFonts w:ascii="宋体" w:eastAsia="宋体" w:hAnsi="宋体" w:hint="eastAsia"/>
          <w:szCs w:val="21"/>
        </w:rPr>
        <w:t>立信</w:t>
      </w:r>
      <w:r w:rsidR="00B57432">
        <w:rPr>
          <w:rFonts w:ascii="宋体" w:eastAsia="宋体" w:hAnsi="宋体" w:hint="eastAsia"/>
          <w:szCs w:val="21"/>
        </w:rPr>
        <w:t>就公司的所有重大会计审计事项达成一致意见，无不能解决的意见分歧。</w:t>
      </w:r>
    </w:p>
    <w:p w14:paraId="61F3FDBA" w14:textId="7D009C30" w:rsidR="00340E20" w:rsidRPr="008E3FD3" w:rsidRDefault="00B57432" w:rsidP="00B57432">
      <w:pPr>
        <w:spacing w:line="360" w:lineRule="auto"/>
        <w:ind w:firstLineChars="200" w:firstLine="420"/>
        <w:jc w:val="left"/>
        <w:rPr>
          <w:rFonts w:ascii="宋体" w:eastAsia="宋体" w:hAnsi="宋体"/>
          <w:szCs w:val="21"/>
        </w:rPr>
      </w:pPr>
      <w:r>
        <w:rPr>
          <w:rFonts w:ascii="宋体" w:eastAsia="宋体" w:hAnsi="宋体" w:hint="eastAsia"/>
          <w:szCs w:val="21"/>
        </w:rPr>
        <w:t>（三）</w:t>
      </w:r>
      <w:r w:rsidR="00340E20" w:rsidRPr="008E3FD3">
        <w:rPr>
          <w:rFonts w:ascii="宋体" w:eastAsia="宋体" w:hAnsi="宋体" w:hint="eastAsia"/>
          <w:szCs w:val="21"/>
        </w:rPr>
        <w:t>项目质量复核</w:t>
      </w:r>
    </w:p>
    <w:p w14:paraId="6859AA20" w14:textId="1CA6BE2C" w:rsidR="00340E20" w:rsidRPr="008E3FD3" w:rsidRDefault="00340E20" w:rsidP="00B57432">
      <w:pPr>
        <w:spacing w:line="360" w:lineRule="auto"/>
        <w:ind w:firstLineChars="200" w:firstLine="420"/>
        <w:rPr>
          <w:rFonts w:ascii="宋体" w:eastAsia="宋体" w:hAnsi="宋体"/>
          <w:szCs w:val="21"/>
        </w:rPr>
      </w:pPr>
      <w:r w:rsidRPr="008E3FD3">
        <w:rPr>
          <w:rFonts w:ascii="宋体" w:eastAsia="宋体" w:hAnsi="宋体" w:hint="eastAsia"/>
          <w:szCs w:val="21"/>
        </w:rPr>
        <w:t>审计过程中，</w:t>
      </w:r>
      <w:r w:rsidR="001F614C" w:rsidRPr="008E3FD3">
        <w:rPr>
          <w:rFonts w:ascii="宋体" w:eastAsia="宋体" w:hAnsi="宋体" w:hint="eastAsia"/>
          <w:szCs w:val="21"/>
        </w:rPr>
        <w:t>立信</w:t>
      </w:r>
      <w:r w:rsidRPr="008E3FD3">
        <w:rPr>
          <w:rFonts w:ascii="宋体" w:eastAsia="宋体" w:hAnsi="宋体" w:hint="eastAsia"/>
          <w:szCs w:val="21"/>
        </w:rPr>
        <w:t>实施完善的项目质量复核程序，主要包括审计项目组内部复核、独立项目质量复核以及专业技术复核。审计项目组内部复核主要包括对所有工作底稿执行详细复核，以及由经验丰富的审计小组成员执行第二层次复核。详细复核和第二层次复核的重点为所开展审计工作的充分性、财务报表的公允列报以及审计报告的适当性。</w:t>
      </w:r>
    </w:p>
    <w:p w14:paraId="52E07A7F" w14:textId="0A7F43A2" w:rsidR="00340E20" w:rsidRPr="008E3FD3" w:rsidRDefault="00B57432" w:rsidP="00B57432">
      <w:pPr>
        <w:spacing w:line="360" w:lineRule="auto"/>
        <w:ind w:firstLineChars="200" w:firstLine="420"/>
        <w:jc w:val="left"/>
        <w:rPr>
          <w:rFonts w:ascii="宋体" w:eastAsia="宋体" w:hAnsi="宋体"/>
          <w:szCs w:val="21"/>
        </w:rPr>
      </w:pPr>
      <w:r>
        <w:rPr>
          <w:rFonts w:ascii="宋体" w:eastAsia="宋体" w:hAnsi="宋体" w:hint="eastAsia"/>
          <w:szCs w:val="21"/>
        </w:rPr>
        <w:t>（四）</w:t>
      </w:r>
      <w:r w:rsidR="00340E20" w:rsidRPr="008E3FD3">
        <w:rPr>
          <w:rFonts w:ascii="宋体" w:eastAsia="宋体" w:hAnsi="宋体" w:hint="eastAsia"/>
          <w:szCs w:val="21"/>
        </w:rPr>
        <w:t>项目质量检查</w:t>
      </w:r>
    </w:p>
    <w:p w14:paraId="08C8310F" w14:textId="0A803AFE" w:rsidR="00340E20" w:rsidRPr="008E3FD3" w:rsidRDefault="001F614C"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w:t>
      </w:r>
      <w:r w:rsidR="00340E20" w:rsidRPr="008E3FD3">
        <w:rPr>
          <w:rFonts w:ascii="宋体" w:eastAsia="宋体" w:hAnsi="宋体" w:hint="eastAsia"/>
          <w:szCs w:val="21"/>
        </w:rPr>
        <w:t>质控部门负责对质量管理体系的监督和整改的运行承担责任。</w:t>
      </w:r>
      <w:r w:rsidRPr="008E3FD3">
        <w:rPr>
          <w:rFonts w:ascii="宋体" w:eastAsia="宋体" w:hAnsi="宋体" w:hint="eastAsia"/>
          <w:szCs w:val="21"/>
        </w:rPr>
        <w:t>立信</w:t>
      </w:r>
      <w:r w:rsidR="00340E20" w:rsidRPr="008E3FD3">
        <w:rPr>
          <w:rFonts w:ascii="宋体" w:eastAsia="宋体" w:hAnsi="宋体" w:hint="eastAsia"/>
          <w:szCs w:val="21"/>
        </w:rPr>
        <w:t>质量管理体系的监控活动包括：质量管理关键控制点的测试；对质量管理体系范围内已完成项目的检查；根据职业道德准则要求对事务所和个人进行独立性测试；其他监控活动。确保项目组在报告签署之前已经按照项目质量管理要求充分、恰当地执行审计程序。</w:t>
      </w:r>
    </w:p>
    <w:p w14:paraId="030EB48A" w14:textId="26B45BF8" w:rsidR="00340E20" w:rsidRPr="008E3FD3" w:rsidRDefault="00B57432" w:rsidP="00B57432">
      <w:pPr>
        <w:spacing w:line="360" w:lineRule="auto"/>
        <w:ind w:firstLineChars="200" w:firstLine="420"/>
        <w:jc w:val="left"/>
        <w:rPr>
          <w:rFonts w:ascii="宋体" w:eastAsia="宋体" w:hAnsi="宋体"/>
          <w:szCs w:val="21"/>
        </w:rPr>
      </w:pPr>
      <w:r>
        <w:rPr>
          <w:rFonts w:ascii="宋体" w:eastAsia="宋体" w:hAnsi="宋体" w:hint="eastAsia"/>
          <w:szCs w:val="21"/>
        </w:rPr>
        <w:t>（五）</w:t>
      </w:r>
      <w:r w:rsidR="00340E20" w:rsidRPr="008E3FD3">
        <w:rPr>
          <w:rFonts w:ascii="宋体" w:eastAsia="宋体" w:hAnsi="宋体" w:hint="eastAsia"/>
          <w:szCs w:val="21"/>
        </w:rPr>
        <w:t>质量管理缺陷识别与整改</w:t>
      </w:r>
    </w:p>
    <w:p w14:paraId="6630CC6D" w14:textId="6BCD2DA7" w:rsidR="00340E20" w:rsidRPr="008E3FD3" w:rsidRDefault="001F614C"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w:t>
      </w:r>
      <w:r w:rsidR="00340E20" w:rsidRPr="008E3FD3">
        <w:rPr>
          <w:rFonts w:ascii="宋体" w:eastAsia="宋体" w:hAnsi="宋体" w:hint="eastAsia"/>
          <w:szCs w:val="21"/>
        </w:rPr>
        <w:t>根据注册会计师职业道德规范和审计准则的有关规定，制定相应的内部管理制度和政策，这些制度和政策构成</w:t>
      </w:r>
      <w:r w:rsidRPr="008E3FD3">
        <w:rPr>
          <w:rFonts w:ascii="宋体" w:eastAsia="宋体" w:hAnsi="宋体" w:hint="eastAsia"/>
          <w:szCs w:val="21"/>
        </w:rPr>
        <w:t>立信</w:t>
      </w:r>
      <w:r w:rsidR="00340E20" w:rsidRPr="008E3FD3">
        <w:rPr>
          <w:rFonts w:ascii="宋体" w:eastAsia="宋体" w:hAnsi="宋体" w:hint="eastAsia"/>
          <w:szCs w:val="21"/>
        </w:rPr>
        <w:t>完整、全面的质量管理体系。</w:t>
      </w:r>
      <w:r w:rsidR="00340E20" w:rsidRPr="008E3FD3">
        <w:rPr>
          <w:rFonts w:ascii="宋体" w:eastAsia="宋体" w:hAnsi="宋体"/>
          <w:szCs w:val="21"/>
        </w:rPr>
        <w:t>202</w:t>
      </w:r>
      <w:r w:rsidR="00A8357F">
        <w:rPr>
          <w:rFonts w:ascii="宋体" w:eastAsia="宋体" w:hAnsi="宋体"/>
          <w:szCs w:val="21"/>
        </w:rPr>
        <w:t>4</w:t>
      </w:r>
      <w:r w:rsidR="00340E20" w:rsidRPr="008E3FD3">
        <w:rPr>
          <w:rFonts w:ascii="宋体" w:eastAsia="宋体" w:hAnsi="宋体" w:hint="eastAsia"/>
          <w:szCs w:val="21"/>
        </w:rPr>
        <w:t>年年度审计过程中，</w:t>
      </w:r>
      <w:r w:rsidRPr="008E3FD3">
        <w:rPr>
          <w:rFonts w:ascii="宋体" w:eastAsia="宋体" w:hAnsi="宋体" w:hint="eastAsia"/>
          <w:szCs w:val="21"/>
        </w:rPr>
        <w:t>立信</w:t>
      </w:r>
      <w:r w:rsidR="00340E20" w:rsidRPr="008E3FD3">
        <w:rPr>
          <w:rFonts w:ascii="宋体" w:eastAsia="宋体" w:hAnsi="宋体" w:hint="eastAsia"/>
          <w:szCs w:val="21"/>
        </w:rPr>
        <w:t>勤勉尽责，质量管理的各项措施得到了有效执行。</w:t>
      </w:r>
    </w:p>
    <w:p w14:paraId="791F5793" w14:textId="329C5EA7" w:rsidR="00340E20" w:rsidRPr="00B57432" w:rsidRDefault="00B57432" w:rsidP="000825D9">
      <w:pPr>
        <w:spacing w:line="360" w:lineRule="auto"/>
        <w:ind w:firstLineChars="200" w:firstLine="422"/>
        <w:jc w:val="left"/>
        <w:rPr>
          <w:rFonts w:ascii="宋体" w:eastAsia="宋体" w:hAnsi="宋体"/>
          <w:b/>
          <w:szCs w:val="21"/>
        </w:rPr>
      </w:pPr>
      <w:r>
        <w:rPr>
          <w:rFonts w:ascii="宋体" w:eastAsia="宋体" w:hAnsi="宋体" w:hint="eastAsia"/>
          <w:b/>
          <w:szCs w:val="21"/>
        </w:rPr>
        <w:t>四、</w:t>
      </w:r>
      <w:r w:rsidR="001F614C" w:rsidRPr="00B57432">
        <w:rPr>
          <w:rFonts w:ascii="宋体" w:eastAsia="宋体" w:hAnsi="宋体" w:hint="eastAsia"/>
          <w:b/>
          <w:szCs w:val="21"/>
        </w:rPr>
        <w:t>工作方案</w:t>
      </w:r>
    </w:p>
    <w:p w14:paraId="426F9B69" w14:textId="1FB4EBA1" w:rsidR="00FD0EE1" w:rsidRPr="008E3FD3" w:rsidRDefault="00FD0EE1" w:rsidP="00B57432">
      <w:pPr>
        <w:spacing w:line="360" w:lineRule="auto"/>
        <w:ind w:firstLineChars="200" w:firstLine="420"/>
        <w:rPr>
          <w:rFonts w:ascii="宋体" w:eastAsia="宋体" w:hAnsi="宋体"/>
          <w:szCs w:val="21"/>
        </w:rPr>
      </w:pPr>
      <w:r w:rsidRPr="008E3FD3">
        <w:rPr>
          <w:rFonts w:ascii="宋体" w:eastAsia="宋体" w:hAnsi="宋体"/>
          <w:szCs w:val="21"/>
        </w:rPr>
        <w:t>202</w:t>
      </w:r>
      <w:r w:rsidR="00A8357F">
        <w:rPr>
          <w:rFonts w:ascii="宋体" w:eastAsia="宋体" w:hAnsi="宋体"/>
          <w:szCs w:val="21"/>
        </w:rPr>
        <w:t>4</w:t>
      </w:r>
      <w:r w:rsidRPr="008E3FD3">
        <w:rPr>
          <w:rFonts w:ascii="宋体" w:eastAsia="宋体" w:hAnsi="宋体" w:hint="eastAsia"/>
          <w:szCs w:val="21"/>
        </w:rPr>
        <w:t>年年度审计过程中，</w:t>
      </w:r>
      <w:r w:rsidR="003873AA" w:rsidRPr="008E3FD3">
        <w:rPr>
          <w:rFonts w:ascii="宋体" w:eastAsia="宋体" w:hAnsi="宋体" w:hint="eastAsia"/>
          <w:szCs w:val="21"/>
        </w:rPr>
        <w:t>立信</w:t>
      </w:r>
      <w:r w:rsidRPr="008E3FD3">
        <w:rPr>
          <w:rFonts w:ascii="宋体" w:eastAsia="宋体" w:hAnsi="宋体" w:hint="eastAsia"/>
          <w:szCs w:val="21"/>
        </w:rPr>
        <w:t>针对公司的服务需求及被审计单位的实际情况，制定全面、合理、可操作性强的审计工作方案。审计工作围绕被审计单位的审计重点展开，其中包括收入确认、成本核算、资产减值、递延所得税确认、金融工具、合并报表、关联方交易等。</w:t>
      </w:r>
      <w:r w:rsidR="003873AA" w:rsidRPr="008E3FD3">
        <w:rPr>
          <w:rFonts w:ascii="宋体" w:eastAsia="宋体" w:hAnsi="宋体" w:hint="eastAsia"/>
          <w:szCs w:val="21"/>
        </w:rPr>
        <w:t>立信</w:t>
      </w:r>
      <w:r w:rsidRPr="008E3FD3">
        <w:rPr>
          <w:rFonts w:ascii="宋体" w:eastAsia="宋体" w:hAnsi="宋体" w:hint="eastAsia"/>
          <w:szCs w:val="21"/>
        </w:rPr>
        <w:t>全面配合公司审计工作，充分满足了上市公司报告披露时间要求。</w:t>
      </w:r>
    </w:p>
    <w:p w14:paraId="4EA9F278" w14:textId="77777777" w:rsidR="00FD0EE1" w:rsidRPr="008E3FD3" w:rsidRDefault="003873AA"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w:t>
      </w:r>
      <w:r w:rsidR="00FD0EE1" w:rsidRPr="008E3FD3">
        <w:rPr>
          <w:rFonts w:ascii="宋体" w:eastAsia="宋体" w:hAnsi="宋体" w:hint="eastAsia"/>
          <w:szCs w:val="21"/>
        </w:rPr>
        <w:t>制定了详细的审计计划与时间安排，并且能够根据计划安排按时提交各项工作成果。</w:t>
      </w:r>
    </w:p>
    <w:p w14:paraId="68C7D1F0" w14:textId="62AF5AD6" w:rsidR="007D334A" w:rsidRPr="00B57432" w:rsidRDefault="00B57432" w:rsidP="00B57432">
      <w:pPr>
        <w:spacing w:line="360" w:lineRule="auto"/>
        <w:ind w:firstLineChars="200" w:firstLine="422"/>
        <w:jc w:val="left"/>
        <w:rPr>
          <w:rFonts w:ascii="宋体" w:eastAsia="宋体" w:hAnsi="宋体"/>
          <w:b/>
          <w:szCs w:val="21"/>
        </w:rPr>
      </w:pPr>
      <w:r>
        <w:rPr>
          <w:rFonts w:ascii="宋体" w:eastAsia="宋体" w:hAnsi="宋体" w:hint="eastAsia"/>
          <w:b/>
          <w:szCs w:val="21"/>
        </w:rPr>
        <w:t>五、</w:t>
      </w:r>
      <w:r w:rsidR="001F614C" w:rsidRPr="00B57432">
        <w:rPr>
          <w:rFonts w:ascii="宋体" w:eastAsia="宋体" w:hAnsi="宋体" w:hint="eastAsia"/>
          <w:b/>
          <w:szCs w:val="21"/>
        </w:rPr>
        <w:t>人力及其他资源配备</w:t>
      </w:r>
    </w:p>
    <w:p w14:paraId="54CDD70D" w14:textId="3ABC9111" w:rsidR="00FD0EE1" w:rsidRPr="008E3FD3" w:rsidRDefault="003873AA" w:rsidP="00B57432">
      <w:pPr>
        <w:spacing w:line="360" w:lineRule="auto"/>
        <w:ind w:firstLineChars="200" w:firstLine="420"/>
        <w:rPr>
          <w:rFonts w:ascii="宋体" w:eastAsia="宋体" w:hAnsi="宋体"/>
          <w:szCs w:val="21"/>
        </w:rPr>
      </w:pPr>
      <w:r w:rsidRPr="008E3FD3">
        <w:rPr>
          <w:rFonts w:ascii="宋体" w:eastAsia="宋体" w:hAnsi="宋体" w:hint="eastAsia"/>
          <w:szCs w:val="21"/>
        </w:rPr>
        <w:t>立信</w:t>
      </w:r>
      <w:r w:rsidR="00FD0EE1" w:rsidRPr="008E3FD3">
        <w:rPr>
          <w:rFonts w:ascii="宋体" w:eastAsia="宋体" w:hAnsi="宋体" w:hint="eastAsia"/>
          <w:szCs w:val="21"/>
        </w:rPr>
        <w:t>配备专属审计工作团队，核心团队成员均具备多年上市公司审计实务经验并拥有中国注册会计师等专业资质。项目负责合伙人</w:t>
      </w:r>
      <w:r w:rsidR="00C0434E" w:rsidRPr="008E3FD3">
        <w:rPr>
          <w:rFonts w:ascii="宋体" w:eastAsia="宋体" w:hAnsi="宋体" w:hint="eastAsia"/>
          <w:szCs w:val="21"/>
        </w:rPr>
        <w:t>、项目现场负责人均</w:t>
      </w:r>
      <w:r w:rsidR="00FD0EE1" w:rsidRPr="008E3FD3">
        <w:rPr>
          <w:rFonts w:ascii="宋体" w:eastAsia="宋体" w:hAnsi="宋体" w:hint="eastAsia"/>
          <w:szCs w:val="21"/>
        </w:rPr>
        <w:t>由资深审计服务合伙人担任。</w:t>
      </w:r>
    </w:p>
    <w:p w14:paraId="77BFF904" w14:textId="75C9E761" w:rsidR="001F614C" w:rsidRPr="00B57432" w:rsidRDefault="00B57432" w:rsidP="00B57432">
      <w:pPr>
        <w:spacing w:line="360" w:lineRule="auto"/>
        <w:ind w:firstLineChars="200" w:firstLine="422"/>
        <w:jc w:val="left"/>
        <w:rPr>
          <w:rFonts w:ascii="宋体" w:eastAsia="宋体" w:hAnsi="宋体"/>
          <w:b/>
          <w:szCs w:val="21"/>
        </w:rPr>
      </w:pPr>
      <w:r>
        <w:rPr>
          <w:rFonts w:ascii="宋体" w:eastAsia="宋体" w:hAnsi="宋体" w:hint="eastAsia"/>
          <w:b/>
          <w:szCs w:val="21"/>
        </w:rPr>
        <w:lastRenderedPageBreak/>
        <w:t>六、</w:t>
      </w:r>
      <w:r w:rsidR="001F614C" w:rsidRPr="00B57432">
        <w:rPr>
          <w:rFonts w:ascii="宋体" w:eastAsia="宋体" w:hAnsi="宋体" w:hint="eastAsia"/>
          <w:b/>
          <w:szCs w:val="21"/>
        </w:rPr>
        <w:t>信息安全管理</w:t>
      </w:r>
    </w:p>
    <w:p w14:paraId="1AC112DB" w14:textId="77777777" w:rsidR="00FD0EE1" w:rsidRPr="008E3FD3" w:rsidRDefault="00FD0EE1" w:rsidP="000825D9">
      <w:pPr>
        <w:spacing w:line="360" w:lineRule="auto"/>
        <w:ind w:firstLineChars="200" w:firstLine="420"/>
        <w:rPr>
          <w:rFonts w:ascii="宋体" w:eastAsia="宋体" w:hAnsi="宋体"/>
          <w:szCs w:val="21"/>
        </w:rPr>
      </w:pPr>
      <w:r w:rsidRPr="008E3FD3">
        <w:rPr>
          <w:rFonts w:ascii="宋体" w:eastAsia="宋体" w:hAnsi="宋体" w:hint="eastAsia"/>
          <w:szCs w:val="21"/>
        </w:rPr>
        <w:t>公司在聘任合同中明确约定了</w:t>
      </w:r>
      <w:r w:rsidR="003873AA" w:rsidRPr="008E3FD3">
        <w:rPr>
          <w:rFonts w:ascii="宋体" w:eastAsia="宋体" w:hAnsi="宋体" w:hint="eastAsia"/>
          <w:szCs w:val="21"/>
        </w:rPr>
        <w:t>立信</w:t>
      </w:r>
      <w:r w:rsidRPr="008E3FD3">
        <w:rPr>
          <w:rFonts w:ascii="宋体" w:eastAsia="宋体" w:hAnsi="宋体" w:hint="eastAsia"/>
          <w:szCs w:val="21"/>
        </w:rPr>
        <w:t>在信息安全管理中的责任义务。</w:t>
      </w:r>
      <w:r w:rsidR="003873AA" w:rsidRPr="008E3FD3">
        <w:rPr>
          <w:rFonts w:ascii="宋体" w:eastAsia="宋体" w:hAnsi="宋体" w:hint="eastAsia"/>
          <w:szCs w:val="21"/>
        </w:rPr>
        <w:t>立信</w:t>
      </w:r>
      <w:r w:rsidRPr="008E3FD3">
        <w:rPr>
          <w:rFonts w:ascii="宋体" w:eastAsia="宋体" w:hAnsi="宋体" w:hint="eastAsia"/>
          <w:szCs w:val="21"/>
        </w:rPr>
        <w:t>制定了涵盖档案管理、保密制度、突发事件处理等系统性的信息安全控制制度，在制定审计方案和实施审计工作的过程中，也考虑了对敏感信息、保密信息的检查、处理、脱敏和归档管理，并能够有效执行。</w:t>
      </w:r>
    </w:p>
    <w:p w14:paraId="7BFD0D88" w14:textId="388483B3" w:rsidR="001F614C" w:rsidRPr="000825D9" w:rsidRDefault="000825D9" w:rsidP="000825D9">
      <w:pPr>
        <w:spacing w:line="360" w:lineRule="auto"/>
        <w:ind w:firstLineChars="200" w:firstLine="422"/>
        <w:jc w:val="left"/>
        <w:rPr>
          <w:rFonts w:ascii="宋体" w:eastAsia="宋体" w:hAnsi="宋体"/>
          <w:b/>
          <w:szCs w:val="21"/>
        </w:rPr>
      </w:pPr>
      <w:r>
        <w:rPr>
          <w:rFonts w:ascii="宋体" w:eastAsia="宋体" w:hAnsi="宋体" w:hint="eastAsia"/>
          <w:b/>
          <w:szCs w:val="21"/>
        </w:rPr>
        <w:t>七、</w:t>
      </w:r>
      <w:r w:rsidR="001F614C" w:rsidRPr="000825D9">
        <w:rPr>
          <w:rFonts w:ascii="宋体" w:eastAsia="宋体" w:hAnsi="宋体" w:hint="eastAsia"/>
          <w:b/>
          <w:szCs w:val="21"/>
        </w:rPr>
        <w:t>风险承担能力水平</w:t>
      </w:r>
    </w:p>
    <w:p w14:paraId="35FD2087" w14:textId="50E2E239" w:rsidR="007D334A" w:rsidRPr="008E3FD3" w:rsidRDefault="003873AA" w:rsidP="000825D9">
      <w:pPr>
        <w:spacing w:line="360" w:lineRule="auto"/>
        <w:ind w:firstLineChars="200" w:firstLine="420"/>
        <w:rPr>
          <w:rFonts w:ascii="宋体" w:eastAsia="宋体" w:hAnsi="宋体"/>
          <w:szCs w:val="21"/>
        </w:rPr>
      </w:pPr>
      <w:r w:rsidRPr="00CA4A55">
        <w:rPr>
          <w:rFonts w:ascii="宋体" w:eastAsia="宋体" w:hAnsi="宋体" w:hint="eastAsia"/>
          <w:szCs w:val="21"/>
        </w:rPr>
        <w:t>立信</w:t>
      </w:r>
      <w:r w:rsidR="00FD0EE1" w:rsidRPr="00CA4A55">
        <w:rPr>
          <w:rFonts w:ascii="宋体" w:eastAsia="宋体" w:hAnsi="宋体" w:hint="eastAsia"/>
          <w:szCs w:val="21"/>
        </w:rPr>
        <w:t>具有良好的投资者保护能力。按照相关法律法规的规定，</w:t>
      </w:r>
      <w:r w:rsidR="002F7D6C" w:rsidRPr="00CA4A55">
        <w:rPr>
          <w:rFonts w:ascii="宋体" w:eastAsia="宋体" w:hAnsi="宋体" w:hint="eastAsia"/>
          <w:szCs w:val="21"/>
        </w:rPr>
        <w:t>截</w:t>
      </w:r>
      <w:r w:rsidR="00A42667" w:rsidRPr="00CA4A55">
        <w:rPr>
          <w:rFonts w:ascii="宋体" w:eastAsia="宋体" w:hAnsi="宋体" w:hint="eastAsia"/>
          <w:szCs w:val="21"/>
        </w:rPr>
        <w:t>至</w:t>
      </w:r>
      <w:r w:rsidR="002F7D6C" w:rsidRPr="00CA4A55">
        <w:rPr>
          <w:rFonts w:ascii="宋体" w:eastAsia="宋体" w:hAnsi="宋体" w:hint="eastAsia"/>
          <w:szCs w:val="21"/>
        </w:rPr>
        <w:t>2</w:t>
      </w:r>
      <w:r w:rsidR="002F7D6C" w:rsidRPr="00CA4A55">
        <w:rPr>
          <w:rFonts w:ascii="宋体" w:eastAsia="宋体" w:hAnsi="宋体"/>
          <w:szCs w:val="21"/>
        </w:rPr>
        <w:t>02</w:t>
      </w:r>
      <w:r w:rsidR="00C7517E" w:rsidRPr="00CA4A55">
        <w:rPr>
          <w:rFonts w:ascii="宋体" w:eastAsia="宋体" w:hAnsi="宋体"/>
          <w:szCs w:val="21"/>
        </w:rPr>
        <w:t>4</w:t>
      </w:r>
      <w:r w:rsidR="002F7D6C" w:rsidRPr="00CA4A55">
        <w:rPr>
          <w:rFonts w:ascii="宋体" w:eastAsia="宋体" w:hAnsi="宋体" w:hint="eastAsia"/>
          <w:szCs w:val="21"/>
        </w:rPr>
        <w:t>年末，</w:t>
      </w:r>
      <w:r w:rsidRPr="00CA4A55">
        <w:rPr>
          <w:rFonts w:ascii="宋体" w:eastAsia="宋体" w:hAnsi="宋体" w:hint="eastAsia"/>
          <w:szCs w:val="21"/>
        </w:rPr>
        <w:t>立信</w:t>
      </w:r>
      <w:r w:rsidR="00C778CB" w:rsidRPr="00CA4A55">
        <w:rPr>
          <w:rFonts w:ascii="宋体" w:eastAsia="宋体" w:hAnsi="宋体" w:hint="eastAsia"/>
          <w:szCs w:val="21"/>
        </w:rPr>
        <w:t>已提取职业风险基金</w:t>
      </w:r>
      <w:r w:rsidR="000825D9">
        <w:rPr>
          <w:rFonts w:ascii="宋体" w:eastAsia="宋体" w:hAnsi="宋体"/>
          <w:szCs w:val="21"/>
        </w:rPr>
        <w:t>1.71</w:t>
      </w:r>
      <w:r w:rsidR="00C778CB" w:rsidRPr="00CA4A55">
        <w:rPr>
          <w:rFonts w:ascii="宋体" w:eastAsia="宋体" w:hAnsi="宋体" w:hint="eastAsia"/>
          <w:szCs w:val="21"/>
        </w:rPr>
        <w:t>亿元</w:t>
      </w:r>
      <w:r w:rsidR="00C778CB" w:rsidRPr="00CA4A55">
        <w:rPr>
          <w:rFonts w:ascii="宋体" w:eastAsia="宋体" w:hAnsi="宋体" w:hint="eastAsia"/>
          <w:b/>
          <w:szCs w:val="21"/>
        </w:rPr>
        <w:t>，</w:t>
      </w:r>
      <w:r w:rsidR="00FD0EE1" w:rsidRPr="00CA4A55">
        <w:rPr>
          <w:rFonts w:ascii="宋体" w:eastAsia="宋体" w:hAnsi="宋体" w:hint="eastAsia"/>
          <w:szCs w:val="21"/>
        </w:rPr>
        <w:t>购买</w:t>
      </w:r>
      <w:r w:rsidR="00C66F9A">
        <w:rPr>
          <w:rFonts w:ascii="宋体" w:eastAsia="宋体" w:hAnsi="宋体" w:hint="eastAsia"/>
          <w:szCs w:val="21"/>
        </w:rPr>
        <w:t>的</w:t>
      </w:r>
      <w:r w:rsidR="00FD0EE1" w:rsidRPr="00CA4A55">
        <w:rPr>
          <w:rFonts w:ascii="宋体" w:eastAsia="宋体" w:hAnsi="宋体" w:hint="eastAsia"/>
          <w:szCs w:val="21"/>
        </w:rPr>
        <w:t>职业保险累计赔偿限额</w:t>
      </w:r>
      <w:r w:rsidR="00C66F9A">
        <w:rPr>
          <w:rFonts w:ascii="宋体" w:eastAsia="宋体" w:hAnsi="宋体" w:hint="eastAsia"/>
          <w:szCs w:val="21"/>
        </w:rPr>
        <w:t>为</w:t>
      </w:r>
      <w:r w:rsidR="00E427FA" w:rsidRPr="00CA4A55">
        <w:rPr>
          <w:rFonts w:ascii="宋体" w:eastAsia="宋体" w:hAnsi="宋体"/>
          <w:szCs w:val="21"/>
        </w:rPr>
        <w:t>10</w:t>
      </w:r>
      <w:r w:rsidR="007A5BA2" w:rsidRPr="00CA4A55">
        <w:rPr>
          <w:rFonts w:ascii="宋体" w:eastAsia="宋体" w:hAnsi="宋体"/>
          <w:szCs w:val="21"/>
        </w:rPr>
        <w:t>.50</w:t>
      </w:r>
      <w:r w:rsidR="007A5BA2" w:rsidRPr="00CA4A55">
        <w:rPr>
          <w:rFonts w:ascii="宋体" w:eastAsia="宋体" w:hAnsi="宋体" w:hint="eastAsia"/>
          <w:szCs w:val="21"/>
        </w:rPr>
        <w:t>亿元</w:t>
      </w:r>
      <w:r w:rsidR="00FD0EE1" w:rsidRPr="00CA4A55">
        <w:rPr>
          <w:rFonts w:ascii="宋体" w:eastAsia="宋体" w:hAnsi="宋体" w:hint="eastAsia"/>
          <w:szCs w:val="21"/>
        </w:rPr>
        <w:t>，能够覆盖因审计失败导致的民事赔偿责任，符合</w:t>
      </w:r>
      <w:r w:rsidR="0098402E" w:rsidRPr="00CA4A55">
        <w:rPr>
          <w:rFonts w:ascii="宋体" w:eastAsia="宋体" w:hAnsi="宋体" w:hint="eastAsia"/>
          <w:szCs w:val="21"/>
        </w:rPr>
        <w:t>财政部关于《会计师事务所职业风险基金管理办法》</w:t>
      </w:r>
      <w:r w:rsidR="00D96C90" w:rsidRPr="00CA4A55">
        <w:rPr>
          <w:rFonts w:ascii="宋体" w:eastAsia="宋体" w:hAnsi="宋体" w:hint="eastAsia"/>
          <w:szCs w:val="21"/>
        </w:rPr>
        <w:t>等文件的</w:t>
      </w:r>
      <w:r w:rsidR="00FD0EE1" w:rsidRPr="00CA4A55">
        <w:rPr>
          <w:rFonts w:ascii="宋体" w:eastAsia="宋体" w:hAnsi="宋体" w:hint="eastAsia"/>
          <w:szCs w:val="21"/>
        </w:rPr>
        <w:t>相关规定。</w:t>
      </w:r>
    </w:p>
    <w:p w14:paraId="4AD5BA47" w14:textId="051CA54D" w:rsidR="00FD0EE1" w:rsidRDefault="00B04A10" w:rsidP="000825D9">
      <w:pPr>
        <w:spacing w:line="360" w:lineRule="auto"/>
        <w:ind w:firstLineChars="200" w:firstLine="420"/>
        <w:rPr>
          <w:rFonts w:ascii="宋体" w:eastAsia="宋体" w:hAnsi="宋体"/>
          <w:szCs w:val="21"/>
        </w:rPr>
      </w:pPr>
      <w:r>
        <w:rPr>
          <w:rFonts w:ascii="宋体" w:eastAsia="宋体" w:hAnsi="宋体" w:hint="eastAsia"/>
          <w:szCs w:val="21"/>
        </w:rPr>
        <w:t>综上，公司对立信的专业资质、业务能力、诚信状况、独立性、过往审计工作情况及执业质量等进行了严格核查和评价，认为其具备为公司提供审计工作的资质和专业能力，能够满足本公司审计工作的要求。</w:t>
      </w:r>
    </w:p>
    <w:p w14:paraId="36FE2070" w14:textId="4E2F3BA2" w:rsidR="000825D9" w:rsidRDefault="000825D9" w:rsidP="000825D9">
      <w:pPr>
        <w:spacing w:line="360" w:lineRule="auto"/>
        <w:rPr>
          <w:rFonts w:ascii="宋体" w:eastAsia="宋体" w:hAnsi="宋体"/>
          <w:szCs w:val="21"/>
        </w:rPr>
      </w:pPr>
    </w:p>
    <w:p w14:paraId="050F929E" w14:textId="77777777" w:rsidR="000825D9" w:rsidRPr="008E3FD3" w:rsidRDefault="000825D9" w:rsidP="000825D9">
      <w:pPr>
        <w:spacing w:line="360" w:lineRule="auto"/>
        <w:rPr>
          <w:rFonts w:ascii="宋体" w:eastAsia="宋体" w:hAnsi="宋体"/>
          <w:szCs w:val="21"/>
        </w:rPr>
      </w:pPr>
    </w:p>
    <w:p w14:paraId="40963472" w14:textId="42EB2D95" w:rsidR="008A7437" w:rsidRPr="008E3FD3" w:rsidRDefault="00683C6A" w:rsidP="000825D9">
      <w:pPr>
        <w:pStyle w:val="Default"/>
        <w:spacing w:line="360" w:lineRule="auto"/>
        <w:jc w:val="right"/>
        <w:rPr>
          <w:rFonts w:hAnsi="宋体" w:cstheme="minorBidi"/>
          <w:color w:val="auto"/>
          <w:kern w:val="2"/>
          <w:sz w:val="21"/>
          <w:szCs w:val="21"/>
        </w:rPr>
      </w:pPr>
      <w:r w:rsidRPr="008E3FD3">
        <w:rPr>
          <w:rFonts w:hAnsi="宋体" w:cstheme="minorBidi" w:hint="eastAsia"/>
          <w:color w:val="auto"/>
          <w:kern w:val="2"/>
          <w:sz w:val="21"/>
          <w:szCs w:val="21"/>
        </w:rPr>
        <w:t>倍加洁集团</w:t>
      </w:r>
      <w:r w:rsidR="007D334A" w:rsidRPr="008E3FD3">
        <w:rPr>
          <w:rFonts w:hAnsi="宋体" w:cstheme="minorBidi" w:hint="eastAsia"/>
          <w:color w:val="auto"/>
          <w:kern w:val="2"/>
          <w:sz w:val="21"/>
          <w:szCs w:val="21"/>
        </w:rPr>
        <w:t>股份有限公司</w:t>
      </w:r>
      <w:r w:rsidR="008A7437" w:rsidRPr="008E3FD3">
        <w:rPr>
          <w:rFonts w:hAnsi="宋体" w:cstheme="minorBidi" w:hint="eastAsia"/>
          <w:color w:val="auto"/>
          <w:kern w:val="2"/>
          <w:sz w:val="21"/>
          <w:szCs w:val="21"/>
        </w:rPr>
        <w:t>董事会</w:t>
      </w:r>
    </w:p>
    <w:p w14:paraId="5D66E29D" w14:textId="34471813" w:rsidR="00EA750E" w:rsidRPr="007A767B" w:rsidRDefault="007D334A" w:rsidP="00092869">
      <w:pPr>
        <w:pStyle w:val="a3"/>
        <w:spacing w:line="360" w:lineRule="auto"/>
        <w:ind w:left="830" w:firstLineChars="0" w:firstLine="0"/>
        <w:jc w:val="right"/>
        <w:rPr>
          <w:rFonts w:ascii="宋体" w:eastAsia="宋体" w:hAnsi="宋体"/>
          <w:b/>
          <w:szCs w:val="21"/>
        </w:rPr>
      </w:pPr>
      <w:r w:rsidRPr="008E3FD3">
        <w:rPr>
          <w:rFonts w:ascii="宋体" w:eastAsia="宋体" w:hAnsi="宋体"/>
          <w:szCs w:val="21"/>
        </w:rPr>
        <w:t>202</w:t>
      </w:r>
      <w:r w:rsidR="00A4685E">
        <w:rPr>
          <w:rFonts w:ascii="宋体" w:eastAsia="宋体" w:hAnsi="宋体"/>
          <w:szCs w:val="21"/>
        </w:rPr>
        <w:t>5</w:t>
      </w:r>
      <w:r w:rsidRPr="008E3FD3">
        <w:rPr>
          <w:rFonts w:ascii="宋体" w:eastAsia="宋体" w:hAnsi="宋体" w:hint="eastAsia"/>
          <w:szCs w:val="21"/>
        </w:rPr>
        <w:t>年</w:t>
      </w:r>
      <w:r w:rsidR="00E83FD1" w:rsidRPr="008E3FD3">
        <w:rPr>
          <w:rFonts w:ascii="宋体" w:eastAsia="宋体" w:hAnsi="宋体"/>
          <w:szCs w:val="21"/>
        </w:rPr>
        <w:t>4</w:t>
      </w:r>
      <w:r w:rsidRPr="008E3FD3">
        <w:rPr>
          <w:rFonts w:ascii="宋体" w:eastAsia="宋体" w:hAnsi="宋体" w:hint="eastAsia"/>
          <w:szCs w:val="21"/>
        </w:rPr>
        <w:t>月</w:t>
      </w:r>
      <w:r w:rsidR="00B34950" w:rsidRPr="008E3FD3">
        <w:rPr>
          <w:rFonts w:ascii="宋体" w:eastAsia="宋体" w:hAnsi="宋体"/>
          <w:szCs w:val="21"/>
        </w:rPr>
        <w:t>2</w:t>
      </w:r>
      <w:r w:rsidR="005D5317">
        <w:rPr>
          <w:rFonts w:ascii="宋体" w:eastAsia="宋体" w:hAnsi="宋体"/>
          <w:szCs w:val="21"/>
        </w:rPr>
        <w:t>9</w:t>
      </w:r>
      <w:r w:rsidRPr="008E3FD3">
        <w:rPr>
          <w:rFonts w:ascii="宋体" w:eastAsia="宋体" w:hAnsi="宋体" w:hint="eastAsia"/>
          <w:szCs w:val="21"/>
        </w:rPr>
        <w:t>日</w:t>
      </w:r>
    </w:p>
    <w:sectPr w:rsidR="00EA750E" w:rsidRPr="007A767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EDD4" w16cex:dateUtc="2024-04-0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B02DF" w16cid:durableId="29BFEBFF"/>
  <w16cid:commentId w16cid:paraId="285E454F" w16cid:durableId="29BFEC00"/>
  <w16cid:commentId w16cid:paraId="728D3638" w16cid:durableId="29BFEDD4"/>
  <w16cid:commentId w16cid:paraId="25059E55" w16cid:durableId="29BFEC01"/>
  <w16cid:commentId w16cid:paraId="366A6983" w16cid:durableId="29BFEC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CD0A8" w14:textId="77777777" w:rsidR="00F77CC4" w:rsidRDefault="00F77CC4" w:rsidP="00B11274">
      <w:r>
        <w:separator/>
      </w:r>
    </w:p>
  </w:endnote>
  <w:endnote w:type="continuationSeparator" w:id="0">
    <w:p w14:paraId="23FBB47A" w14:textId="77777777" w:rsidR="00F77CC4" w:rsidRDefault="00F77CC4" w:rsidP="00B1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36406" w14:textId="77777777" w:rsidR="00F77CC4" w:rsidRDefault="00F77CC4" w:rsidP="00B11274">
      <w:r>
        <w:separator/>
      </w:r>
    </w:p>
  </w:footnote>
  <w:footnote w:type="continuationSeparator" w:id="0">
    <w:p w14:paraId="677E7B5D" w14:textId="77777777" w:rsidR="00F77CC4" w:rsidRDefault="00F77CC4" w:rsidP="00B11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38B"/>
    <w:multiLevelType w:val="hybridMultilevel"/>
    <w:tmpl w:val="4E743768"/>
    <w:lvl w:ilvl="0" w:tplc="3BC69C36">
      <w:start w:val="1"/>
      <w:numFmt w:val="japaneseCounting"/>
      <w:lvlText w:val="%1、"/>
      <w:lvlJc w:val="left"/>
      <w:pPr>
        <w:ind w:left="570" w:hanging="4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 w15:restartNumberingAfterBreak="0">
    <w:nsid w:val="62720431"/>
    <w:multiLevelType w:val="hybridMultilevel"/>
    <w:tmpl w:val="8C587B36"/>
    <w:lvl w:ilvl="0" w:tplc="B8FE939E">
      <w:start w:val="1"/>
      <w:numFmt w:val="japaneseCounting"/>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8"/>
    <w:rsid w:val="00003596"/>
    <w:rsid w:val="00011F97"/>
    <w:rsid w:val="00013077"/>
    <w:rsid w:val="000366F8"/>
    <w:rsid w:val="00042A46"/>
    <w:rsid w:val="000825D9"/>
    <w:rsid w:val="00086843"/>
    <w:rsid w:val="00092869"/>
    <w:rsid w:val="000E43D8"/>
    <w:rsid w:val="000F3556"/>
    <w:rsid w:val="00107B3B"/>
    <w:rsid w:val="00117AA6"/>
    <w:rsid w:val="0012603F"/>
    <w:rsid w:val="001620B5"/>
    <w:rsid w:val="0018081D"/>
    <w:rsid w:val="0019015A"/>
    <w:rsid w:val="001904A1"/>
    <w:rsid w:val="001B3314"/>
    <w:rsid w:val="001B47A2"/>
    <w:rsid w:val="001E13B9"/>
    <w:rsid w:val="001E64A5"/>
    <w:rsid w:val="001F614C"/>
    <w:rsid w:val="001F6F42"/>
    <w:rsid w:val="00203BFE"/>
    <w:rsid w:val="00213718"/>
    <w:rsid w:val="0022049A"/>
    <w:rsid w:val="00234F2B"/>
    <w:rsid w:val="00276C14"/>
    <w:rsid w:val="002A070D"/>
    <w:rsid w:val="002C48CB"/>
    <w:rsid w:val="002D5825"/>
    <w:rsid w:val="002D61D9"/>
    <w:rsid w:val="002F34DA"/>
    <w:rsid w:val="002F7D6C"/>
    <w:rsid w:val="00301089"/>
    <w:rsid w:val="003052A3"/>
    <w:rsid w:val="00312739"/>
    <w:rsid w:val="00314D36"/>
    <w:rsid w:val="0032673A"/>
    <w:rsid w:val="00340E20"/>
    <w:rsid w:val="003701A1"/>
    <w:rsid w:val="00373C70"/>
    <w:rsid w:val="003827FC"/>
    <w:rsid w:val="003873AA"/>
    <w:rsid w:val="003D1D71"/>
    <w:rsid w:val="003D216A"/>
    <w:rsid w:val="003D298D"/>
    <w:rsid w:val="0040110D"/>
    <w:rsid w:val="00414F18"/>
    <w:rsid w:val="00423884"/>
    <w:rsid w:val="00432EE2"/>
    <w:rsid w:val="00433E64"/>
    <w:rsid w:val="0043425C"/>
    <w:rsid w:val="00452150"/>
    <w:rsid w:val="00453D86"/>
    <w:rsid w:val="0046073E"/>
    <w:rsid w:val="00462A88"/>
    <w:rsid w:val="00477702"/>
    <w:rsid w:val="004801F8"/>
    <w:rsid w:val="004950C3"/>
    <w:rsid w:val="004A2469"/>
    <w:rsid w:val="004B17A3"/>
    <w:rsid w:val="004B3F79"/>
    <w:rsid w:val="004C5EC6"/>
    <w:rsid w:val="00506D5E"/>
    <w:rsid w:val="00511E4E"/>
    <w:rsid w:val="00520915"/>
    <w:rsid w:val="0054652D"/>
    <w:rsid w:val="00554F21"/>
    <w:rsid w:val="00572058"/>
    <w:rsid w:val="00594CF4"/>
    <w:rsid w:val="005A4172"/>
    <w:rsid w:val="005B14A4"/>
    <w:rsid w:val="005C259D"/>
    <w:rsid w:val="005D1E80"/>
    <w:rsid w:val="005D5317"/>
    <w:rsid w:val="005E4D3B"/>
    <w:rsid w:val="005F2CED"/>
    <w:rsid w:val="00600694"/>
    <w:rsid w:val="00605905"/>
    <w:rsid w:val="006103BB"/>
    <w:rsid w:val="00612E73"/>
    <w:rsid w:val="006138EC"/>
    <w:rsid w:val="00631130"/>
    <w:rsid w:val="00652361"/>
    <w:rsid w:val="00660FC2"/>
    <w:rsid w:val="00683C6A"/>
    <w:rsid w:val="0069191B"/>
    <w:rsid w:val="006D63F0"/>
    <w:rsid w:val="006E7A84"/>
    <w:rsid w:val="006F776C"/>
    <w:rsid w:val="00703F82"/>
    <w:rsid w:val="00707ABE"/>
    <w:rsid w:val="007161FB"/>
    <w:rsid w:val="007260CC"/>
    <w:rsid w:val="007351A7"/>
    <w:rsid w:val="00737B77"/>
    <w:rsid w:val="00743C11"/>
    <w:rsid w:val="0074527F"/>
    <w:rsid w:val="00765A33"/>
    <w:rsid w:val="00771F4B"/>
    <w:rsid w:val="007808AC"/>
    <w:rsid w:val="00795E6D"/>
    <w:rsid w:val="007A1BF7"/>
    <w:rsid w:val="007A29BB"/>
    <w:rsid w:val="007A5BA2"/>
    <w:rsid w:val="007A6D9B"/>
    <w:rsid w:val="007A767B"/>
    <w:rsid w:val="007B1603"/>
    <w:rsid w:val="007B2126"/>
    <w:rsid w:val="007D334A"/>
    <w:rsid w:val="00804397"/>
    <w:rsid w:val="0084486C"/>
    <w:rsid w:val="00845FA6"/>
    <w:rsid w:val="00852E35"/>
    <w:rsid w:val="00861EDF"/>
    <w:rsid w:val="008674D1"/>
    <w:rsid w:val="0087235E"/>
    <w:rsid w:val="008853BA"/>
    <w:rsid w:val="00887A88"/>
    <w:rsid w:val="008942FD"/>
    <w:rsid w:val="00894D18"/>
    <w:rsid w:val="008A6753"/>
    <w:rsid w:val="008A7437"/>
    <w:rsid w:val="008B587F"/>
    <w:rsid w:val="008C704B"/>
    <w:rsid w:val="008C71E9"/>
    <w:rsid w:val="008D2242"/>
    <w:rsid w:val="008E3FD3"/>
    <w:rsid w:val="00934704"/>
    <w:rsid w:val="0094760D"/>
    <w:rsid w:val="009552D8"/>
    <w:rsid w:val="00971BEA"/>
    <w:rsid w:val="00977709"/>
    <w:rsid w:val="00982622"/>
    <w:rsid w:val="0098402E"/>
    <w:rsid w:val="00987105"/>
    <w:rsid w:val="00993A8B"/>
    <w:rsid w:val="009976DB"/>
    <w:rsid w:val="00997AAA"/>
    <w:rsid w:val="009A6C23"/>
    <w:rsid w:val="009E1E98"/>
    <w:rsid w:val="009F3785"/>
    <w:rsid w:val="009F67F7"/>
    <w:rsid w:val="009F71F7"/>
    <w:rsid w:val="009F7B7B"/>
    <w:rsid w:val="00A0205B"/>
    <w:rsid w:val="00A02BAD"/>
    <w:rsid w:val="00A22F17"/>
    <w:rsid w:val="00A230A1"/>
    <w:rsid w:val="00A42667"/>
    <w:rsid w:val="00A4685E"/>
    <w:rsid w:val="00A51750"/>
    <w:rsid w:val="00A572D4"/>
    <w:rsid w:val="00A658ED"/>
    <w:rsid w:val="00A8357F"/>
    <w:rsid w:val="00AA282E"/>
    <w:rsid w:val="00AB265A"/>
    <w:rsid w:val="00AB3F82"/>
    <w:rsid w:val="00AC1CDB"/>
    <w:rsid w:val="00AD35BF"/>
    <w:rsid w:val="00AE05C8"/>
    <w:rsid w:val="00AF395B"/>
    <w:rsid w:val="00AF5601"/>
    <w:rsid w:val="00B04A10"/>
    <w:rsid w:val="00B0669B"/>
    <w:rsid w:val="00B11274"/>
    <w:rsid w:val="00B13A1B"/>
    <w:rsid w:val="00B21BB5"/>
    <w:rsid w:val="00B34950"/>
    <w:rsid w:val="00B363CD"/>
    <w:rsid w:val="00B57432"/>
    <w:rsid w:val="00B65EE5"/>
    <w:rsid w:val="00B71333"/>
    <w:rsid w:val="00B74AD7"/>
    <w:rsid w:val="00B81C8E"/>
    <w:rsid w:val="00B909CA"/>
    <w:rsid w:val="00B95587"/>
    <w:rsid w:val="00BF7555"/>
    <w:rsid w:val="00C0434E"/>
    <w:rsid w:val="00C17D5C"/>
    <w:rsid w:val="00C24346"/>
    <w:rsid w:val="00C27C65"/>
    <w:rsid w:val="00C449E2"/>
    <w:rsid w:val="00C45FC0"/>
    <w:rsid w:val="00C66F9A"/>
    <w:rsid w:val="00C7517E"/>
    <w:rsid w:val="00C778CB"/>
    <w:rsid w:val="00C815FA"/>
    <w:rsid w:val="00C90B69"/>
    <w:rsid w:val="00CA4A55"/>
    <w:rsid w:val="00CB057D"/>
    <w:rsid w:val="00CB72FF"/>
    <w:rsid w:val="00CD32AE"/>
    <w:rsid w:val="00CF398C"/>
    <w:rsid w:val="00D00014"/>
    <w:rsid w:val="00D06D85"/>
    <w:rsid w:val="00D10023"/>
    <w:rsid w:val="00D1249C"/>
    <w:rsid w:val="00D13C9D"/>
    <w:rsid w:val="00D17E81"/>
    <w:rsid w:val="00D43EC4"/>
    <w:rsid w:val="00D7400B"/>
    <w:rsid w:val="00D96C90"/>
    <w:rsid w:val="00DA1612"/>
    <w:rsid w:val="00DB7A4B"/>
    <w:rsid w:val="00DC7C39"/>
    <w:rsid w:val="00DF6273"/>
    <w:rsid w:val="00E10914"/>
    <w:rsid w:val="00E26194"/>
    <w:rsid w:val="00E427FA"/>
    <w:rsid w:val="00E513EE"/>
    <w:rsid w:val="00E64082"/>
    <w:rsid w:val="00E836F7"/>
    <w:rsid w:val="00E83FD1"/>
    <w:rsid w:val="00E91D6B"/>
    <w:rsid w:val="00E9609F"/>
    <w:rsid w:val="00EA410B"/>
    <w:rsid w:val="00EA554B"/>
    <w:rsid w:val="00EA750E"/>
    <w:rsid w:val="00EC3A93"/>
    <w:rsid w:val="00ED6CF5"/>
    <w:rsid w:val="00EE454E"/>
    <w:rsid w:val="00EE5AEF"/>
    <w:rsid w:val="00F00326"/>
    <w:rsid w:val="00F22F8C"/>
    <w:rsid w:val="00F35B48"/>
    <w:rsid w:val="00F418A5"/>
    <w:rsid w:val="00F43A0B"/>
    <w:rsid w:val="00F67C97"/>
    <w:rsid w:val="00F73577"/>
    <w:rsid w:val="00F77CC4"/>
    <w:rsid w:val="00F80757"/>
    <w:rsid w:val="00F84FB1"/>
    <w:rsid w:val="00F87194"/>
    <w:rsid w:val="00FB51E3"/>
    <w:rsid w:val="00FD0EE1"/>
    <w:rsid w:val="00FE0A2A"/>
    <w:rsid w:val="00FE4F7A"/>
    <w:rsid w:val="00FE6E1A"/>
    <w:rsid w:val="00FF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11856"/>
  <w15:chartTrackingRefBased/>
  <w15:docId w15:val="{D86ED862-FC75-4883-A2E3-9FBB604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652D"/>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54652D"/>
    <w:pPr>
      <w:ind w:firstLineChars="200" w:firstLine="420"/>
    </w:pPr>
  </w:style>
  <w:style w:type="paragraph" w:styleId="a4">
    <w:name w:val="header"/>
    <w:basedOn w:val="a"/>
    <w:link w:val="a5"/>
    <w:uiPriority w:val="99"/>
    <w:unhideWhenUsed/>
    <w:rsid w:val="00B112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1274"/>
    <w:rPr>
      <w:sz w:val="18"/>
      <w:szCs w:val="18"/>
    </w:rPr>
  </w:style>
  <w:style w:type="paragraph" w:styleId="a6">
    <w:name w:val="footer"/>
    <w:basedOn w:val="a"/>
    <w:link w:val="a7"/>
    <w:uiPriority w:val="99"/>
    <w:unhideWhenUsed/>
    <w:rsid w:val="00B11274"/>
    <w:pPr>
      <w:tabs>
        <w:tab w:val="center" w:pos="4153"/>
        <w:tab w:val="right" w:pos="8306"/>
      </w:tabs>
      <w:snapToGrid w:val="0"/>
      <w:jc w:val="left"/>
    </w:pPr>
    <w:rPr>
      <w:sz w:val="18"/>
      <w:szCs w:val="18"/>
    </w:rPr>
  </w:style>
  <w:style w:type="character" w:customStyle="1" w:styleId="a7">
    <w:name w:val="页脚 字符"/>
    <w:basedOn w:val="a0"/>
    <w:link w:val="a6"/>
    <w:uiPriority w:val="99"/>
    <w:rsid w:val="00B11274"/>
    <w:rPr>
      <w:sz w:val="18"/>
      <w:szCs w:val="18"/>
    </w:rPr>
  </w:style>
  <w:style w:type="paragraph" w:styleId="a8">
    <w:name w:val="Date"/>
    <w:basedOn w:val="a"/>
    <w:next w:val="a"/>
    <w:link w:val="a9"/>
    <w:uiPriority w:val="99"/>
    <w:semiHidden/>
    <w:unhideWhenUsed/>
    <w:rsid w:val="00F418A5"/>
    <w:pPr>
      <w:ind w:leftChars="2500" w:left="100"/>
    </w:pPr>
  </w:style>
  <w:style w:type="character" w:customStyle="1" w:styleId="a9">
    <w:name w:val="日期 字符"/>
    <w:basedOn w:val="a0"/>
    <w:link w:val="a8"/>
    <w:uiPriority w:val="99"/>
    <w:semiHidden/>
    <w:rsid w:val="00F418A5"/>
  </w:style>
  <w:style w:type="character" w:styleId="aa">
    <w:name w:val="annotation reference"/>
    <w:basedOn w:val="a0"/>
    <w:uiPriority w:val="99"/>
    <w:semiHidden/>
    <w:unhideWhenUsed/>
    <w:rsid w:val="003827FC"/>
    <w:rPr>
      <w:sz w:val="21"/>
      <w:szCs w:val="21"/>
    </w:rPr>
  </w:style>
  <w:style w:type="paragraph" w:styleId="ab">
    <w:name w:val="annotation text"/>
    <w:basedOn w:val="a"/>
    <w:link w:val="ac"/>
    <w:uiPriority w:val="99"/>
    <w:unhideWhenUsed/>
    <w:rsid w:val="003827FC"/>
    <w:pPr>
      <w:jc w:val="left"/>
    </w:pPr>
  </w:style>
  <w:style w:type="character" w:customStyle="1" w:styleId="ac">
    <w:name w:val="批注文字 字符"/>
    <w:basedOn w:val="a0"/>
    <w:link w:val="ab"/>
    <w:uiPriority w:val="99"/>
    <w:rsid w:val="003827FC"/>
  </w:style>
  <w:style w:type="paragraph" w:styleId="ad">
    <w:name w:val="annotation subject"/>
    <w:basedOn w:val="ab"/>
    <w:next w:val="ab"/>
    <w:link w:val="ae"/>
    <w:uiPriority w:val="99"/>
    <w:semiHidden/>
    <w:unhideWhenUsed/>
    <w:rsid w:val="003827FC"/>
    <w:rPr>
      <w:b/>
      <w:bCs/>
    </w:rPr>
  </w:style>
  <w:style w:type="character" w:customStyle="1" w:styleId="ae">
    <w:name w:val="批注主题 字符"/>
    <w:basedOn w:val="ac"/>
    <w:link w:val="ad"/>
    <w:uiPriority w:val="99"/>
    <w:semiHidden/>
    <w:rsid w:val="003827FC"/>
    <w:rPr>
      <w:b/>
      <w:bCs/>
    </w:rPr>
  </w:style>
  <w:style w:type="paragraph" w:styleId="af">
    <w:name w:val="Balloon Text"/>
    <w:basedOn w:val="a"/>
    <w:link w:val="af0"/>
    <w:uiPriority w:val="99"/>
    <w:semiHidden/>
    <w:unhideWhenUsed/>
    <w:rsid w:val="003827FC"/>
    <w:rPr>
      <w:sz w:val="18"/>
      <w:szCs w:val="18"/>
    </w:rPr>
  </w:style>
  <w:style w:type="character" w:customStyle="1" w:styleId="af0">
    <w:name w:val="批注框文本 字符"/>
    <w:basedOn w:val="a0"/>
    <w:link w:val="af"/>
    <w:uiPriority w:val="99"/>
    <w:semiHidden/>
    <w:rsid w:val="003827FC"/>
    <w:rPr>
      <w:sz w:val="18"/>
      <w:szCs w:val="18"/>
    </w:rPr>
  </w:style>
  <w:style w:type="paragraph" w:styleId="af1">
    <w:name w:val="Revision"/>
    <w:hidden/>
    <w:uiPriority w:val="99"/>
    <w:semiHidden/>
    <w:rsid w:val="0073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4FA8-FDC7-4CC2-9097-D26B1E44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bym</dc:creator>
  <cp:keywords/>
  <dc:description/>
  <cp:lastModifiedBy>孙彬</cp:lastModifiedBy>
  <cp:revision>79</cp:revision>
  <dcterms:created xsi:type="dcterms:W3CDTF">2025-04-01T07:47:00Z</dcterms:created>
  <dcterms:modified xsi:type="dcterms:W3CDTF">2025-04-27T11:58:00Z</dcterms:modified>
</cp:coreProperties>
</file>