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A721" w14:textId="27C6336E" w:rsidR="008319AC" w:rsidRPr="003C09D7" w:rsidRDefault="008319AC" w:rsidP="008319AC">
      <w:pPr>
        <w:adjustRightInd w:val="0"/>
        <w:snapToGrid w:val="0"/>
        <w:spacing w:line="560" w:lineRule="exact"/>
        <w:rPr>
          <w:rFonts w:ascii="宋体" w:hAnsi="宋体"/>
          <w:sz w:val="24"/>
        </w:rPr>
      </w:pPr>
      <w:r w:rsidRPr="003C09D7">
        <w:rPr>
          <w:rFonts w:ascii="宋体" w:hAnsi="宋体"/>
          <w:sz w:val="24"/>
        </w:rPr>
        <w:t xml:space="preserve">证券代码：603059     </w:t>
      </w:r>
      <w:r w:rsidR="008B087D">
        <w:rPr>
          <w:rFonts w:ascii="宋体" w:hAnsi="宋体"/>
          <w:sz w:val="24"/>
        </w:rPr>
        <w:t xml:space="preserve">     </w:t>
      </w:r>
      <w:r w:rsidRPr="003C09D7">
        <w:rPr>
          <w:rFonts w:ascii="宋体" w:hAnsi="宋体"/>
          <w:sz w:val="24"/>
        </w:rPr>
        <w:t>证券简称：</w:t>
      </w:r>
      <w:r w:rsidRPr="003C09D7">
        <w:rPr>
          <w:rFonts w:ascii="宋体" w:hAnsi="宋体" w:hint="eastAsia"/>
          <w:sz w:val="24"/>
        </w:rPr>
        <w:t>倍加洁</w:t>
      </w:r>
      <w:r w:rsidRPr="003C09D7">
        <w:rPr>
          <w:rFonts w:ascii="宋体" w:hAnsi="宋体"/>
          <w:sz w:val="24"/>
        </w:rPr>
        <w:t xml:space="preserve">    </w:t>
      </w:r>
      <w:r w:rsidR="008B087D">
        <w:rPr>
          <w:rFonts w:ascii="宋体" w:hAnsi="宋体"/>
          <w:sz w:val="24"/>
        </w:rPr>
        <w:t xml:space="preserve">     </w:t>
      </w:r>
      <w:r w:rsidRPr="003C09D7">
        <w:rPr>
          <w:rFonts w:ascii="宋体" w:hAnsi="宋体"/>
          <w:sz w:val="24"/>
        </w:rPr>
        <w:t>公告编号：</w:t>
      </w:r>
      <w:r w:rsidR="008B087D">
        <w:rPr>
          <w:rFonts w:ascii="宋体" w:hAnsi="宋体" w:hint="eastAsia"/>
          <w:sz w:val="24"/>
        </w:rPr>
        <w:t>2</w:t>
      </w:r>
      <w:r w:rsidR="008B087D">
        <w:rPr>
          <w:rFonts w:ascii="宋体" w:hAnsi="宋体"/>
          <w:sz w:val="24"/>
        </w:rPr>
        <w:t>025-014</w:t>
      </w:r>
    </w:p>
    <w:p w14:paraId="0B572221" w14:textId="77777777" w:rsidR="008319AC" w:rsidRPr="0030353E" w:rsidRDefault="008319AC" w:rsidP="008319AC">
      <w:pPr>
        <w:snapToGrid w:val="0"/>
        <w:spacing w:line="560" w:lineRule="exact"/>
        <w:jc w:val="center"/>
        <w:rPr>
          <w:rFonts w:ascii="黑体" w:eastAsia="黑体" w:hAnsi="黑体"/>
          <w:b/>
          <w:color w:val="FF0000"/>
          <w:sz w:val="28"/>
          <w:szCs w:val="36"/>
        </w:rPr>
      </w:pPr>
      <w:r w:rsidRPr="0030353E">
        <w:rPr>
          <w:rFonts w:ascii="黑体" w:eastAsia="黑体" w:hAnsi="黑体" w:hint="eastAsia"/>
          <w:b/>
          <w:color w:val="FF0000"/>
          <w:sz w:val="28"/>
          <w:szCs w:val="36"/>
        </w:rPr>
        <w:t>倍加洁集团股份有限公司</w:t>
      </w:r>
    </w:p>
    <w:p w14:paraId="2AF09CC7" w14:textId="77777777" w:rsidR="00C97661" w:rsidRPr="0030353E" w:rsidRDefault="00C97661" w:rsidP="008319AC">
      <w:pPr>
        <w:snapToGrid w:val="0"/>
        <w:spacing w:line="560" w:lineRule="exact"/>
        <w:jc w:val="center"/>
        <w:rPr>
          <w:rFonts w:ascii="黑体" w:eastAsia="黑体" w:hAnsi="黑体"/>
          <w:b/>
          <w:color w:val="FF0000"/>
          <w:sz w:val="28"/>
          <w:szCs w:val="36"/>
        </w:rPr>
      </w:pPr>
      <w:r w:rsidRPr="0030353E">
        <w:rPr>
          <w:rFonts w:ascii="黑体" w:eastAsia="黑体" w:hAnsi="黑体" w:hint="eastAsia"/>
          <w:b/>
          <w:color w:val="FF0000"/>
          <w:sz w:val="28"/>
          <w:szCs w:val="36"/>
        </w:rPr>
        <w:t>关于2024年度拟不进行利润分配</w:t>
      </w:r>
    </w:p>
    <w:p w14:paraId="6DDB0468" w14:textId="741C5075" w:rsidR="008319AC" w:rsidRPr="0030353E" w:rsidRDefault="0025677A" w:rsidP="008319AC">
      <w:pPr>
        <w:snapToGrid w:val="0"/>
        <w:spacing w:line="560" w:lineRule="exact"/>
        <w:jc w:val="center"/>
        <w:rPr>
          <w:rFonts w:ascii="黑体" w:eastAsia="黑体" w:hAnsi="黑体"/>
          <w:b/>
          <w:color w:val="FF0000"/>
          <w:sz w:val="28"/>
          <w:szCs w:val="36"/>
        </w:rPr>
      </w:pPr>
      <w:r w:rsidRPr="0030353E">
        <w:rPr>
          <w:rFonts w:ascii="黑体" w:eastAsia="黑体" w:hAnsi="黑体" w:hint="eastAsia"/>
          <w:b/>
          <w:color w:val="FF0000"/>
          <w:sz w:val="28"/>
          <w:szCs w:val="36"/>
        </w:rPr>
        <w:t>暨</w:t>
      </w:r>
      <w:r w:rsidR="0030353E" w:rsidRPr="0030353E">
        <w:rPr>
          <w:rFonts w:ascii="黑体" w:eastAsia="黑体" w:hAnsi="黑体" w:hint="eastAsia"/>
          <w:b/>
          <w:color w:val="FF0000"/>
          <w:sz w:val="28"/>
          <w:szCs w:val="36"/>
        </w:rPr>
        <w:t>关于</w:t>
      </w:r>
      <w:r w:rsidR="00C97661" w:rsidRPr="0030353E">
        <w:rPr>
          <w:rFonts w:ascii="黑体" w:eastAsia="黑体" w:hAnsi="黑体" w:hint="eastAsia"/>
          <w:b/>
          <w:color w:val="FF0000"/>
          <w:sz w:val="28"/>
          <w:szCs w:val="36"/>
        </w:rPr>
        <w:t>提请股东会授权董事会制定</w:t>
      </w:r>
      <w:r w:rsidR="008B087D" w:rsidRPr="0030353E">
        <w:rPr>
          <w:rFonts w:ascii="黑体" w:eastAsia="黑体" w:hAnsi="黑体" w:hint="eastAsia"/>
          <w:b/>
          <w:color w:val="FF0000"/>
          <w:sz w:val="28"/>
          <w:szCs w:val="36"/>
        </w:rPr>
        <w:t>2025</w:t>
      </w:r>
      <w:r w:rsidR="00C97661" w:rsidRPr="0030353E">
        <w:rPr>
          <w:rFonts w:ascii="黑体" w:eastAsia="黑体" w:hAnsi="黑体" w:hint="eastAsia"/>
          <w:b/>
          <w:color w:val="FF0000"/>
          <w:sz w:val="28"/>
          <w:szCs w:val="36"/>
        </w:rPr>
        <w:t>年中期分红方案的公告</w:t>
      </w:r>
    </w:p>
    <w:p w14:paraId="698E5477" w14:textId="35F55554" w:rsidR="008319AC" w:rsidRPr="003C09D7" w:rsidRDefault="008319AC" w:rsidP="008319AC">
      <w:pPr>
        <w:pBdr>
          <w:top w:val="single" w:sz="4" w:space="1" w:color="auto"/>
          <w:left w:val="single" w:sz="4" w:space="4" w:color="auto"/>
          <w:bottom w:val="single" w:sz="4" w:space="2" w:color="auto"/>
          <w:right w:val="single" w:sz="4" w:space="4" w:color="auto"/>
        </w:pBdr>
        <w:adjustRightInd w:val="0"/>
        <w:spacing w:line="560" w:lineRule="exact"/>
        <w:rPr>
          <w:rFonts w:ascii="宋体" w:hAnsi="宋体"/>
          <w:sz w:val="24"/>
        </w:rPr>
      </w:pPr>
      <w:r w:rsidRPr="003C09D7">
        <w:rPr>
          <w:rFonts w:ascii="宋体" w:hAnsi="宋体"/>
          <w:color w:val="000000"/>
          <w:sz w:val="24"/>
        </w:rPr>
        <w:t xml:space="preserve">    本公司董事会及全体董事保证本公告内容不存在任何虚假记载、误导性陈述或者重大遗漏，并对其内容的真实性、准确性和完整性承担法律责任。    </w:t>
      </w:r>
    </w:p>
    <w:p w14:paraId="144B4E59" w14:textId="77777777" w:rsidR="008319AC" w:rsidRPr="003C09D7" w:rsidRDefault="008319AC" w:rsidP="008319AC">
      <w:pPr>
        <w:adjustRightInd w:val="0"/>
        <w:snapToGrid w:val="0"/>
        <w:spacing w:line="560" w:lineRule="exact"/>
        <w:ind w:firstLineChars="200" w:firstLine="482"/>
        <w:rPr>
          <w:rFonts w:ascii="宋体" w:hAnsi="宋体"/>
          <w:b/>
          <w:sz w:val="24"/>
        </w:rPr>
      </w:pPr>
      <w:r w:rsidRPr="003C09D7">
        <w:rPr>
          <w:rFonts w:ascii="宋体" w:hAnsi="宋体"/>
          <w:b/>
          <w:sz w:val="24"/>
        </w:rPr>
        <w:t>重要内容提示：</w:t>
      </w:r>
    </w:p>
    <w:p w14:paraId="2DBA86D4" w14:textId="42DA5357" w:rsidR="00014CE5" w:rsidRDefault="00014CE5" w:rsidP="00014CE5">
      <w:pPr>
        <w:numPr>
          <w:ilvl w:val="0"/>
          <w:numId w:val="1"/>
        </w:numPr>
        <w:adjustRightInd w:val="0"/>
        <w:snapToGrid w:val="0"/>
        <w:spacing w:line="560" w:lineRule="exact"/>
        <w:ind w:left="0" w:firstLineChars="200" w:firstLine="480"/>
        <w:rPr>
          <w:rFonts w:ascii="宋体" w:hAnsi="宋体"/>
          <w:sz w:val="24"/>
        </w:rPr>
      </w:pPr>
      <w:r>
        <w:rPr>
          <w:rFonts w:ascii="宋体" w:hAnsi="宋体" w:hint="eastAsia"/>
          <w:sz w:val="24"/>
        </w:rPr>
        <w:t>倍加洁</w:t>
      </w:r>
      <w:r w:rsidRPr="00014CE5">
        <w:rPr>
          <w:rFonts w:ascii="宋体" w:hAnsi="宋体"/>
          <w:sz w:val="24"/>
        </w:rPr>
        <w:t>集团股份有限公司（以下简称“公司”）2024年度拟不</w:t>
      </w:r>
      <w:r w:rsidR="00D4280B">
        <w:rPr>
          <w:rFonts w:ascii="宋体" w:hAnsi="宋体" w:hint="eastAsia"/>
          <w:sz w:val="24"/>
        </w:rPr>
        <w:t>进行利润分配，不</w:t>
      </w:r>
      <w:r w:rsidR="00D4280B">
        <w:rPr>
          <w:rFonts w:ascii="宋体" w:hAnsi="宋体"/>
          <w:sz w:val="24"/>
        </w:rPr>
        <w:t>派发现金红利</w:t>
      </w:r>
      <w:r w:rsidR="00D4280B">
        <w:rPr>
          <w:rFonts w:ascii="宋体" w:hAnsi="宋体" w:hint="eastAsia"/>
          <w:sz w:val="24"/>
        </w:rPr>
        <w:t>，</w:t>
      </w:r>
      <w:r w:rsidRPr="00014CE5">
        <w:rPr>
          <w:rFonts w:ascii="宋体" w:hAnsi="宋体"/>
          <w:sz w:val="24"/>
        </w:rPr>
        <w:t>不送</w:t>
      </w:r>
      <w:r w:rsidR="00D4280B">
        <w:rPr>
          <w:rFonts w:ascii="宋体" w:hAnsi="宋体" w:hint="eastAsia"/>
          <w:sz w:val="24"/>
        </w:rPr>
        <w:t>红</w:t>
      </w:r>
      <w:r w:rsidR="00D4280B">
        <w:rPr>
          <w:rFonts w:ascii="宋体" w:hAnsi="宋体"/>
          <w:sz w:val="24"/>
        </w:rPr>
        <w:t>股</w:t>
      </w:r>
      <w:r w:rsidR="00D4280B">
        <w:rPr>
          <w:rFonts w:ascii="宋体" w:hAnsi="宋体" w:hint="eastAsia"/>
          <w:sz w:val="24"/>
        </w:rPr>
        <w:t>，也</w:t>
      </w:r>
      <w:r w:rsidR="00D4280B">
        <w:rPr>
          <w:rFonts w:ascii="宋体" w:hAnsi="宋体"/>
          <w:sz w:val="24"/>
        </w:rPr>
        <w:t>不</w:t>
      </w:r>
      <w:r w:rsidR="00434B12">
        <w:rPr>
          <w:rFonts w:ascii="宋体" w:hAnsi="宋体" w:hint="eastAsia"/>
          <w:sz w:val="24"/>
        </w:rPr>
        <w:t>以</w:t>
      </w:r>
      <w:r w:rsidRPr="00014CE5">
        <w:rPr>
          <w:rFonts w:ascii="宋体" w:hAnsi="宋体"/>
          <w:sz w:val="24"/>
        </w:rPr>
        <w:t>资本公积转增股本。</w:t>
      </w:r>
    </w:p>
    <w:p w14:paraId="5B1F3C42" w14:textId="72E6F169" w:rsidR="008319AC" w:rsidRDefault="00846613" w:rsidP="00014CE5">
      <w:pPr>
        <w:numPr>
          <w:ilvl w:val="0"/>
          <w:numId w:val="1"/>
        </w:numPr>
        <w:adjustRightInd w:val="0"/>
        <w:snapToGrid w:val="0"/>
        <w:spacing w:line="560" w:lineRule="exact"/>
        <w:ind w:left="0" w:firstLineChars="200" w:firstLine="480"/>
        <w:rPr>
          <w:rFonts w:ascii="宋体" w:hAnsi="宋体"/>
          <w:sz w:val="24"/>
        </w:rPr>
      </w:pPr>
      <w:r>
        <w:rPr>
          <w:rFonts w:ascii="宋体" w:hAnsi="宋体"/>
          <w:sz w:val="24"/>
        </w:rPr>
        <w:t>本次利润分配</w:t>
      </w:r>
      <w:r w:rsidR="00434B12">
        <w:rPr>
          <w:rFonts w:ascii="宋体" w:hAnsi="宋体" w:hint="eastAsia"/>
          <w:sz w:val="24"/>
        </w:rPr>
        <w:t>方</w:t>
      </w:r>
      <w:r w:rsidR="00014CE5" w:rsidRPr="00014CE5">
        <w:rPr>
          <w:rFonts w:ascii="宋体" w:hAnsi="宋体"/>
          <w:sz w:val="24"/>
        </w:rPr>
        <w:t>案已经公司第</w:t>
      </w:r>
      <w:r w:rsidR="00014CE5">
        <w:rPr>
          <w:rFonts w:ascii="宋体" w:hAnsi="宋体" w:hint="eastAsia"/>
          <w:sz w:val="24"/>
        </w:rPr>
        <w:t>三</w:t>
      </w:r>
      <w:r w:rsidR="00014CE5" w:rsidRPr="00014CE5">
        <w:rPr>
          <w:rFonts w:ascii="宋体" w:hAnsi="宋体"/>
          <w:sz w:val="24"/>
        </w:rPr>
        <w:t>届董事会第</w:t>
      </w:r>
      <w:r w:rsidR="00014CE5">
        <w:rPr>
          <w:rFonts w:ascii="宋体" w:hAnsi="宋体" w:hint="eastAsia"/>
          <w:sz w:val="24"/>
        </w:rPr>
        <w:t>二十</w:t>
      </w:r>
      <w:r w:rsidR="00014CE5" w:rsidRPr="00014CE5">
        <w:rPr>
          <w:rFonts w:ascii="宋体" w:hAnsi="宋体"/>
          <w:sz w:val="24"/>
        </w:rPr>
        <w:t>次会议、第</w:t>
      </w:r>
      <w:r w:rsidR="00014CE5">
        <w:rPr>
          <w:rFonts w:ascii="宋体" w:hAnsi="宋体" w:hint="eastAsia"/>
          <w:sz w:val="24"/>
        </w:rPr>
        <w:t>三</w:t>
      </w:r>
      <w:r w:rsidR="00014CE5" w:rsidRPr="00014CE5">
        <w:rPr>
          <w:rFonts w:ascii="宋体" w:hAnsi="宋体"/>
          <w:sz w:val="24"/>
        </w:rPr>
        <w:t>届监事会第</w:t>
      </w:r>
      <w:r w:rsidR="00014CE5">
        <w:rPr>
          <w:rFonts w:ascii="宋体" w:hAnsi="宋体" w:hint="eastAsia"/>
          <w:sz w:val="24"/>
        </w:rPr>
        <w:t>十三</w:t>
      </w:r>
      <w:r w:rsidR="00014CE5" w:rsidRPr="00014CE5">
        <w:rPr>
          <w:rFonts w:ascii="宋体" w:hAnsi="宋体"/>
          <w:sz w:val="24"/>
        </w:rPr>
        <w:t>次会议审议通过，尚需提交公司2024</w:t>
      </w:r>
      <w:r>
        <w:rPr>
          <w:rFonts w:ascii="宋体" w:hAnsi="宋体" w:hint="eastAsia"/>
          <w:sz w:val="24"/>
        </w:rPr>
        <w:t>年</w:t>
      </w:r>
      <w:r w:rsidR="00014CE5" w:rsidRPr="00014CE5">
        <w:rPr>
          <w:rFonts w:ascii="宋体" w:hAnsi="宋体"/>
          <w:sz w:val="24"/>
        </w:rPr>
        <w:t>年度股东会审议。</w:t>
      </w:r>
    </w:p>
    <w:p w14:paraId="28F553F7" w14:textId="357A8E62" w:rsidR="00014CE5" w:rsidRDefault="00014CE5" w:rsidP="00014CE5">
      <w:pPr>
        <w:numPr>
          <w:ilvl w:val="0"/>
          <w:numId w:val="1"/>
        </w:numPr>
        <w:adjustRightInd w:val="0"/>
        <w:snapToGrid w:val="0"/>
        <w:spacing w:line="560" w:lineRule="exact"/>
        <w:ind w:left="0" w:firstLineChars="200" w:firstLine="480"/>
        <w:rPr>
          <w:rFonts w:ascii="宋体" w:hAnsi="宋体"/>
          <w:sz w:val="24"/>
        </w:rPr>
      </w:pPr>
      <w:r w:rsidRPr="00014CE5">
        <w:rPr>
          <w:rFonts w:ascii="宋体" w:hAnsi="宋体" w:hint="eastAsia"/>
          <w:sz w:val="24"/>
        </w:rPr>
        <w:t>公司不触及《上海证券交易所股票上市规则（2024年4月修订）》第9.8.1条第一款第（八）项规定的可能被实施其他风险警示的情形。</w:t>
      </w:r>
    </w:p>
    <w:p w14:paraId="5CE6121F" w14:textId="22E542AA" w:rsidR="004D4B18" w:rsidRPr="00434B12" w:rsidRDefault="004D4B18" w:rsidP="004D4B18">
      <w:pPr>
        <w:adjustRightInd w:val="0"/>
        <w:snapToGrid w:val="0"/>
        <w:spacing w:line="560" w:lineRule="exact"/>
        <w:ind w:firstLineChars="200" w:firstLine="482"/>
        <w:rPr>
          <w:rFonts w:ascii="宋体" w:hAnsi="宋体"/>
          <w:b/>
          <w:sz w:val="24"/>
        </w:rPr>
      </w:pPr>
      <w:r w:rsidRPr="00434B12">
        <w:rPr>
          <w:rFonts w:ascii="宋体" w:hAnsi="宋体"/>
          <w:b/>
          <w:sz w:val="24"/>
        </w:rPr>
        <w:t>一、利润分配方案</w:t>
      </w:r>
      <w:r w:rsidR="00434B12" w:rsidRPr="00434B12">
        <w:rPr>
          <w:rFonts w:ascii="宋体" w:hAnsi="宋体" w:hint="eastAsia"/>
          <w:b/>
          <w:sz w:val="24"/>
        </w:rPr>
        <w:t>内容</w:t>
      </w:r>
    </w:p>
    <w:p w14:paraId="65B1CAC7" w14:textId="5B2654C6" w:rsidR="00014CE5" w:rsidRPr="00014CE5" w:rsidRDefault="004D4B18" w:rsidP="004D4B18">
      <w:pPr>
        <w:adjustRightInd w:val="0"/>
        <w:snapToGrid w:val="0"/>
        <w:spacing w:line="560" w:lineRule="exact"/>
        <w:ind w:firstLineChars="200" w:firstLine="480"/>
        <w:rPr>
          <w:rFonts w:ascii="宋体" w:hAnsi="宋体"/>
          <w:sz w:val="24"/>
        </w:rPr>
      </w:pPr>
      <w:r>
        <w:rPr>
          <w:rFonts w:ascii="宋体" w:hAnsi="宋体" w:hint="eastAsia"/>
          <w:sz w:val="24"/>
        </w:rPr>
        <w:t>（一）</w:t>
      </w:r>
      <w:r w:rsidRPr="004D4B18">
        <w:rPr>
          <w:rFonts w:ascii="宋体" w:hAnsi="宋体"/>
          <w:sz w:val="24"/>
        </w:rPr>
        <w:t>利润分配方案</w:t>
      </w:r>
      <w:r w:rsidR="00434B12">
        <w:rPr>
          <w:rFonts w:ascii="宋体" w:hAnsi="宋体" w:hint="eastAsia"/>
          <w:sz w:val="24"/>
        </w:rPr>
        <w:t>的</w:t>
      </w:r>
      <w:r>
        <w:rPr>
          <w:rFonts w:ascii="宋体" w:hAnsi="宋体" w:hint="eastAsia"/>
          <w:sz w:val="24"/>
        </w:rPr>
        <w:t>具体</w:t>
      </w:r>
      <w:r w:rsidRPr="004D4B18">
        <w:rPr>
          <w:rFonts w:ascii="宋体" w:hAnsi="宋体"/>
          <w:sz w:val="24"/>
        </w:rPr>
        <w:t>内容</w:t>
      </w:r>
    </w:p>
    <w:p w14:paraId="1150FFAA" w14:textId="776CC64E" w:rsidR="008319AC" w:rsidRPr="003C09D7" w:rsidRDefault="008C5286" w:rsidP="008C5286">
      <w:pPr>
        <w:adjustRightInd w:val="0"/>
        <w:snapToGrid w:val="0"/>
        <w:spacing w:line="560" w:lineRule="exact"/>
        <w:ind w:firstLineChars="200" w:firstLine="480"/>
        <w:rPr>
          <w:rFonts w:ascii="宋体" w:hAnsi="宋体"/>
          <w:sz w:val="24"/>
        </w:rPr>
      </w:pPr>
      <w:r>
        <w:rPr>
          <w:rFonts w:ascii="宋体" w:hAnsi="宋体" w:hint="eastAsia"/>
          <w:sz w:val="24"/>
        </w:rPr>
        <w:t>经</w:t>
      </w:r>
      <w:r w:rsidR="004D4B18">
        <w:rPr>
          <w:rFonts w:ascii="宋体" w:hAnsi="宋体" w:hint="eastAsia"/>
          <w:sz w:val="24"/>
        </w:rPr>
        <w:t>立信</w:t>
      </w:r>
      <w:r w:rsidR="00434B12">
        <w:rPr>
          <w:rFonts w:ascii="宋体" w:hAnsi="宋体"/>
          <w:sz w:val="24"/>
        </w:rPr>
        <w:t>会计师事务所（特殊普通合伙）审计</w:t>
      </w:r>
      <w:r w:rsidR="00434B12">
        <w:rPr>
          <w:rFonts w:ascii="宋体" w:hAnsi="宋体" w:hint="eastAsia"/>
          <w:sz w:val="24"/>
        </w:rPr>
        <w:t>,</w:t>
      </w:r>
      <w:r w:rsidR="00434B12">
        <w:rPr>
          <w:rFonts w:ascii="宋体" w:hAnsi="宋体"/>
          <w:sz w:val="24"/>
        </w:rPr>
        <w:t>2024</w:t>
      </w:r>
      <w:r w:rsidR="00014CE5" w:rsidRPr="00014CE5">
        <w:rPr>
          <w:rFonts w:ascii="宋体" w:hAnsi="宋体"/>
          <w:sz w:val="24"/>
        </w:rPr>
        <w:t>年度公司净利润</w:t>
      </w:r>
      <w:r w:rsidR="004D4B18">
        <w:rPr>
          <w:rFonts w:ascii="宋体" w:hAnsi="宋体" w:hint="eastAsia"/>
          <w:sz w:val="24"/>
        </w:rPr>
        <w:t>-7,</w:t>
      </w:r>
      <w:r w:rsidR="00360695">
        <w:rPr>
          <w:rFonts w:ascii="宋体" w:hAnsi="宋体" w:hint="eastAsia"/>
          <w:sz w:val="24"/>
        </w:rPr>
        <w:t>8</w:t>
      </w:r>
      <w:r w:rsidR="000D2A22">
        <w:rPr>
          <w:rFonts w:ascii="宋体" w:hAnsi="宋体" w:hint="eastAsia"/>
          <w:sz w:val="24"/>
        </w:rPr>
        <w:t>36</w:t>
      </w:r>
      <w:r w:rsidR="004D4B18">
        <w:rPr>
          <w:rFonts w:ascii="宋体" w:hAnsi="宋体" w:hint="eastAsia"/>
          <w:sz w:val="24"/>
        </w:rPr>
        <w:t>.</w:t>
      </w:r>
      <w:r w:rsidR="00360695">
        <w:rPr>
          <w:rFonts w:ascii="宋体" w:hAnsi="宋体" w:hint="eastAsia"/>
          <w:sz w:val="24"/>
        </w:rPr>
        <w:t>54</w:t>
      </w:r>
      <w:r w:rsidR="004D4B18">
        <w:rPr>
          <w:rFonts w:ascii="宋体" w:hAnsi="宋体" w:hint="eastAsia"/>
          <w:sz w:val="24"/>
        </w:rPr>
        <w:t>万</w:t>
      </w:r>
      <w:r w:rsidR="00014CE5" w:rsidRPr="00014CE5">
        <w:rPr>
          <w:rFonts w:ascii="宋体" w:hAnsi="宋体"/>
          <w:sz w:val="24"/>
        </w:rPr>
        <w:t>元，其中归属于上市公司股东的净利润为-</w:t>
      </w:r>
      <w:r w:rsidR="004D4B18">
        <w:rPr>
          <w:rFonts w:ascii="宋体" w:hAnsi="宋体" w:hint="eastAsia"/>
          <w:sz w:val="24"/>
        </w:rPr>
        <w:t>7</w:t>
      </w:r>
      <w:r w:rsidR="00014CE5" w:rsidRPr="00014CE5">
        <w:rPr>
          <w:rFonts w:ascii="宋体" w:hAnsi="宋体"/>
          <w:sz w:val="24"/>
        </w:rPr>
        <w:t>,</w:t>
      </w:r>
      <w:r w:rsidR="00360695">
        <w:rPr>
          <w:rFonts w:ascii="宋体" w:hAnsi="宋体" w:hint="eastAsia"/>
          <w:sz w:val="24"/>
        </w:rPr>
        <w:t>7</w:t>
      </w:r>
      <w:r w:rsidR="007A42AA">
        <w:rPr>
          <w:rFonts w:ascii="宋体" w:hAnsi="宋体" w:hint="eastAsia"/>
          <w:sz w:val="24"/>
        </w:rPr>
        <w:t>31</w:t>
      </w:r>
      <w:r w:rsidR="00360695">
        <w:rPr>
          <w:rFonts w:ascii="宋体" w:hAnsi="宋体" w:hint="eastAsia"/>
          <w:sz w:val="24"/>
        </w:rPr>
        <w:t>.61</w:t>
      </w:r>
      <w:r w:rsidR="00D1793C">
        <w:rPr>
          <w:rFonts w:ascii="宋体" w:hAnsi="宋体" w:hint="eastAsia"/>
          <w:sz w:val="24"/>
        </w:rPr>
        <w:t>万</w:t>
      </w:r>
      <w:r w:rsidR="00014CE5" w:rsidRPr="00014CE5">
        <w:rPr>
          <w:rFonts w:ascii="宋体" w:hAnsi="宋体"/>
          <w:sz w:val="24"/>
        </w:rPr>
        <w:t>元。 截至2024年12月31日，公司母公司报表中期末未分配利润为</w:t>
      </w:r>
      <w:r w:rsidR="00D1793C">
        <w:rPr>
          <w:rFonts w:ascii="宋体" w:hAnsi="宋体" w:hint="eastAsia"/>
          <w:sz w:val="24"/>
        </w:rPr>
        <w:t>34</w:t>
      </w:r>
      <w:r w:rsidR="00014CE5" w:rsidRPr="00014CE5">
        <w:rPr>
          <w:rFonts w:ascii="宋体" w:hAnsi="宋体"/>
          <w:sz w:val="24"/>
        </w:rPr>
        <w:t>,</w:t>
      </w:r>
      <w:r w:rsidR="00D1793C">
        <w:rPr>
          <w:rFonts w:ascii="宋体" w:hAnsi="宋体" w:hint="eastAsia"/>
          <w:sz w:val="24"/>
        </w:rPr>
        <w:t>7</w:t>
      </w:r>
      <w:r w:rsidR="00FB7320">
        <w:rPr>
          <w:rFonts w:ascii="宋体" w:hAnsi="宋体" w:hint="eastAsia"/>
          <w:sz w:val="24"/>
        </w:rPr>
        <w:t>31</w:t>
      </w:r>
      <w:r w:rsidR="00014CE5" w:rsidRPr="00014CE5">
        <w:rPr>
          <w:rFonts w:ascii="宋体" w:hAnsi="宋体"/>
          <w:sz w:val="24"/>
        </w:rPr>
        <w:t>.</w:t>
      </w:r>
      <w:r w:rsidR="00FB7320">
        <w:rPr>
          <w:rFonts w:ascii="宋体" w:hAnsi="宋体" w:hint="eastAsia"/>
          <w:sz w:val="24"/>
        </w:rPr>
        <w:t>96</w:t>
      </w:r>
      <w:r w:rsidR="00D1793C">
        <w:rPr>
          <w:rFonts w:ascii="宋体" w:hAnsi="宋体" w:hint="eastAsia"/>
          <w:sz w:val="24"/>
        </w:rPr>
        <w:t>万</w:t>
      </w:r>
      <w:r w:rsidR="00014CE5" w:rsidRPr="00014CE5">
        <w:rPr>
          <w:rFonts w:ascii="宋体" w:hAnsi="宋体"/>
          <w:sz w:val="24"/>
        </w:rPr>
        <w:t>元。公司2024年度拟</w:t>
      </w:r>
      <w:r w:rsidR="00434B12">
        <w:rPr>
          <w:rFonts w:ascii="宋体" w:hAnsi="宋体" w:hint="eastAsia"/>
          <w:sz w:val="24"/>
        </w:rPr>
        <w:t>不进行利润分配，</w:t>
      </w:r>
      <w:r w:rsidR="00434B12">
        <w:rPr>
          <w:rFonts w:ascii="宋体" w:hAnsi="宋体"/>
          <w:sz w:val="24"/>
        </w:rPr>
        <w:t>不派发现金红利</w:t>
      </w:r>
      <w:r w:rsidR="00434B12">
        <w:rPr>
          <w:rFonts w:ascii="宋体" w:hAnsi="宋体" w:hint="eastAsia"/>
          <w:sz w:val="24"/>
        </w:rPr>
        <w:t>，</w:t>
      </w:r>
      <w:r w:rsidR="00014CE5" w:rsidRPr="00014CE5">
        <w:rPr>
          <w:rFonts w:ascii="宋体" w:hAnsi="宋体"/>
          <w:sz w:val="24"/>
        </w:rPr>
        <w:t>不</w:t>
      </w:r>
      <w:r w:rsidR="00434B12">
        <w:rPr>
          <w:rFonts w:ascii="宋体" w:hAnsi="宋体" w:hint="eastAsia"/>
          <w:sz w:val="24"/>
        </w:rPr>
        <w:t>送红</w:t>
      </w:r>
      <w:r w:rsidR="00434B12">
        <w:rPr>
          <w:rFonts w:ascii="宋体" w:hAnsi="宋体"/>
          <w:sz w:val="24"/>
        </w:rPr>
        <w:t>股</w:t>
      </w:r>
      <w:r w:rsidR="00434B12">
        <w:rPr>
          <w:rFonts w:ascii="宋体" w:hAnsi="宋体" w:hint="eastAsia"/>
          <w:sz w:val="24"/>
        </w:rPr>
        <w:t>，也</w:t>
      </w:r>
      <w:r w:rsidR="00014CE5" w:rsidRPr="00014CE5">
        <w:rPr>
          <w:rFonts w:ascii="宋体" w:hAnsi="宋体"/>
          <w:sz w:val="24"/>
        </w:rPr>
        <w:t>不以资本公积转增股本。本次利润分配方案尚需提交公司股东会审议。</w:t>
      </w:r>
    </w:p>
    <w:p w14:paraId="37A92F2B" w14:textId="04768053" w:rsidR="004D4B18" w:rsidRPr="004D4B18" w:rsidRDefault="00D1793C" w:rsidP="004D4B18">
      <w:pPr>
        <w:adjustRightInd w:val="0"/>
        <w:snapToGrid w:val="0"/>
        <w:spacing w:line="560" w:lineRule="exact"/>
        <w:ind w:firstLineChars="200" w:firstLine="480"/>
        <w:rPr>
          <w:rFonts w:ascii="宋体" w:hAnsi="宋体"/>
          <w:sz w:val="24"/>
        </w:rPr>
      </w:pPr>
      <w:r>
        <w:rPr>
          <w:rFonts w:ascii="宋体" w:hAnsi="宋体" w:hint="eastAsia"/>
          <w:sz w:val="24"/>
        </w:rPr>
        <w:t>（二）</w:t>
      </w:r>
      <w:r w:rsidR="004D4B18" w:rsidRPr="004D4B18">
        <w:rPr>
          <w:rFonts w:ascii="宋体" w:hAnsi="宋体" w:hint="eastAsia"/>
          <w:sz w:val="24"/>
        </w:rPr>
        <w:t xml:space="preserve">是否可能触及其他风险警示情形 </w:t>
      </w:r>
    </w:p>
    <w:p w14:paraId="6E5064CA" w14:textId="509B1E55" w:rsidR="004D4B18" w:rsidRPr="004D4B18" w:rsidRDefault="004D4B18" w:rsidP="00D1793C">
      <w:pPr>
        <w:adjustRightInd w:val="0"/>
        <w:snapToGrid w:val="0"/>
        <w:spacing w:line="560" w:lineRule="exact"/>
        <w:ind w:firstLineChars="200" w:firstLine="480"/>
        <w:rPr>
          <w:rFonts w:ascii="宋体" w:hAnsi="宋体"/>
          <w:sz w:val="24"/>
        </w:rPr>
      </w:pPr>
      <w:r w:rsidRPr="004D4B18">
        <w:rPr>
          <w:rFonts w:ascii="宋体" w:hAnsi="宋体" w:hint="eastAsia"/>
          <w:sz w:val="24"/>
        </w:rPr>
        <w:t>由于公司2024年度归属于上市公司股东的净利润为</w:t>
      </w:r>
      <w:r w:rsidR="007A42AA" w:rsidRPr="00014CE5">
        <w:rPr>
          <w:rFonts w:ascii="宋体" w:hAnsi="宋体"/>
          <w:sz w:val="24"/>
        </w:rPr>
        <w:t>-</w:t>
      </w:r>
      <w:r w:rsidR="007A42AA">
        <w:rPr>
          <w:rFonts w:ascii="宋体" w:hAnsi="宋体" w:hint="eastAsia"/>
          <w:sz w:val="24"/>
        </w:rPr>
        <w:t>7</w:t>
      </w:r>
      <w:r w:rsidR="007A42AA" w:rsidRPr="00014CE5">
        <w:rPr>
          <w:rFonts w:ascii="宋体" w:hAnsi="宋体"/>
          <w:sz w:val="24"/>
        </w:rPr>
        <w:t>,</w:t>
      </w:r>
      <w:r w:rsidR="007A42AA">
        <w:rPr>
          <w:rFonts w:ascii="宋体" w:hAnsi="宋体" w:hint="eastAsia"/>
          <w:sz w:val="24"/>
        </w:rPr>
        <w:t>731.61</w:t>
      </w:r>
      <w:r w:rsidR="00D1793C">
        <w:rPr>
          <w:rFonts w:ascii="宋体" w:hAnsi="宋体" w:hint="eastAsia"/>
          <w:sz w:val="24"/>
        </w:rPr>
        <w:t>万</w:t>
      </w:r>
      <w:r w:rsidRPr="004D4B18">
        <w:rPr>
          <w:rFonts w:ascii="宋体" w:hAnsi="宋体" w:hint="eastAsia"/>
          <w:sz w:val="24"/>
        </w:rPr>
        <w:t xml:space="preserve">元，因此不触及《上海证券交易所股票上市规则(2024年4月修订)》第9.8.1条第一款第（八）项规定的可能被实施其他风险警示的情形。 </w:t>
      </w:r>
    </w:p>
    <w:p w14:paraId="1D377DB7" w14:textId="72BE520B" w:rsidR="004D4B18" w:rsidRPr="004D4B18" w:rsidRDefault="00D1793C" w:rsidP="004D4B18">
      <w:pPr>
        <w:adjustRightInd w:val="0"/>
        <w:snapToGrid w:val="0"/>
        <w:spacing w:line="560" w:lineRule="exact"/>
        <w:ind w:firstLineChars="200" w:firstLine="480"/>
        <w:rPr>
          <w:rFonts w:ascii="宋体" w:hAnsi="宋体"/>
          <w:sz w:val="24"/>
        </w:rPr>
      </w:pPr>
      <w:r>
        <w:rPr>
          <w:rFonts w:ascii="宋体" w:hAnsi="宋体" w:hint="eastAsia"/>
          <w:sz w:val="24"/>
        </w:rPr>
        <w:lastRenderedPageBreak/>
        <w:t>（三）</w:t>
      </w:r>
      <w:r w:rsidR="004D4B18" w:rsidRPr="004D4B18">
        <w:rPr>
          <w:rFonts w:ascii="宋体" w:hAnsi="宋体" w:hint="eastAsia"/>
          <w:sz w:val="24"/>
        </w:rPr>
        <w:t>2024年度不进行利润分配的情况说明</w:t>
      </w:r>
    </w:p>
    <w:p w14:paraId="1A444A25" w14:textId="083442B9" w:rsidR="004D4B18" w:rsidRDefault="004D4B18" w:rsidP="00D1793C">
      <w:pPr>
        <w:adjustRightInd w:val="0"/>
        <w:snapToGrid w:val="0"/>
        <w:spacing w:line="560" w:lineRule="exact"/>
        <w:ind w:firstLineChars="200" w:firstLine="480"/>
        <w:rPr>
          <w:rFonts w:ascii="宋体" w:hAnsi="宋体"/>
          <w:sz w:val="24"/>
        </w:rPr>
      </w:pPr>
      <w:r w:rsidRPr="004D4B18">
        <w:rPr>
          <w:rFonts w:ascii="宋体" w:hAnsi="宋体" w:hint="eastAsia"/>
          <w:sz w:val="24"/>
        </w:rPr>
        <w:t>由于公司2024年度归属于上市公司股东的净利润为负，</w:t>
      </w:r>
      <w:r w:rsidR="00434B12">
        <w:rPr>
          <w:rFonts w:ascii="宋体" w:hAnsi="宋体" w:hint="eastAsia"/>
          <w:sz w:val="24"/>
        </w:rPr>
        <w:t>根据《公司章程》有关规定，</w:t>
      </w:r>
      <w:r w:rsidRPr="004D4B18">
        <w:rPr>
          <w:rFonts w:ascii="宋体" w:hAnsi="宋体" w:hint="eastAsia"/>
          <w:sz w:val="24"/>
        </w:rPr>
        <w:t>结合公司战略发展规划及未来资金需求等因素，为保障公司稳健可持续发展，公司2024年度拟</w:t>
      </w:r>
      <w:r w:rsidR="00434B12" w:rsidRPr="00434B12">
        <w:rPr>
          <w:rFonts w:ascii="宋体" w:hAnsi="宋体" w:hint="eastAsia"/>
          <w:sz w:val="24"/>
        </w:rPr>
        <w:t>不进行利润分配，不派发现金红利，不送红股，也不以资本公积转增股本。</w:t>
      </w:r>
    </w:p>
    <w:p w14:paraId="5963092E" w14:textId="6E337A9A" w:rsidR="00D1793C" w:rsidRPr="00C97D94" w:rsidRDefault="00D1793C" w:rsidP="00D1793C">
      <w:pPr>
        <w:adjustRightInd w:val="0"/>
        <w:snapToGrid w:val="0"/>
        <w:spacing w:line="560" w:lineRule="exact"/>
        <w:ind w:firstLineChars="200" w:firstLine="482"/>
        <w:rPr>
          <w:rFonts w:ascii="宋体" w:hAnsi="宋体"/>
          <w:b/>
          <w:sz w:val="24"/>
        </w:rPr>
      </w:pPr>
      <w:r w:rsidRPr="00C97D94">
        <w:rPr>
          <w:rFonts w:ascii="宋体" w:hAnsi="宋体" w:hint="eastAsia"/>
          <w:b/>
          <w:sz w:val="24"/>
        </w:rPr>
        <w:t>二</w:t>
      </w:r>
      <w:r w:rsidRPr="00C97D94">
        <w:rPr>
          <w:rFonts w:ascii="宋体" w:hAnsi="宋体"/>
          <w:b/>
          <w:sz w:val="24"/>
        </w:rPr>
        <w:t>、</w:t>
      </w:r>
      <w:r w:rsidRPr="00C97D94">
        <w:rPr>
          <w:rFonts w:ascii="宋体" w:hAnsi="宋体" w:hint="eastAsia"/>
          <w:b/>
          <w:sz w:val="24"/>
        </w:rPr>
        <w:t>2025</w:t>
      </w:r>
      <w:r w:rsidR="00C97D94">
        <w:rPr>
          <w:rFonts w:ascii="宋体" w:hAnsi="宋体" w:hint="eastAsia"/>
          <w:b/>
          <w:sz w:val="24"/>
        </w:rPr>
        <w:t>年中期分红安排</w:t>
      </w:r>
    </w:p>
    <w:p w14:paraId="51E77C62" w14:textId="29638045" w:rsidR="00434B12" w:rsidRPr="00434B12" w:rsidRDefault="00434B12" w:rsidP="00434B12">
      <w:pPr>
        <w:adjustRightInd w:val="0"/>
        <w:snapToGrid w:val="0"/>
        <w:spacing w:line="560" w:lineRule="exact"/>
        <w:ind w:firstLineChars="200" w:firstLine="480"/>
        <w:rPr>
          <w:rFonts w:ascii="宋体" w:hAnsi="宋体"/>
          <w:sz w:val="24"/>
        </w:rPr>
      </w:pPr>
      <w:r>
        <w:rPr>
          <w:rFonts w:ascii="宋体" w:hAnsi="宋体" w:hint="eastAsia"/>
          <w:sz w:val="24"/>
        </w:rPr>
        <w:t>（一）中期分红的前提条件为：</w:t>
      </w:r>
    </w:p>
    <w:p w14:paraId="389B9285" w14:textId="47D8DA34" w:rsidR="00434B12" w:rsidRPr="00434B12" w:rsidRDefault="00434B12" w:rsidP="00434B12">
      <w:pPr>
        <w:adjustRightInd w:val="0"/>
        <w:snapToGrid w:val="0"/>
        <w:spacing w:line="560" w:lineRule="exact"/>
        <w:ind w:firstLineChars="200" w:firstLine="480"/>
        <w:rPr>
          <w:rFonts w:ascii="宋体" w:hAnsi="宋体"/>
          <w:sz w:val="24"/>
        </w:rPr>
      </w:pPr>
      <w:r w:rsidRPr="00434B12">
        <w:rPr>
          <w:rFonts w:ascii="宋体" w:hAnsi="宋体" w:hint="eastAsia"/>
          <w:sz w:val="24"/>
        </w:rPr>
        <w:t>1</w:t>
      </w:r>
      <w:r w:rsidR="00F86157">
        <w:rPr>
          <w:rFonts w:ascii="宋体" w:hAnsi="宋体" w:hint="eastAsia"/>
          <w:sz w:val="24"/>
        </w:rPr>
        <w:t>、公司</w:t>
      </w:r>
      <w:bookmarkStart w:id="0" w:name="_GoBack"/>
      <w:bookmarkEnd w:id="0"/>
      <w:r w:rsidRPr="00434B12">
        <w:rPr>
          <w:rFonts w:ascii="宋体" w:hAnsi="宋体" w:hint="eastAsia"/>
          <w:sz w:val="24"/>
        </w:rPr>
        <w:t>当期盈利、累计未分配利润为正；</w:t>
      </w:r>
    </w:p>
    <w:p w14:paraId="4350C6C4" w14:textId="77777777" w:rsidR="00434B12" w:rsidRPr="00434B12" w:rsidRDefault="00434B12" w:rsidP="00434B12">
      <w:pPr>
        <w:adjustRightInd w:val="0"/>
        <w:snapToGrid w:val="0"/>
        <w:spacing w:line="560" w:lineRule="exact"/>
        <w:ind w:firstLineChars="200" w:firstLine="480"/>
        <w:rPr>
          <w:rFonts w:ascii="宋体" w:hAnsi="宋体"/>
          <w:sz w:val="24"/>
        </w:rPr>
      </w:pPr>
      <w:r w:rsidRPr="00434B12">
        <w:rPr>
          <w:rFonts w:ascii="宋体" w:hAnsi="宋体" w:hint="eastAsia"/>
          <w:sz w:val="24"/>
        </w:rPr>
        <w:t>2、公司现金流可以满足正常经营和持续发展的要求。</w:t>
      </w:r>
    </w:p>
    <w:p w14:paraId="0CE62DDD" w14:textId="77777777" w:rsidR="00434B12" w:rsidRPr="00434B12" w:rsidRDefault="00434B12" w:rsidP="00434B12">
      <w:pPr>
        <w:adjustRightInd w:val="0"/>
        <w:snapToGrid w:val="0"/>
        <w:spacing w:line="560" w:lineRule="exact"/>
        <w:ind w:firstLineChars="200" w:firstLine="480"/>
        <w:rPr>
          <w:rFonts w:ascii="宋体" w:hAnsi="宋体"/>
          <w:sz w:val="24"/>
        </w:rPr>
      </w:pPr>
      <w:r w:rsidRPr="00434B12">
        <w:rPr>
          <w:rFonts w:ascii="宋体" w:hAnsi="宋体" w:hint="eastAsia"/>
          <w:sz w:val="24"/>
        </w:rPr>
        <w:t>（二）中期分红的上限限制为：不超过当期归属于上市公司股东的净利润。</w:t>
      </w:r>
    </w:p>
    <w:p w14:paraId="757A36E5" w14:textId="77777777" w:rsidR="00434B12" w:rsidRPr="00434B12" w:rsidRDefault="00434B12" w:rsidP="00434B12">
      <w:pPr>
        <w:adjustRightInd w:val="0"/>
        <w:snapToGrid w:val="0"/>
        <w:spacing w:line="560" w:lineRule="exact"/>
        <w:ind w:firstLineChars="200" w:firstLine="480"/>
        <w:rPr>
          <w:rFonts w:ascii="宋体" w:hAnsi="宋体"/>
          <w:sz w:val="24"/>
        </w:rPr>
      </w:pPr>
      <w:r w:rsidRPr="00434B12">
        <w:rPr>
          <w:rFonts w:ascii="宋体" w:hAnsi="宋体" w:hint="eastAsia"/>
          <w:sz w:val="24"/>
        </w:rPr>
        <w:t>（三）为简化分红程序，董事会拟提请股东会批准授权，董事会根据股东会决议在符合利润分配的条件下制定具体的中期分红方案：</w:t>
      </w:r>
    </w:p>
    <w:p w14:paraId="6C98F78F" w14:textId="77777777" w:rsidR="00434B12" w:rsidRPr="00434B12" w:rsidRDefault="00434B12" w:rsidP="00434B12">
      <w:pPr>
        <w:adjustRightInd w:val="0"/>
        <w:snapToGrid w:val="0"/>
        <w:spacing w:line="560" w:lineRule="exact"/>
        <w:ind w:firstLineChars="200" w:firstLine="480"/>
        <w:rPr>
          <w:rFonts w:ascii="宋体" w:hAnsi="宋体"/>
          <w:sz w:val="24"/>
        </w:rPr>
      </w:pPr>
      <w:r w:rsidRPr="00434B12">
        <w:rPr>
          <w:rFonts w:ascii="宋体" w:hAnsi="宋体" w:hint="eastAsia"/>
          <w:sz w:val="24"/>
        </w:rPr>
        <w:t>1、授权内容：股东会授权董事会在满足上述中期分红条件、上限限制的前提下，论证、制定并实施公司2025年度中期分红方案。</w:t>
      </w:r>
    </w:p>
    <w:p w14:paraId="47EE9BCE" w14:textId="7BE6694F" w:rsidR="00D1793C" w:rsidRPr="00D1793C" w:rsidRDefault="00434B12" w:rsidP="00434B12">
      <w:pPr>
        <w:adjustRightInd w:val="0"/>
        <w:snapToGrid w:val="0"/>
        <w:spacing w:line="560" w:lineRule="exact"/>
        <w:ind w:firstLineChars="200" w:firstLine="480"/>
        <w:rPr>
          <w:rFonts w:ascii="宋体" w:hAnsi="宋体"/>
          <w:sz w:val="24"/>
        </w:rPr>
      </w:pPr>
      <w:r w:rsidRPr="00434B12">
        <w:rPr>
          <w:rFonts w:ascii="宋体" w:hAnsi="宋体" w:hint="eastAsia"/>
          <w:sz w:val="24"/>
        </w:rPr>
        <w:t>2</w:t>
      </w:r>
      <w:r w:rsidR="00C97D94">
        <w:rPr>
          <w:rFonts w:ascii="宋体" w:hAnsi="宋体" w:hint="eastAsia"/>
          <w:sz w:val="24"/>
        </w:rPr>
        <w:t>、授权期限：自</w:t>
      </w:r>
      <w:r w:rsidRPr="00434B12">
        <w:rPr>
          <w:rFonts w:ascii="宋体" w:hAnsi="宋体" w:hint="eastAsia"/>
          <w:sz w:val="24"/>
        </w:rPr>
        <w:t>2024年年度股东会审议通过之日起至公司2025年年度股东会召开之日止。</w:t>
      </w:r>
    </w:p>
    <w:p w14:paraId="48DD26D6" w14:textId="3C89C641" w:rsidR="004D4B18" w:rsidRPr="00C97D94" w:rsidRDefault="00D1793C" w:rsidP="004D4B18">
      <w:pPr>
        <w:adjustRightInd w:val="0"/>
        <w:snapToGrid w:val="0"/>
        <w:spacing w:line="560" w:lineRule="exact"/>
        <w:ind w:firstLineChars="200" w:firstLine="482"/>
        <w:rPr>
          <w:rFonts w:ascii="宋体" w:hAnsi="宋体"/>
          <w:b/>
          <w:sz w:val="24"/>
        </w:rPr>
      </w:pPr>
      <w:r w:rsidRPr="00C97D94">
        <w:rPr>
          <w:rFonts w:ascii="宋体" w:hAnsi="宋体" w:hint="eastAsia"/>
          <w:b/>
          <w:sz w:val="24"/>
        </w:rPr>
        <w:t>三</w:t>
      </w:r>
      <w:r w:rsidR="004D4B18" w:rsidRPr="00C97D94">
        <w:rPr>
          <w:rFonts w:ascii="宋体" w:hAnsi="宋体" w:hint="eastAsia"/>
          <w:b/>
          <w:sz w:val="24"/>
        </w:rPr>
        <w:t>、公司履行的决策程序</w:t>
      </w:r>
    </w:p>
    <w:p w14:paraId="6727BED3" w14:textId="43DE5E6B" w:rsidR="004D4B18" w:rsidRPr="004D4B18" w:rsidRDefault="004D4B18" w:rsidP="004D4B18">
      <w:pPr>
        <w:adjustRightInd w:val="0"/>
        <w:snapToGrid w:val="0"/>
        <w:spacing w:line="560" w:lineRule="exact"/>
        <w:ind w:firstLineChars="200" w:firstLine="480"/>
        <w:rPr>
          <w:rFonts w:ascii="宋体" w:hAnsi="宋体"/>
          <w:sz w:val="24"/>
        </w:rPr>
      </w:pPr>
      <w:r w:rsidRPr="004D4B18">
        <w:rPr>
          <w:rFonts w:ascii="宋体" w:hAnsi="宋体" w:hint="eastAsia"/>
          <w:sz w:val="24"/>
        </w:rPr>
        <w:t>（一）董事会会议的召开、审议和表决情况</w:t>
      </w:r>
    </w:p>
    <w:p w14:paraId="3B9D31C8" w14:textId="2BB82695" w:rsidR="004D4B18" w:rsidRPr="004D4B18" w:rsidRDefault="004D4B18" w:rsidP="00997608">
      <w:pPr>
        <w:adjustRightInd w:val="0"/>
        <w:snapToGrid w:val="0"/>
        <w:spacing w:line="560" w:lineRule="exact"/>
        <w:ind w:firstLineChars="200" w:firstLine="480"/>
        <w:rPr>
          <w:rFonts w:ascii="宋体" w:hAnsi="宋体"/>
          <w:sz w:val="24"/>
        </w:rPr>
      </w:pPr>
      <w:r w:rsidRPr="004D4B18">
        <w:rPr>
          <w:rFonts w:ascii="宋体" w:hAnsi="宋体" w:hint="eastAsia"/>
          <w:sz w:val="24"/>
        </w:rPr>
        <w:t>公司于2025年4月</w:t>
      </w:r>
      <w:r w:rsidR="00D1793C">
        <w:rPr>
          <w:rFonts w:ascii="宋体" w:hAnsi="宋体" w:hint="eastAsia"/>
          <w:sz w:val="24"/>
        </w:rPr>
        <w:t>29</w:t>
      </w:r>
      <w:r w:rsidRPr="004D4B18">
        <w:rPr>
          <w:rFonts w:ascii="宋体" w:hAnsi="宋体" w:hint="eastAsia"/>
          <w:sz w:val="24"/>
        </w:rPr>
        <w:t>日召开第</w:t>
      </w:r>
      <w:r w:rsidR="00D1793C">
        <w:rPr>
          <w:rFonts w:ascii="宋体" w:hAnsi="宋体" w:hint="eastAsia"/>
          <w:sz w:val="24"/>
        </w:rPr>
        <w:t>三</w:t>
      </w:r>
      <w:r w:rsidRPr="004D4B18">
        <w:rPr>
          <w:rFonts w:ascii="宋体" w:hAnsi="宋体" w:hint="eastAsia"/>
          <w:sz w:val="24"/>
        </w:rPr>
        <w:t>届董事会第二十次会议，审议通过《</w:t>
      </w:r>
      <w:r w:rsidR="00997608" w:rsidRPr="00997608">
        <w:rPr>
          <w:rFonts w:ascii="宋体" w:hAnsi="宋体" w:hint="eastAsia"/>
          <w:sz w:val="24"/>
        </w:rPr>
        <w:t>关于2024年度拟不进行利润分配暨关于提请股东会授权董事会制定2025年中期分红方案的</w:t>
      </w:r>
      <w:r w:rsidRPr="004D4B18">
        <w:rPr>
          <w:rFonts w:ascii="宋体" w:hAnsi="宋体" w:hint="eastAsia"/>
          <w:sz w:val="24"/>
        </w:rPr>
        <w:t>议案》，并同意将此</w:t>
      </w:r>
      <w:r w:rsidR="00C97D94">
        <w:rPr>
          <w:rFonts w:ascii="宋体" w:hAnsi="宋体" w:hint="eastAsia"/>
          <w:sz w:val="24"/>
        </w:rPr>
        <w:t>议案</w:t>
      </w:r>
      <w:r w:rsidRPr="004D4B18">
        <w:rPr>
          <w:rFonts w:ascii="宋体" w:hAnsi="宋体" w:hint="eastAsia"/>
          <w:sz w:val="24"/>
        </w:rPr>
        <w:t xml:space="preserve">提交公司2024 </w:t>
      </w:r>
      <w:r w:rsidR="00C97D94">
        <w:rPr>
          <w:rFonts w:ascii="宋体" w:hAnsi="宋体" w:hint="eastAsia"/>
          <w:sz w:val="24"/>
        </w:rPr>
        <w:t>年度股东会审议。</w:t>
      </w:r>
    </w:p>
    <w:p w14:paraId="188B880C" w14:textId="56AB6EB8" w:rsidR="004D4B18" w:rsidRPr="004D4B18" w:rsidRDefault="004D4B18" w:rsidP="004D4B18">
      <w:pPr>
        <w:adjustRightInd w:val="0"/>
        <w:snapToGrid w:val="0"/>
        <w:spacing w:line="560" w:lineRule="exact"/>
        <w:ind w:firstLineChars="200" w:firstLine="480"/>
        <w:rPr>
          <w:rFonts w:ascii="宋体" w:hAnsi="宋体"/>
          <w:sz w:val="24"/>
        </w:rPr>
      </w:pPr>
      <w:r w:rsidRPr="004D4B18">
        <w:rPr>
          <w:rFonts w:ascii="宋体" w:hAnsi="宋体" w:hint="eastAsia"/>
          <w:sz w:val="24"/>
        </w:rPr>
        <w:t>（二）监事会意见</w:t>
      </w:r>
    </w:p>
    <w:p w14:paraId="420A13DD" w14:textId="706E6EC5" w:rsidR="004D4B18" w:rsidRPr="004D4B18" w:rsidRDefault="00997608" w:rsidP="00C97D94">
      <w:pPr>
        <w:adjustRightInd w:val="0"/>
        <w:snapToGrid w:val="0"/>
        <w:spacing w:line="560" w:lineRule="exact"/>
        <w:ind w:firstLineChars="200" w:firstLine="480"/>
        <w:rPr>
          <w:rFonts w:ascii="宋体" w:hAnsi="宋体"/>
          <w:sz w:val="24"/>
        </w:rPr>
      </w:pPr>
      <w:r w:rsidRPr="00997608">
        <w:rPr>
          <w:rFonts w:ascii="宋体" w:hAnsi="宋体"/>
          <w:sz w:val="24"/>
        </w:rPr>
        <w:t>202</w:t>
      </w:r>
      <w:r>
        <w:rPr>
          <w:rFonts w:ascii="宋体" w:hAnsi="宋体" w:hint="eastAsia"/>
          <w:sz w:val="24"/>
        </w:rPr>
        <w:t>5</w:t>
      </w:r>
      <w:r w:rsidRPr="00997608">
        <w:rPr>
          <w:rFonts w:ascii="宋体" w:hAnsi="宋体"/>
          <w:sz w:val="24"/>
        </w:rPr>
        <w:t>年4月2</w:t>
      </w:r>
      <w:r>
        <w:rPr>
          <w:rFonts w:ascii="宋体" w:hAnsi="宋体" w:hint="eastAsia"/>
          <w:sz w:val="24"/>
        </w:rPr>
        <w:t>9</w:t>
      </w:r>
      <w:r w:rsidRPr="00997608">
        <w:rPr>
          <w:rFonts w:ascii="宋体" w:hAnsi="宋体"/>
          <w:sz w:val="24"/>
        </w:rPr>
        <w:t>日，公司召开第三届监事会第十</w:t>
      </w:r>
      <w:r>
        <w:rPr>
          <w:rFonts w:ascii="宋体" w:hAnsi="宋体" w:hint="eastAsia"/>
          <w:sz w:val="24"/>
        </w:rPr>
        <w:t>三</w:t>
      </w:r>
      <w:r w:rsidRPr="00997608">
        <w:rPr>
          <w:rFonts w:ascii="宋体" w:hAnsi="宋体"/>
          <w:sz w:val="24"/>
        </w:rPr>
        <w:t>次会议，审议通过了</w:t>
      </w:r>
      <w:r w:rsidRPr="004D4B18">
        <w:rPr>
          <w:rFonts w:ascii="宋体" w:hAnsi="宋体" w:hint="eastAsia"/>
          <w:sz w:val="24"/>
        </w:rPr>
        <w:t>《</w:t>
      </w:r>
      <w:r w:rsidRPr="00997608">
        <w:rPr>
          <w:rFonts w:ascii="宋体" w:hAnsi="宋体" w:hint="eastAsia"/>
          <w:sz w:val="24"/>
        </w:rPr>
        <w:t>关于2024年度拟不进行利润分配暨关于提请股东会授权董事会制定2025年中期</w:t>
      </w:r>
      <w:r w:rsidRPr="00997608">
        <w:rPr>
          <w:rFonts w:ascii="宋体" w:hAnsi="宋体" w:hint="eastAsia"/>
          <w:sz w:val="24"/>
        </w:rPr>
        <w:lastRenderedPageBreak/>
        <w:t>分红方案的</w:t>
      </w:r>
      <w:r w:rsidRPr="004D4B18">
        <w:rPr>
          <w:rFonts w:ascii="宋体" w:hAnsi="宋体" w:hint="eastAsia"/>
          <w:sz w:val="24"/>
        </w:rPr>
        <w:t>议案》</w:t>
      </w:r>
      <w:r w:rsidRPr="00997608">
        <w:rPr>
          <w:rFonts w:ascii="宋体" w:hAnsi="宋体"/>
          <w:sz w:val="24"/>
        </w:rPr>
        <w:t>。与会监事认为：</w:t>
      </w:r>
      <w:r w:rsidRPr="00997608">
        <w:rPr>
          <w:rFonts w:ascii="宋体" w:hAnsi="宋体" w:hint="eastAsia"/>
          <w:sz w:val="24"/>
        </w:rPr>
        <w:t>公司2024</w:t>
      </w:r>
      <w:r w:rsidR="00C97D94">
        <w:rPr>
          <w:rFonts w:ascii="宋体" w:hAnsi="宋体" w:hint="eastAsia"/>
          <w:sz w:val="24"/>
        </w:rPr>
        <w:t>年度合并报表实现净利润为负，根据《公司章程》有</w:t>
      </w:r>
      <w:r w:rsidRPr="00997608">
        <w:rPr>
          <w:rFonts w:ascii="宋体" w:hAnsi="宋体" w:hint="eastAsia"/>
          <w:sz w:val="24"/>
        </w:rPr>
        <w:t>关规定，并结合公司战略发展规划及未来资金需求等因素，</w:t>
      </w:r>
      <w:r w:rsidR="00C97D94">
        <w:rPr>
          <w:rFonts w:ascii="宋体" w:hAnsi="宋体" w:hint="eastAsia"/>
          <w:sz w:val="24"/>
        </w:rPr>
        <w:t>2024</w:t>
      </w:r>
      <w:r w:rsidRPr="00997608">
        <w:rPr>
          <w:rFonts w:ascii="宋体" w:hAnsi="宋体" w:hint="eastAsia"/>
          <w:sz w:val="24"/>
        </w:rPr>
        <w:t>年度公司不派发现金红利、不送</w:t>
      </w:r>
      <w:r w:rsidR="00C97D94">
        <w:rPr>
          <w:rFonts w:ascii="宋体" w:hAnsi="宋体" w:hint="eastAsia"/>
          <w:sz w:val="24"/>
        </w:rPr>
        <w:t>红股、不以资本公积转增股本，符合相关要求。此外，在公司当期盈利、累计未分配利润为正，公司现金流可以满足正常经营和持续发展的要求的条件下进行2</w:t>
      </w:r>
      <w:r w:rsidR="00C97D94">
        <w:rPr>
          <w:rFonts w:ascii="宋体" w:hAnsi="宋体"/>
          <w:sz w:val="24"/>
        </w:rPr>
        <w:t>025</w:t>
      </w:r>
      <w:r w:rsidR="00C97D94">
        <w:rPr>
          <w:rFonts w:ascii="宋体" w:hAnsi="宋体" w:hint="eastAsia"/>
          <w:sz w:val="24"/>
        </w:rPr>
        <w:t>年度中期分红，符合公司的经营现状，有利于公司的持续、稳定、健康发展。</w:t>
      </w:r>
      <w:r w:rsidR="0030353E">
        <w:rPr>
          <w:rFonts w:ascii="宋体" w:hAnsi="宋体" w:hint="eastAsia"/>
          <w:sz w:val="24"/>
        </w:rPr>
        <w:t>因此，同意公司2</w:t>
      </w:r>
      <w:r w:rsidR="0030353E">
        <w:rPr>
          <w:rFonts w:ascii="宋体" w:hAnsi="宋体"/>
          <w:sz w:val="24"/>
        </w:rPr>
        <w:t>024</w:t>
      </w:r>
      <w:r w:rsidR="0030353E">
        <w:rPr>
          <w:rFonts w:ascii="宋体" w:hAnsi="宋体" w:hint="eastAsia"/>
          <w:sz w:val="24"/>
        </w:rPr>
        <w:t>年度利润分配方案及</w:t>
      </w:r>
      <w:r w:rsidR="004E36D4">
        <w:rPr>
          <w:rFonts w:ascii="宋体" w:hAnsi="宋体" w:hint="eastAsia"/>
          <w:sz w:val="24"/>
        </w:rPr>
        <w:t>2</w:t>
      </w:r>
      <w:r w:rsidR="004E36D4">
        <w:rPr>
          <w:rFonts w:ascii="宋体" w:hAnsi="宋体"/>
          <w:sz w:val="24"/>
        </w:rPr>
        <w:t>025</w:t>
      </w:r>
      <w:r w:rsidR="004E36D4">
        <w:rPr>
          <w:rFonts w:ascii="宋体" w:hAnsi="宋体" w:hint="eastAsia"/>
          <w:sz w:val="24"/>
        </w:rPr>
        <w:t>年</w:t>
      </w:r>
      <w:r w:rsidR="0030353E">
        <w:rPr>
          <w:rFonts w:ascii="宋体" w:hAnsi="宋体" w:hint="eastAsia"/>
          <w:sz w:val="24"/>
        </w:rPr>
        <w:t>中期分红安排，并同意将议案提交公司2</w:t>
      </w:r>
      <w:r w:rsidR="0030353E">
        <w:rPr>
          <w:rFonts w:ascii="宋体" w:hAnsi="宋体"/>
          <w:sz w:val="24"/>
        </w:rPr>
        <w:t>024</w:t>
      </w:r>
      <w:r w:rsidR="0030353E">
        <w:rPr>
          <w:rFonts w:ascii="宋体" w:hAnsi="宋体" w:hint="eastAsia"/>
          <w:sz w:val="24"/>
        </w:rPr>
        <w:t>年年度股东会审议。</w:t>
      </w:r>
    </w:p>
    <w:p w14:paraId="17A8DB4E" w14:textId="2693F1EC" w:rsidR="004D4B18" w:rsidRPr="00C97D94" w:rsidRDefault="00DB0AB4" w:rsidP="004D4B18">
      <w:pPr>
        <w:adjustRightInd w:val="0"/>
        <w:snapToGrid w:val="0"/>
        <w:spacing w:line="560" w:lineRule="exact"/>
        <w:ind w:firstLineChars="200" w:firstLine="482"/>
        <w:rPr>
          <w:rFonts w:ascii="宋体" w:hAnsi="宋体"/>
          <w:b/>
          <w:sz w:val="24"/>
        </w:rPr>
      </w:pPr>
      <w:r w:rsidRPr="00C97D94">
        <w:rPr>
          <w:rFonts w:ascii="宋体" w:hAnsi="宋体" w:hint="eastAsia"/>
          <w:b/>
          <w:sz w:val="24"/>
        </w:rPr>
        <w:t>四</w:t>
      </w:r>
      <w:r w:rsidR="004D4B18" w:rsidRPr="00C97D94">
        <w:rPr>
          <w:rFonts w:ascii="宋体" w:hAnsi="宋体" w:hint="eastAsia"/>
          <w:b/>
          <w:sz w:val="24"/>
        </w:rPr>
        <w:t>、相关风险提示</w:t>
      </w:r>
    </w:p>
    <w:p w14:paraId="7D0FA66F" w14:textId="4B44982B" w:rsidR="008319AC" w:rsidRDefault="0030353E" w:rsidP="00DB0AB4">
      <w:pPr>
        <w:adjustRightInd w:val="0"/>
        <w:snapToGrid w:val="0"/>
        <w:spacing w:line="560" w:lineRule="exact"/>
        <w:ind w:firstLineChars="200" w:firstLine="480"/>
        <w:rPr>
          <w:rFonts w:ascii="宋体" w:hAnsi="宋体"/>
          <w:sz w:val="24"/>
        </w:rPr>
      </w:pPr>
      <w:r>
        <w:rPr>
          <w:rFonts w:ascii="宋体" w:hAnsi="宋体" w:hint="eastAsia"/>
          <w:sz w:val="24"/>
        </w:rPr>
        <w:t>公司2</w:t>
      </w:r>
      <w:r>
        <w:rPr>
          <w:rFonts w:ascii="宋体" w:hAnsi="宋体"/>
          <w:sz w:val="24"/>
        </w:rPr>
        <w:t>024</w:t>
      </w:r>
      <w:r>
        <w:rPr>
          <w:rFonts w:ascii="宋体" w:hAnsi="宋体" w:hint="eastAsia"/>
          <w:sz w:val="24"/>
        </w:rPr>
        <w:t>年度利润分配方案综合考虑了</w:t>
      </w:r>
      <w:r w:rsidRPr="0030353E">
        <w:rPr>
          <w:rFonts w:ascii="宋体" w:hAnsi="宋体" w:hint="eastAsia"/>
          <w:sz w:val="24"/>
        </w:rPr>
        <w:t>公司战略发展规划及未来资金需求等因素</w:t>
      </w:r>
      <w:r w:rsidR="004D4B18" w:rsidRPr="004D4B18">
        <w:rPr>
          <w:rFonts w:ascii="宋体" w:hAnsi="宋体" w:hint="eastAsia"/>
          <w:sz w:val="24"/>
        </w:rPr>
        <w:t>，</w:t>
      </w:r>
      <w:r>
        <w:rPr>
          <w:rFonts w:ascii="宋体" w:hAnsi="宋体" w:hint="eastAsia"/>
          <w:sz w:val="24"/>
        </w:rPr>
        <w:t>2</w:t>
      </w:r>
      <w:r>
        <w:rPr>
          <w:rFonts w:ascii="宋体" w:hAnsi="宋体"/>
          <w:sz w:val="24"/>
        </w:rPr>
        <w:t>025</w:t>
      </w:r>
      <w:r w:rsidR="005F51FA">
        <w:rPr>
          <w:rFonts w:ascii="宋体" w:hAnsi="宋体" w:hint="eastAsia"/>
          <w:sz w:val="24"/>
        </w:rPr>
        <w:t>年中期分红安排不会对公司正常经营产生重大不利影响，相关方案</w:t>
      </w:r>
      <w:r>
        <w:rPr>
          <w:rFonts w:ascii="宋体" w:hAnsi="宋体" w:hint="eastAsia"/>
          <w:sz w:val="24"/>
        </w:rPr>
        <w:t>尚需提交公司2</w:t>
      </w:r>
      <w:r>
        <w:rPr>
          <w:rFonts w:ascii="宋体" w:hAnsi="宋体"/>
          <w:sz w:val="24"/>
        </w:rPr>
        <w:t>024</w:t>
      </w:r>
      <w:r>
        <w:rPr>
          <w:rFonts w:ascii="宋体" w:hAnsi="宋体" w:hint="eastAsia"/>
          <w:sz w:val="24"/>
        </w:rPr>
        <w:t>年年度股东会审议批准，</w:t>
      </w:r>
      <w:r w:rsidR="004D4B18" w:rsidRPr="004D4B18">
        <w:rPr>
          <w:rFonts w:ascii="宋体" w:hAnsi="宋体" w:hint="eastAsia"/>
          <w:sz w:val="24"/>
        </w:rPr>
        <w:t>敬请广大投资者注意投资风险。</w:t>
      </w:r>
    </w:p>
    <w:p w14:paraId="5DF644E5" w14:textId="77777777" w:rsidR="00C97D94" w:rsidRPr="003C09D7" w:rsidRDefault="00C97D94" w:rsidP="00DB0AB4">
      <w:pPr>
        <w:adjustRightInd w:val="0"/>
        <w:snapToGrid w:val="0"/>
        <w:spacing w:line="560" w:lineRule="exact"/>
        <w:ind w:firstLineChars="200" w:firstLine="480"/>
        <w:rPr>
          <w:rFonts w:ascii="宋体" w:hAnsi="宋体"/>
          <w:sz w:val="24"/>
        </w:rPr>
      </w:pPr>
    </w:p>
    <w:p w14:paraId="5BB8ED0E" w14:textId="14B4B1FF" w:rsidR="008319AC" w:rsidRDefault="008319AC" w:rsidP="008319AC">
      <w:pPr>
        <w:adjustRightInd w:val="0"/>
        <w:snapToGrid w:val="0"/>
        <w:spacing w:line="560" w:lineRule="exact"/>
        <w:ind w:firstLineChars="200" w:firstLine="480"/>
        <w:rPr>
          <w:rFonts w:ascii="宋体" w:hAnsi="宋体"/>
          <w:sz w:val="24"/>
        </w:rPr>
      </w:pPr>
      <w:r w:rsidRPr="003C09D7">
        <w:rPr>
          <w:rFonts w:ascii="宋体" w:hAnsi="宋体"/>
          <w:sz w:val="24"/>
        </w:rPr>
        <w:t>特此公告。</w:t>
      </w:r>
    </w:p>
    <w:p w14:paraId="731D2D25" w14:textId="4159D668" w:rsidR="005C3EAE" w:rsidRDefault="005C3EAE" w:rsidP="005C3EAE">
      <w:pPr>
        <w:adjustRightInd w:val="0"/>
        <w:snapToGrid w:val="0"/>
        <w:spacing w:line="560" w:lineRule="exact"/>
        <w:rPr>
          <w:rFonts w:ascii="宋体" w:hAnsi="宋体"/>
          <w:sz w:val="24"/>
        </w:rPr>
      </w:pPr>
    </w:p>
    <w:p w14:paraId="2E833843" w14:textId="77777777" w:rsidR="005C3EAE" w:rsidRPr="003C09D7" w:rsidRDefault="005C3EAE" w:rsidP="005C3EAE">
      <w:pPr>
        <w:adjustRightInd w:val="0"/>
        <w:snapToGrid w:val="0"/>
        <w:spacing w:line="560" w:lineRule="exact"/>
        <w:rPr>
          <w:rFonts w:ascii="宋体" w:hAnsi="宋体"/>
          <w:sz w:val="24"/>
        </w:rPr>
      </w:pPr>
    </w:p>
    <w:p w14:paraId="09E2A4AA" w14:textId="3395581D" w:rsidR="008319AC" w:rsidRPr="003C09D7" w:rsidRDefault="008319AC" w:rsidP="008319AC">
      <w:pPr>
        <w:adjustRightInd w:val="0"/>
        <w:snapToGrid w:val="0"/>
        <w:spacing w:line="560" w:lineRule="exact"/>
        <w:ind w:firstLineChars="200" w:firstLine="480"/>
        <w:jc w:val="right"/>
        <w:rPr>
          <w:rFonts w:ascii="宋体" w:hAnsi="宋体"/>
          <w:sz w:val="24"/>
        </w:rPr>
      </w:pPr>
      <w:r w:rsidRPr="003C09D7">
        <w:rPr>
          <w:rFonts w:ascii="宋体" w:hAnsi="宋体" w:hint="eastAsia"/>
          <w:sz w:val="24"/>
        </w:rPr>
        <w:t xml:space="preserve">  </w:t>
      </w:r>
      <w:r w:rsidR="00DD2519">
        <w:rPr>
          <w:rFonts w:ascii="宋体" w:hAnsi="宋体" w:hint="eastAsia"/>
          <w:color w:val="000000"/>
          <w:kern w:val="0"/>
          <w:sz w:val="24"/>
        </w:rPr>
        <w:t>倍加洁集团</w:t>
      </w:r>
      <w:r w:rsidRPr="003C09D7">
        <w:rPr>
          <w:rFonts w:ascii="宋体" w:hAnsi="宋体" w:hint="eastAsia"/>
          <w:sz w:val="24"/>
        </w:rPr>
        <w:t>股份有限公司董事会</w:t>
      </w:r>
    </w:p>
    <w:p w14:paraId="56D3C248" w14:textId="2A4997D5" w:rsidR="008319AC" w:rsidRPr="003C09D7" w:rsidRDefault="00DD2519" w:rsidP="008319AC">
      <w:pPr>
        <w:adjustRightInd w:val="0"/>
        <w:snapToGrid w:val="0"/>
        <w:spacing w:line="560" w:lineRule="exact"/>
        <w:ind w:firstLineChars="200" w:firstLine="480"/>
        <w:jc w:val="right"/>
        <w:rPr>
          <w:rFonts w:ascii="宋体" w:hAnsi="宋体"/>
          <w:sz w:val="24"/>
        </w:rPr>
      </w:pPr>
      <w:r>
        <w:rPr>
          <w:rFonts w:ascii="宋体" w:hAnsi="宋体" w:hint="eastAsia"/>
          <w:sz w:val="24"/>
        </w:rPr>
        <w:t>2025</w:t>
      </w:r>
      <w:r w:rsidR="008319AC" w:rsidRPr="003C09D7">
        <w:rPr>
          <w:rFonts w:ascii="宋体" w:hAnsi="宋体"/>
          <w:sz w:val="24"/>
        </w:rPr>
        <w:t>年</w:t>
      </w:r>
      <w:r>
        <w:rPr>
          <w:rFonts w:ascii="宋体" w:hAnsi="宋体" w:hint="eastAsia"/>
          <w:sz w:val="24"/>
        </w:rPr>
        <w:t>4</w:t>
      </w:r>
      <w:r w:rsidR="008319AC" w:rsidRPr="003C09D7">
        <w:rPr>
          <w:rFonts w:ascii="宋体" w:hAnsi="宋体"/>
          <w:sz w:val="24"/>
        </w:rPr>
        <w:t>月</w:t>
      </w:r>
      <w:r w:rsidR="005C3EAE">
        <w:rPr>
          <w:rFonts w:ascii="宋体" w:hAnsi="宋体"/>
          <w:sz w:val="24"/>
        </w:rPr>
        <w:t>30</w:t>
      </w:r>
      <w:r w:rsidR="008319AC" w:rsidRPr="003C09D7">
        <w:rPr>
          <w:rFonts w:ascii="宋体" w:hAnsi="宋体"/>
          <w:sz w:val="24"/>
        </w:rPr>
        <w:t>日</w:t>
      </w:r>
    </w:p>
    <w:sectPr w:rsidR="008319AC" w:rsidRPr="003C0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36B3" w14:textId="77777777" w:rsidR="00F21E85" w:rsidRDefault="00F21E85" w:rsidP="008319AC">
      <w:r>
        <w:separator/>
      </w:r>
    </w:p>
  </w:endnote>
  <w:endnote w:type="continuationSeparator" w:id="0">
    <w:p w14:paraId="4BEF22CC" w14:textId="77777777" w:rsidR="00F21E85" w:rsidRDefault="00F21E85" w:rsidP="0083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4147F" w14:textId="77777777" w:rsidR="00F21E85" w:rsidRDefault="00F21E85" w:rsidP="008319AC">
      <w:r>
        <w:separator/>
      </w:r>
    </w:p>
  </w:footnote>
  <w:footnote w:type="continuationSeparator" w:id="0">
    <w:p w14:paraId="7016ACE8" w14:textId="77777777" w:rsidR="00F21E85" w:rsidRDefault="00F21E85" w:rsidP="00831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55882"/>
    <w:multiLevelType w:val="hybridMultilevel"/>
    <w:tmpl w:val="5D867740"/>
    <w:lvl w:ilvl="0" w:tplc="BEEE662A">
      <w:start w:val="1"/>
      <w:numFmt w:val="decimal"/>
      <w:lvlText w:val="（%1）"/>
      <w:lvlJc w:val="left"/>
      <w:pPr>
        <w:ind w:left="1191" w:hanging="591"/>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15:restartNumberingAfterBreak="0">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92"/>
    <w:rsid w:val="0000774D"/>
    <w:rsid w:val="00014CE5"/>
    <w:rsid w:val="00076EB9"/>
    <w:rsid w:val="000B0C0E"/>
    <w:rsid w:val="000B40FB"/>
    <w:rsid w:val="000D2A22"/>
    <w:rsid w:val="000F6A66"/>
    <w:rsid w:val="00122141"/>
    <w:rsid w:val="00177E90"/>
    <w:rsid w:val="001D45E6"/>
    <w:rsid w:val="001F2DC3"/>
    <w:rsid w:val="00205093"/>
    <w:rsid w:val="002326E6"/>
    <w:rsid w:val="002519EE"/>
    <w:rsid w:val="0025677A"/>
    <w:rsid w:val="00270818"/>
    <w:rsid w:val="002E4AC1"/>
    <w:rsid w:val="0030353E"/>
    <w:rsid w:val="00360695"/>
    <w:rsid w:val="003C09D7"/>
    <w:rsid w:val="00434B12"/>
    <w:rsid w:val="00466794"/>
    <w:rsid w:val="004C2FFB"/>
    <w:rsid w:val="004D4B18"/>
    <w:rsid w:val="004E36D4"/>
    <w:rsid w:val="00556E92"/>
    <w:rsid w:val="005A24F9"/>
    <w:rsid w:val="005B2778"/>
    <w:rsid w:val="005C3EAE"/>
    <w:rsid w:val="005F51FA"/>
    <w:rsid w:val="0065301C"/>
    <w:rsid w:val="00750B24"/>
    <w:rsid w:val="00752989"/>
    <w:rsid w:val="007A42AA"/>
    <w:rsid w:val="007C5AE4"/>
    <w:rsid w:val="007E7EC2"/>
    <w:rsid w:val="008319AC"/>
    <w:rsid w:val="00846613"/>
    <w:rsid w:val="008A0112"/>
    <w:rsid w:val="008B087D"/>
    <w:rsid w:val="008C5286"/>
    <w:rsid w:val="00972C4D"/>
    <w:rsid w:val="00981D22"/>
    <w:rsid w:val="00997608"/>
    <w:rsid w:val="009B3E1D"/>
    <w:rsid w:val="00A70817"/>
    <w:rsid w:val="00A8260C"/>
    <w:rsid w:val="00AD1689"/>
    <w:rsid w:val="00B23F9D"/>
    <w:rsid w:val="00B64ACC"/>
    <w:rsid w:val="00C97661"/>
    <w:rsid w:val="00C97D94"/>
    <w:rsid w:val="00CA5DD6"/>
    <w:rsid w:val="00CF245F"/>
    <w:rsid w:val="00D1793C"/>
    <w:rsid w:val="00D4280B"/>
    <w:rsid w:val="00D456EF"/>
    <w:rsid w:val="00D9167B"/>
    <w:rsid w:val="00DA09F6"/>
    <w:rsid w:val="00DB0AB4"/>
    <w:rsid w:val="00DD2519"/>
    <w:rsid w:val="00E764AE"/>
    <w:rsid w:val="00EA4030"/>
    <w:rsid w:val="00EC4497"/>
    <w:rsid w:val="00F04730"/>
    <w:rsid w:val="00F21E85"/>
    <w:rsid w:val="00F37643"/>
    <w:rsid w:val="00F5164A"/>
    <w:rsid w:val="00F86157"/>
    <w:rsid w:val="00F90A75"/>
    <w:rsid w:val="00F969A0"/>
    <w:rsid w:val="00FB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42DCE"/>
  <w15:chartTrackingRefBased/>
  <w15:docId w15:val="{650F528C-10C2-48B2-A99F-2F824BB0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AC"/>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56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E9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E9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E9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56E9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E92"/>
    <w:rPr>
      <w:rFonts w:cstheme="majorBidi"/>
      <w:color w:val="2F5496" w:themeColor="accent1" w:themeShade="BF"/>
      <w:sz w:val="28"/>
      <w:szCs w:val="28"/>
    </w:rPr>
  </w:style>
  <w:style w:type="character" w:customStyle="1" w:styleId="50">
    <w:name w:val="标题 5 字符"/>
    <w:basedOn w:val="a0"/>
    <w:link w:val="5"/>
    <w:uiPriority w:val="9"/>
    <w:semiHidden/>
    <w:rsid w:val="00556E92"/>
    <w:rPr>
      <w:rFonts w:cstheme="majorBidi"/>
      <w:color w:val="2F5496" w:themeColor="accent1" w:themeShade="BF"/>
      <w:sz w:val="24"/>
    </w:rPr>
  </w:style>
  <w:style w:type="character" w:customStyle="1" w:styleId="60">
    <w:name w:val="标题 6 字符"/>
    <w:basedOn w:val="a0"/>
    <w:link w:val="6"/>
    <w:uiPriority w:val="9"/>
    <w:semiHidden/>
    <w:rsid w:val="00556E92"/>
    <w:rPr>
      <w:rFonts w:cstheme="majorBidi"/>
      <w:b/>
      <w:bCs/>
      <w:color w:val="2F5496" w:themeColor="accent1" w:themeShade="BF"/>
    </w:rPr>
  </w:style>
  <w:style w:type="character" w:customStyle="1" w:styleId="70">
    <w:name w:val="标题 7 字符"/>
    <w:basedOn w:val="a0"/>
    <w:link w:val="7"/>
    <w:uiPriority w:val="9"/>
    <w:semiHidden/>
    <w:rsid w:val="00556E92"/>
    <w:rPr>
      <w:rFonts w:cstheme="majorBidi"/>
      <w:b/>
      <w:bCs/>
      <w:color w:val="595959" w:themeColor="text1" w:themeTint="A6"/>
    </w:rPr>
  </w:style>
  <w:style w:type="character" w:customStyle="1" w:styleId="80">
    <w:name w:val="标题 8 字符"/>
    <w:basedOn w:val="a0"/>
    <w:link w:val="8"/>
    <w:uiPriority w:val="9"/>
    <w:semiHidden/>
    <w:rsid w:val="00556E92"/>
    <w:rPr>
      <w:rFonts w:cstheme="majorBidi"/>
      <w:color w:val="595959" w:themeColor="text1" w:themeTint="A6"/>
    </w:rPr>
  </w:style>
  <w:style w:type="character" w:customStyle="1" w:styleId="90">
    <w:name w:val="标题 9 字符"/>
    <w:basedOn w:val="a0"/>
    <w:link w:val="9"/>
    <w:uiPriority w:val="9"/>
    <w:semiHidden/>
    <w:rsid w:val="00556E92"/>
    <w:rPr>
      <w:rFonts w:eastAsiaTheme="majorEastAsia" w:cstheme="majorBidi"/>
      <w:color w:val="595959" w:themeColor="text1" w:themeTint="A6"/>
    </w:rPr>
  </w:style>
  <w:style w:type="paragraph" w:styleId="a3">
    <w:name w:val="Title"/>
    <w:basedOn w:val="a"/>
    <w:next w:val="a"/>
    <w:link w:val="a4"/>
    <w:uiPriority w:val="10"/>
    <w:qFormat/>
    <w:rsid w:val="00556E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E92"/>
    <w:pPr>
      <w:spacing w:before="160"/>
      <w:jc w:val="center"/>
    </w:pPr>
    <w:rPr>
      <w:i/>
      <w:iCs/>
      <w:color w:val="404040" w:themeColor="text1" w:themeTint="BF"/>
    </w:rPr>
  </w:style>
  <w:style w:type="character" w:customStyle="1" w:styleId="a8">
    <w:name w:val="引用 字符"/>
    <w:basedOn w:val="a0"/>
    <w:link w:val="a7"/>
    <w:uiPriority w:val="29"/>
    <w:rsid w:val="00556E92"/>
    <w:rPr>
      <w:i/>
      <w:iCs/>
      <w:color w:val="404040" w:themeColor="text1" w:themeTint="BF"/>
    </w:rPr>
  </w:style>
  <w:style w:type="paragraph" w:styleId="a9">
    <w:name w:val="List Paragraph"/>
    <w:basedOn w:val="a"/>
    <w:uiPriority w:val="34"/>
    <w:qFormat/>
    <w:rsid w:val="00556E92"/>
    <w:pPr>
      <w:ind w:left="720"/>
      <w:contextualSpacing/>
    </w:pPr>
  </w:style>
  <w:style w:type="character" w:styleId="aa">
    <w:name w:val="Intense Emphasis"/>
    <w:basedOn w:val="a0"/>
    <w:uiPriority w:val="21"/>
    <w:qFormat/>
    <w:rsid w:val="00556E92"/>
    <w:rPr>
      <w:i/>
      <w:iCs/>
      <w:color w:val="2F5496" w:themeColor="accent1" w:themeShade="BF"/>
    </w:rPr>
  </w:style>
  <w:style w:type="paragraph" w:styleId="ab">
    <w:name w:val="Intense Quote"/>
    <w:basedOn w:val="a"/>
    <w:next w:val="a"/>
    <w:link w:val="ac"/>
    <w:uiPriority w:val="30"/>
    <w:qFormat/>
    <w:rsid w:val="0055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E92"/>
    <w:rPr>
      <w:i/>
      <w:iCs/>
      <w:color w:val="2F5496" w:themeColor="accent1" w:themeShade="BF"/>
    </w:rPr>
  </w:style>
  <w:style w:type="character" w:styleId="ad">
    <w:name w:val="Intense Reference"/>
    <w:basedOn w:val="a0"/>
    <w:uiPriority w:val="32"/>
    <w:qFormat/>
    <w:rsid w:val="00556E92"/>
    <w:rPr>
      <w:b/>
      <w:bCs/>
      <w:smallCaps/>
      <w:color w:val="2F5496" w:themeColor="accent1" w:themeShade="BF"/>
      <w:spacing w:val="5"/>
    </w:rPr>
  </w:style>
  <w:style w:type="paragraph" w:styleId="ae">
    <w:name w:val="header"/>
    <w:basedOn w:val="a"/>
    <w:link w:val="af"/>
    <w:uiPriority w:val="99"/>
    <w:unhideWhenUsed/>
    <w:rsid w:val="008319AC"/>
    <w:pPr>
      <w:tabs>
        <w:tab w:val="center" w:pos="4153"/>
        <w:tab w:val="right" w:pos="8306"/>
      </w:tabs>
      <w:snapToGrid w:val="0"/>
      <w:jc w:val="center"/>
    </w:pPr>
    <w:rPr>
      <w:sz w:val="18"/>
      <w:szCs w:val="18"/>
    </w:rPr>
  </w:style>
  <w:style w:type="character" w:customStyle="1" w:styleId="af">
    <w:name w:val="页眉 字符"/>
    <w:basedOn w:val="a0"/>
    <w:link w:val="ae"/>
    <w:uiPriority w:val="99"/>
    <w:rsid w:val="008319AC"/>
    <w:rPr>
      <w:sz w:val="18"/>
      <w:szCs w:val="18"/>
    </w:rPr>
  </w:style>
  <w:style w:type="paragraph" w:styleId="af0">
    <w:name w:val="footer"/>
    <w:basedOn w:val="a"/>
    <w:link w:val="af1"/>
    <w:uiPriority w:val="99"/>
    <w:unhideWhenUsed/>
    <w:rsid w:val="008319AC"/>
    <w:pPr>
      <w:tabs>
        <w:tab w:val="center" w:pos="4153"/>
        <w:tab w:val="right" w:pos="8306"/>
      </w:tabs>
      <w:snapToGrid w:val="0"/>
    </w:pPr>
    <w:rPr>
      <w:sz w:val="18"/>
      <w:szCs w:val="18"/>
    </w:rPr>
  </w:style>
  <w:style w:type="character" w:customStyle="1" w:styleId="af1">
    <w:name w:val="页脚 字符"/>
    <w:basedOn w:val="a0"/>
    <w:link w:val="af0"/>
    <w:uiPriority w:val="99"/>
    <w:rsid w:val="008319AC"/>
    <w:rPr>
      <w:sz w:val="18"/>
      <w:szCs w:val="18"/>
    </w:rPr>
  </w:style>
  <w:style w:type="table" w:styleId="af2">
    <w:name w:val="Table Grid"/>
    <w:basedOn w:val="a1"/>
    <w:uiPriority w:val="39"/>
    <w:rsid w:val="00F9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yezeqiut@126.com</dc:creator>
  <cp:keywords/>
  <dc:description/>
  <cp:lastModifiedBy>dell</cp:lastModifiedBy>
  <cp:revision>106</cp:revision>
  <dcterms:created xsi:type="dcterms:W3CDTF">2025-04-14T00:01:00Z</dcterms:created>
  <dcterms:modified xsi:type="dcterms:W3CDTF">2025-04-29T07:12:00Z</dcterms:modified>
</cp:coreProperties>
</file>